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8D54B0E" w14:textId="77777777" w:rsidTr="0040017C">
        <w:trPr>
          <w:trHeight w:val="851"/>
        </w:trPr>
        <w:tc>
          <w:tcPr>
            <w:tcW w:w="1259" w:type="dxa"/>
            <w:tcBorders>
              <w:top w:val="nil"/>
              <w:left w:val="nil"/>
              <w:bottom w:val="single" w:sz="4" w:space="0" w:color="auto"/>
              <w:right w:val="nil"/>
            </w:tcBorders>
          </w:tcPr>
          <w:p w14:paraId="33D66F91"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4482D8C1" w14:textId="4ADAB859" w:rsidR="00E52109" w:rsidRDefault="00064FED"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AC23E1A" w14:textId="6858E47C" w:rsidR="00E52109" w:rsidRPr="00951207" w:rsidRDefault="00141BCC" w:rsidP="00141BCC">
            <w:pPr>
              <w:spacing w:after="20"/>
              <w:jc w:val="right"/>
            </w:pPr>
            <w:r w:rsidRPr="00951207">
              <w:rPr>
                <w:sz w:val="40"/>
              </w:rPr>
              <w:t>A</w:t>
            </w:r>
            <w:r w:rsidRPr="00951207">
              <w:t>/HRC/AC/2</w:t>
            </w:r>
            <w:r w:rsidR="0067219F" w:rsidRPr="00951207">
              <w:t>5</w:t>
            </w:r>
            <w:r w:rsidRPr="00951207">
              <w:t>/2</w:t>
            </w:r>
          </w:p>
        </w:tc>
      </w:tr>
      <w:tr w:rsidR="00E52109" w14:paraId="3D0A4658" w14:textId="77777777" w:rsidTr="0040017C">
        <w:trPr>
          <w:trHeight w:val="2835"/>
        </w:trPr>
        <w:tc>
          <w:tcPr>
            <w:tcW w:w="1259" w:type="dxa"/>
            <w:tcBorders>
              <w:top w:val="single" w:sz="4" w:space="0" w:color="auto"/>
              <w:left w:val="nil"/>
              <w:bottom w:val="single" w:sz="12" w:space="0" w:color="auto"/>
              <w:right w:val="nil"/>
            </w:tcBorders>
          </w:tcPr>
          <w:p w14:paraId="69AD293B" w14:textId="10AF27B4" w:rsidR="00E52109" w:rsidRDefault="00064FED" w:rsidP="0040017C">
            <w:pPr>
              <w:spacing w:before="120"/>
              <w:jc w:val="center"/>
            </w:pPr>
            <w:r w:rsidRPr="00E75125">
              <w:rPr>
                <w:noProof/>
                <w:lang w:eastAsia="en-GB"/>
              </w:rPr>
              <w:drawing>
                <wp:inline distT="0" distB="0" distL="0" distR="0" wp14:anchorId="2A92D70B" wp14:editId="5E5092BE">
                  <wp:extent cx="716280" cy="586740"/>
                  <wp:effectExtent l="0" t="0" r="7620" b="381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313B1C6" w14:textId="20B6F3B1" w:rsidR="00E52109" w:rsidRDefault="00064FED" w:rsidP="005B21CE">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597BDA4" w14:textId="77777777" w:rsidR="00E52109" w:rsidRPr="00951207" w:rsidRDefault="00141BCC" w:rsidP="00141BCC">
            <w:pPr>
              <w:spacing w:before="240"/>
            </w:pPr>
            <w:r w:rsidRPr="00951207">
              <w:t>Distr.: General</w:t>
            </w:r>
          </w:p>
          <w:p w14:paraId="795305B4" w14:textId="642A8B4A" w:rsidR="00141BCC" w:rsidRPr="00951207" w:rsidRDefault="00951207" w:rsidP="00951207">
            <w:r w:rsidRPr="00951207">
              <w:t>19</w:t>
            </w:r>
            <w:r w:rsidR="00141BCC" w:rsidRPr="00951207">
              <w:t xml:space="preserve"> </w:t>
            </w:r>
            <w:r w:rsidRPr="00951207">
              <w:t>February</w:t>
            </w:r>
            <w:r w:rsidR="00B8149D" w:rsidRPr="00951207">
              <w:t xml:space="preserve"> 2021</w:t>
            </w:r>
          </w:p>
          <w:p w14:paraId="010ED563" w14:textId="77777777" w:rsidR="00141BCC" w:rsidRPr="00951207" w:rsidRDefault="00141BCC" w:rsidP="00141BCC"/>
          <w:p w14:paraId="311CE858" w14:textId="77777777" w:rsidR="00141BCC" w:rsidRPr="00951207" w:rsidRDefault="00141BCC" w:rsidP="00141BCC">
            <w:r w:rsidRPr="00951207">
              <w:t>Original: English</w:t>
            </w:r>
          </w:p>
        </w:tc>
      </w:tr>
    </w:tbl>
    <w:p w14:paraId="4E398329" w14:textId="77777777" w:rsidR="00FE3A6C" w:rsidRDefault="00FE3A6C">
      <w:pPr>
        <w:spacing w:before="120"/>
        <w:rPr>
          <w:b/>
          <w:sz w:val="24"/>
          <w:szCs w:val="24"/>
        </w:rPr>
      </w:pPr>
      <w:r>
        <w:rPr>
          <w:b/>
          <w:sz w:val="24"/>
          <w:szCs w:val="24"/>
        </w:rPr>
        <w:t>Human Rights Council</w:t>
      </w:r>
    </w:p>
    <w:p w14:paraId="0F698E52" w14:textId="77777777" w:rsidR="00141BCC" w:rsidRPr="00FE3A6C" w:rsidRDefault="00141BCC" w:rsidP="00141BCC">
      <w:pPr>
        <w:rPr>
          <w:b/>
          <w:bCs/>
        </w:rPr>
      </w:pPr>
      <w:r w:rsidRPr="00FE3A6C">
        <w:rPr>
          <w:b/>
          <w:bCs/>
        </w:rPr>
        <w:t>Advisory Committee</w:t>
      </w:r>
    </w:p>
    <w:p w14:paraId="5F858BC5" w14:textId="331C873F" w:rsidR="00141BCC" w:rsidRPr="00FE3A6C" w:rsidRDefault="00141BCC" w:rsidP="003E6A66">
      <w:pPr>
        <w:rPr>
          <w:b/>
          <w:bCs/>
        </w:rPr>
      </w:pPr>
      <w:r w:rsidRPr="00FE3A6C">
        <w:rPr>
          <w:b/>
          <w:bCs/>
        </w:rPr>
        <w:t>Twenty-</w:t>
      </w:r>
      <w:r w:rsidR="003E6A66">
        <w:rPr>
          <w:b/>
          <w:bCs/>
        </w:rPr>
        <w:t>fifth</w:t>
      </w:r>
      <w:r w:rsidRPr="00FE3A6C">
        <w:rPr>
          <w:b/>
          <w:bCs/>
        </w:rPr>
        <w:t xml:space="preserve"> session</w:t>
      </w:r>
    </w:p>
    <w:p w14:paraId="214FF64F" w14:textId="24F55E45" w:rsidR="00141BCC" w:rsidRPr="0035702B" w:rsidRDefault="003E6A66" w:rsidP="00141BCC">
      <w:r>
        <w:t>15–19</w:t>
      </w:r>
      <w:r w:rsidR="00764C08">
        <w:t xml:space="preserve"> February 2021</w:t>
      </w:r>
    </w:p>
    <w:p w14:paraId="13A90433" w14:textId="77777777" w:rsidR="00141BCC" w:rsidRPr="0035702B" w:rsidRDefault="00141BCC" w:rsidP="00141BCC">
      <w:r w:rsidRPr="0035702B">
        <w:t xml:space="preserve">Agenda item 5 </w:t>
      </w:r>
    </w:p>
    <w:p w14:paraId="5612E7A7" w14:textId="6CCC401C" w:rsidR="00141BCC" w:rsidRPr="00FE3A6C" w:rsidRDefault="00141BCC" w:rsidP="003E6A66">
      <w:pPr>
        <w:rPr>
          <w:b/>
          <w:bCs/>
        </w:rPr>
      </w:pPr>
      <w:r w:rsidRPr="00FE3A6C">
        <w:rPr>
          <w:b/>
          <w:bCs/>
        </w:rPr>
        <w:t>Report of the Advisory Committee on its twenty-</w:t>
      </w:r>
      <w:r w:rsidR="003E6A66">
        <w:rPr>
          <w:b/>
          <w:bCs/>
        </w:rPr>
        <w:t>fifth</w:t>
      </w:r>
      <w:r w:rsidRPr="00FE3A6C">
        <w:rPr>
          <w:b/>
          <w:bCs/>
        </w:rPr>
        <w:t xml:space="preserve"> session</w:t>
      </w:r>
    </w:p>
    <w:p w14:paraId="2E4DC451" w14:textId="14007CB8" w:rsidR="00141BCC" w:rsidRPr="0035702B" w:rsidRDefault="00141BCC" w:rsidP="003E6A66">
      <w:pPr>
        <w:pStyle w:val="HChG"/>
      </w:pPr>
      <w:r w:rsidRPr="0035702B">
        <w:tab/>
      </w:r>
      <w:r w:rsidRPr="0035702B">
        <w:tab/>
      </w:r>
      <w:bookmarkStart w:id="0" w:name="_Toc523845304"/>
      <w:bookmarkStart w:id="1" w:name="_Toc523845373"/>
      <w:bookmarkStart w:id="2" w:name="_Toc36718642"/>
      <w:bookmarkStart w:id="3" w:name="_Toc36723864"/>
      <w:r w:rsidRPr="006C25ED">
        <w:rPr>
          <w:sz w:val="34"/>
          <w:szCs w:val="34"/>
        </w:rPr>
        <w:t>Report o</w:t>
      </w:r>
      <w:r w:rsidR="006C25ED">
        <w:rPr>
          <w:sz w:val="34"/>
          <w:szCs w:val="34"/>
        </w:rPr>
        <w:t>f the Advisory Committee on its</w:t>
      </w:r>
      <w:r w:rsidRPr="006C25ED">
        <w:rPr>
          <w:sz w:val="34"/>
          <w:szCs w:val="34"/>
        </w:rPr>
        <w:br/>
        <w:t>twenty-</w:t>
      </w:r>
      <w:r w:rsidR="003E6A66">
        <w:rPr>
          <w:sz w:val="34"/>
          <w:szCs w:val="34"/>
        </w:rPr>
        <w:t>fifth</w:t>
      </w:r>
      <w:r w:rsidRPr="006C25ED">
        <w:rPr>
          <w:sz w:val="34"/>
          <w:szCs w:val="34"/>
        </w:rPr>
        <w:t xml:space="preserve"> session</w:t>
      </w:r>
      <w:bookmarkEnd w:id="0"/>
      <w:bookmarkEnd w:id="1"/>
      <w:r w:rsidRPr="00EB0210">
        <w:rPr>
          <w:b w:val="0"/>
          <w:bCs/>
          <w:sz w:val="20"/>
        </w:rPr>
        <w:footnoteReference w:customMarkFollows="1" w:id="2"/>
        <w:t>*</w:t>
      </w:r>
      <w:bookmarkEnd w:id="2"/>
      <w:bookmarkEnd w:id="3"/>
    </w:p>
    <w:p w14:paraId="78711850" w14:textId="7B09F439" w:rsidR="00141BCC" w:rsidRPr="00951207" w:rsidRDefault="00141BCC" w:rsidP="003E6A66">
      <w:pPr>
        <w:pStyle w:val="SingleTxtG"/>
        <w:rPr>
          <w:b/>
          <w:bCs/>
          <w:lang w:val="fr-CH"/>
        </w:rPr>
      </w:pPr>
      <w:r w:rsidRPr="00951207">
        <w:rPr>
          <w:i/>
          <w:iCs/>
          <w:lang w:val="fr-CH"/>
        </w:rPr>
        <w:t>Rapporteur</w:t>
      </w:r>
      <w:r w:rsidRPr="00951207">
        <w:rPr>
          <w:lang w:val="fr-CH"/>
        </w:rPr>
        <w:t xml:space="preserve">: </w:t>
      </w:r>
      <w:r w:rsidR="003E6A66" w:rsidRPr="00951207">
        <w:rPr>
          <w:lang w:val="fr-CH"/>
        </w:rPr>
        <w:t xml:space="preserve">Javier </w:t>
      </w:r>
      <w:r w:rsidR="003E6A66" w:rsidRPr="00951207">
        <w:rPr>
          <w:b/>
          <w:bCs/>
          <w:lang w:val="fr-CH"/>
        </w:rPr>
        <w:t>Palummo</w:t>
      </w:r>
    </w:p>
    <w:p w14:paraId="25BE9A71" w14:textId="77777777" w:rsidR="003518AE" w:rsidRPr="00951207" w:rsidRDefault="00141BCC" w:rsidP="00141BCC">
      <w:pPr>
        <w:rPr>
          <w:lang w:val="fr-CH"/>
        </w:rPr>
      </w:pPr>
      <w:r w:rsidRPr="00951207">
        <w:rPr>
          <w:lang w:val="fr-CH"/>
        </w:rPr>
        <w:br w:type="page"/>
      </w:r>
    </w:p>
    <w:p w14:paraId="1C37B1C0" w14:textId="77777777" w:rsidR="003518AE" w:rsidRPr="00951207" w:rsidRDefault="003518AE" w:rsidP="003518AE">
      <w:pPr>
        <w:suppressAutoHyphens/>
        <w:spacing w:after="120" w:line="240" w:lineRule="atLeast"/>
        <w:rPr>
          <w:sz w:val="28"/>
          <w:lang w:val="fr-CH"/>
        </w:rPr>
      </w:pPr>
      <w:r w:rsidRPr="00951207">
        <w:rPr>
          <w:sz w:val="28"/>
          <w:lang w:val="fr-CH"/>
        </w:rPr>
        <w:lastRenderedPageBreak/>
        <w:t>Contents</w:t>
      </w:r>
    </w:p>
    <w:p w14:paraId="1FAADE48" w14:textId="4B32A5B1" w:rsidR="003518AE" w:rsidRPr="00951207" w:rsidRDefault="003518AE" w:rsidP="003518AE">
      <w:pPr>
        <w:tabs>
          <w:tab w:val="right" w:pos="9638"/>
        </w:tabs>
        <w:suppressAutoHyphens/>
        <w:spacing w:after="120" w:line="240" w:lineRule="atLeast"/>
        <w:ind w:left="283"/>
        <w:rPr>
          <w:sz w:val="18"/>
          <w:lang w:val="fr-CH"/>
        </w:rPr>
      </w:pPr>
      <w:r w:rsidRPr="00951207">
        <w:rPr>
          <w:i/>
          <w:sz w:val="18"/>
          <w:lang w:val="fr-CH"/>
        </w:rPr>
        <w:tab/>
        <w:t>Page</w:t>
      </w:r>
      <w:r w:rsidR="00642AB7">
        <w:rPr>
          <w:rStyle w:val="FootnoteReference"/>
          <w:i/>
        </w:rPr>
        <w:footnoteReference w:id="3"/>
      </w:r>
    </w:p>
    <w:p w14:paraId="791E273A" w14:textId="63394B38" w:rsidR="00141BCC" w:rsidRPr="0035702B" w:rsidRDefault="00141BCC" w:rsidP="00642AB7">
      <w:pPr>
        <w:tabs>
          <w:tab w:val="right" w:pos="850"/>
          <w:tab w:val="left" w:pos="1134"/>
          <w:tab w:val="left" w:pos="1559"/>
          <w:tab w:val="left" w:pos="1984"/>
          <w:tab w:val="left" w:leader="dot" w:pos="8787"/>
          <w:tab w:val="right" w:pos="9638"/>
        </w:tabs>
        <w:suppressAutoHyphens/>
        <w:spacing w:after="120" w:line="240" w:lineRule="atLeast"/>
      </w:pPr>
      <w:r w:rsidRPr="00951207">
        <w:rPr>
          <w:lang w:val="fr-CH"/>
        </w:rPr>
        <w:tab/>
      </w:r>
      <w:r w:rsidRPr="0035702B">
        <w:t>I.</w:t>
      </w:r>
      <w:r w:rsidRPr="0035702B">
        <w:tab/>
        <w:t>Action taken by the Advisory Committee at its twenty-</w:t>
      </w:r>
      <w:r w:rsidR="00642AB7">
        <w:t>fifth</w:t>
      </w:r>
      <w:r w:rsidRPr="0035702B">
        <w:t xml:space="preserve"> session</w:t>
      </w:r>
      <w:r w:rsidRPr="0035702B">
        <w:tab/>
      </w:r>
      <w:r w:rsidRPr="0035702B">
        <w:tab/>
        <w:t>3</w:t>
      </w:r>
    </w:p>
    <w:p w14:paraId="14D3C952" w14:textId="6F756405"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II.</w:t>
      </w:r>
      <w:r w:rsidRPr="0035702B">
        <w:tab/>
        <w:t>Adoption of the agenda and organization of work</w:t>
      </w:r>
      <w:r w:rsidRPr="0035702B">
        <w:tab/>
      </w:r>
      <w:r w:rsidRPr="0035702B">
        <w:tab/>
      </w:r>
      <w:r w:rsidR="004A3B32">
        <w:t>7</w:t>
      </w:r>
    </w:p>
    <w:p w14:paraId="1BDEFBF9" w14:textId="59746CA9"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A.</w:t>
      </w:r>
      <w:r w:rsidRPr="0035702B">
        <w:tab/>
        <w:t>Opening and duration of the session</w:t>
      </w:r>
      <w:r w:rsidRPr="0035702B">
        <w:tab/>
      </w:r>
      <w:r w:rsidRPr="0035702B">
        <w:tab/>
      </w:r>
      <w:r w:rsidR="004A3B32">
        <w:t>7</w:t>
      </w:r>
    </w:p>
    <w:p w14:paraId="5475473D"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B.</w:t>
      </w:r>
      <w:r w:rsidRPr="0035702B">
        <w:tab/>
        <w:t>Composition of the Advisory Committee</w:t>
      </w:r>
      <w:r w:rsidRPr="0035702B">
        <w:tab/>
      </w:r>
      <w:r w:rsidRPr="0035702B">
        <w:tab/>
        <w:t>8</w:t>
      </w:r>
    </w:p>
    <w:p w14:paraId="323AC973"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C.</w:t>
      </w:r>
      <w:r w:rsidRPr="0035702B">
        <w:tab/>
        <w:t>Attendance</w:t>
      </w:r>
      <w:r w:rsidRPr="0035702B">
        <w:tab/>
      </w:r>
      <w:r w:rsidRPr="0035702B">
        <w:tab/>
        <w:t>8</w:t>
      </w:r>
    </w:p>
    <w:p w14:paraId="144F15E6"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D.</w:t>
      </w:r>
      <w:r w:rsidRPr="0035702B">
        <w:tab/>
        <w:t>Meetings</w:t>
      </w:r>
      <w:r w:rsidRPr="0035702B">
        <w:tab/>
      </w:r>
      <w:r w:rsidRPr="0035702B">
        <w:tab/>
        <w:t>8</w:t>
      </w:r>
    </w:p>
    <w:p w14:paraId="3907D938" w14:textId="33EE3895"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E.</w:t>
      </w:r>
      <w:r w:rsidRPr="0035702B">
        <w:tab/>
        <w:t>Election of officers</w:t>
      </w:r>
      <w:r w:rsidRPr="0035702B">
        <w:tab/>
      </w:r>
      <w:r w:rsidRPr="0035702B">
        <w:tab/>
      </w:r>
      <w:r w:rsidR="004A3B32">
        <w:t>8</w:t>
      </w:r>
    </w:p>
    <w:p w14:paraId="7D2509D0" w14:textId="4965D26E"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F.</w:t>
      </w:r>
      <w:r w:rsidRPr="0035702B">
        <w:tab/>
        <w:t>Adoption of the agenda</w:t>
      </w:r>
      <w:r w:rsidRPr="0035702B">
        <w:tab/>
      </w:r>
      <w:r w:rsidRPr="0035702B">
        <w:tab/>
      </w:r>
      <w:r w:rsidR="004A3B32">
        <w:t>8</w:t>
      </w:r>
    </w:p>
    <w:p w14:paraId="10F673EA"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G.</w:t>
      </w:r>
      <w:r w:rsidRPr="0035702B">
        <w:tab/>
        <w:t>Organization of work</w:t>
      </w:r>
      <w:r w:rsidRPr="0035702B">
        <w:tab/>
      </w:r>
      <w:r w:rsidRPr="0035702B">
        <w:tab/>
        <w:t>9</w:t>
      </w:r>
    </w:p>
    <w:p w14:paraId="59C99B84"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III.</w:t>
      </w:r>
      <w:r w:rsidRPr="0035702B">
        <w:tab/>
        <w:t xml:space="preserve">Requests addressed to the Advisory Committee stemming from Human Rights Council </w:t>
      </w:r>
      <w:r w:rsidRPr="0035702B">
        <w:br/>
      </w:r>
      <w:r w:rsidRPr="0035702B">
        <w:tab/>
      </w:r>
      <w:r w:rsidRPr="0035702B">
        <w:tab/>
        <w:t>resolutions and currently under consideration</w:t>
      </w:r>
      <w:r w:rsidRPr="0035702B">
        <w:tab/>
      </w:r>
      <w:r w:rsidRPr="0035702B">
        <w:tab/>
        <w:t>9</w:t>
      </w:r>
    </w:p>
    <w:p w14:paraId="26600A0B" w14:textId="6C49F34A" w:rsidR="00141BCC" w:rsidRPr="0035702B" w:rsidRDefault="00141BCC" w:rsidP="00642AB7">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A.</w:t>
      </w:r>
      <w:r w:rsidRPr="0035702B">
        <w:tab/>
      </w:r>
      <w:r w:rsidR="00642AB7" w:rsidRPr="00642AB7">
        <w:t>The situation regarding racial equality in the world</w:t>
      </w:r>
      <w:r w:rsidRPr="0035702B">
        <w:tab/>
      </w:r>
      <w:r w:rsidRPr="0035702B">
        <w:tab/>
        <w:t>9</w:t>
      </w:r>
    </w:p>
    <w:p w14:paraId="4D6E21D6" w14:textId="01CDE4E8" w:rsidR="00141BCC" w:rsidRPr="0035702B" w:rsidRDefault="00141BCC" w:rsidP="00642AB7">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B.</w:t>
      </w:r>
      <w:r w:rsidRPr="0035702B">
        <w:tab/>
      </w:r>
      <w:r w:rsidR="00642AB7" w:rsidRPr="00642AB7">
        <w:t>Current levels of representation of women in human rights organs and mechanisms</w:t>
      </w:r>
      <w:r w:rsidRPr="0035702B">
        <w:tab/>
      </w:r>
      <w:r w:rsidRPr="0035702B">
        <w:tab/>
        <w:t>9</w:t>
      </w:r>
    </w:p>
    <w:p w14:paraId="1514E06B" w14:textId="0472687A" w:rsidR="00141BCC" w:rsidRPr="0035702B" w:rsidRDefault="00141BCC" w:rsidP="00642AB7">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C.</w:t>
      </w:r>
      <w:r w:rsidRPr="0035702B">
        <w:tab/>
      </w:r>
      <w:r w:rsidR="00642AB7" w:rsidRPr="00642AB7">
        <w:t>New and emerging digital technologies</w:t>
      </w:r>
      <w:r w:rsidRPr="0035702B">
        <w:tab/>
      </w:r>
      <w:r w:rsidRPr="0035702B">
        <w:tab/>
      </w:r>
      <w:r w:rsidR="004A3B32">
        <w:t>9</w:t>
      </w:r>
    </w:p>
    <w:p w14:paraId="429E701F" w14:textId="0548B026" w:rsidR="00141BCC" w:rsidRPr="0035702B" w:rsidRDefault="00141BCC" w:rsidP="00642AB7">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D.</w:t>
      </w:r>
      <w:r w:rsidRPr="0035702B">
        <w:tab/>
      </w:r>
      <w:r w:rsidR="00642AB7" w:rsidRPr="00642AB7">
        <w:t>Negative effects of terrorism on the enjoyment of human rights</w:t>
      </w:r>
      <w:r w:rsidRPr="0035702B">
        <w:tab/>
      </w:r>
      <w:r w:rsidRPr="0035702B">
        <w:tab/>
      </w:r>
      <w:r w:rsidR="004A3B32">
        <w:t>9</w:t>
      </w:r>
    </w:p>
    <w:p w14:paraId="5BADEA2B" w14:textId="5A301F9C" w:rsidR="00141BCC" w:rsidRDefault="00141BCC" w:rsidP="00642AB7">
      <w:pPr>
        <w:tabs>
          <w:tab w:val="right" w:pos="850"/>
          <w:tab w:val="left" w:pos="1134"/>
          <w:tab w:val="left" w:pos="1559"/>
          <w:tab w:val="left" w:pos="1984"/>
          <w:tab w:val="left" w:leader="dot" w:pos="8787"/>
          <w:tab w:val="right" w:pos="9638"/>
        </w:tabs>
        <w:suppressAutoHyphens/>
        <w:spacing w:after="120" w:line="240" w:lineRule="atLeast"/>
      </w:pPr>
      <w:r w:rsidRPr="0035702B">
        <w:tab/>
        <w:t>IV.</w:t>
      </w:r>
      <w:r w:rsidRPr="0035702B">
        <w:tab/>
        <w:t xml:space="preserve">Implementation of sections III and IV of the annex to Human Rights Council resolution 5/1 </w:t>
      </w:r>
      <w:r w:rsidRPr="0035702B">
        <w:br/>
      </w:r>
      <w:r w:rsidRPr="0035702B">
        <w:tab/>
      </w:r>
      <w:r w:rsidRPr="0035702B">
        <w:tab/>
        <w:t xml:space="preserve">of 18 June 2007, and of section III of the annex to Human Rights Council resolution 16/21 </w:t>
      </w:r>
      <w:r w:rsidRPr="0035702B">
        <w:br/>
      </w:r>
      <w:r w:rsidRPr="0035702B">
        <w:tab/>
      </w:r>
      <w:r w:rsidRPr="0035702B">
        <w:tab/>
        <w:t>of 25 March 2011</w:t>
      </w:r>
      <w:r w:rsidRPr="0035702B">
        <w:tab/>
      </w:r>
      <w:r w:rsidRPr="0035702B">
        <w:tab/>
        <w:t>11</w:t>
      </w:r>
    </w:p>
    <w:p w14:paraId="5D87D815" w14:textId="1D761923" w:rsidR="00B9480B" w:rsidRDefault="00764C08" w:rsidP="00642AB7">
      <w:pPr>
        <w:tabs>
          <w:tab w:val="right" w:pos="850"/>
          <w:tab w:val="left" w:pos="1134"/>
          <w:tab w:val="left" w:pos="1559"/>
          <w:tab w:val="left" w:pos="1984"/>
          <w:tab w:val="left" w:leader="dot" w:pos="8787"/>
          <w:tab w:val="right" w:pos="9638"/>
        </w:tabs>
        <w:suppressAutoHyphens/>
        <w:spacing w:after="120" w:line="240" w:lineRule="atLeast"/>
      </w:pPr>
      <w:r>
        <w:tab/>
      </w:r>
      <w:r>
        <w:tab/>
      </w:r>
      <w:r w:rsidR="00B9480B">
        <w:t>A.</w:t>
      </w:r>
      <w:r w:rsidR="00B9480B">
        <w:tab/>
      </w:r>
      <w:r w:rsidR="00B9480B" w:rsidRPr="00B9480B">
        <w:t>Agenda and annual programme of work, including new priorities</w:t>
      </w:r>
      <w:r w:rsidR="00B9480B" w:rsidRPr="00B9480B">
        <w:tab/>
      </w:r>
      <w:r w:rsidR="00B9480B" w:rsidRPr="00B9480B">
        <w:tab/>
        <w:t>11</w:t>
      </w:r>
    </w:p>
    <w:p w14:paraId="7C51F8DE" w14:textId="7554FC9B" w:rsidR="00764C08" w:rsidRPr="0035702B" w:rsidRDefault="00B9480B" w:rsidP="00642AB7">
      <w:pPr>
        <w:tabs>
          <w:tab w:val="right" w:pos="850"/>
          <w:tab w:val="left" w:pos="1134"/>
          <w:tab w:val="left" w:pos="1559"/>
          <w:tab w:val="left" w:pos="1984"/>
          <w:tab w:val="left" w:leader="dot" w:pos="8787"/>
          <w:tab w:val="right" w:pos="9638"/>
        </w:tabs>
        <w:suppressAutoHyphens/>
        <w:spacing w:after="120" w:line="240" w:lineRule="atLeast"/>
      </w:pPr>
      <w:r>
        <w:tab/>
      </w:r>
      <w:r>
        <w:tab/>
        <w:t>B</w:t>
      </w:r>
      <w:r w:rsidR="00764C08" w:rsidRPr="00642AB7">
        <w:t>.</w:t>
      </w:r>
      <w:r w:rsidR="00764C08" w:rsidRPr="00642AB7">
        <w:tab/>
        <w:t>Appointment of members of the Working Group on Communications</w:t>
      </w:r>
      <w:r w:rsidR="00764C08" w:rsidRPr="00642AB7">
        <w:tab/>
      </w:r>
      <w:r w:rsidR="00764C08" w:rsidRPr="00642AB7">
        <w:tab/>
        <w:t>11</w:t>
      </w:r>
    </w:p>
    <w:p w14:paraId="39FD4D9C" w14:textId="16C32816"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V.</w:t>
      </w:r>
      <w:r w:rsidRPr="0035702B">
        <w:tab/>
        <w:t>Report of the Advisory Committee on its twenty-fourth session</w:t>
      </w:r>
      <w:r w:rsidRPr="0035702B">
        <w:tab/>
      </w:r>
      <w:r w:rsidRPr="0035702B">
        <w:tab/>
        <w:t>1</w:t>
      </w:r>
      <w:r w:rsidR="004A3B32">
        <w:t>1</w:t>
      </w:r>
    </w:p>
    <w:p w14:paraId="45973948"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Annexes</w:t>
      </w:r>
    </w:p>
    <w:p w14:paraId="557D504D" w14:textId="42D5A39B" w:rsidR="00141BCC" w:rsidRPr="0035702B" w:rsidRDefault="00141BCC" w:rsidP="00642AB7">
      <w:pPr>
        <w:tabs>
          <w:tab w:val="right" w:pos="850"/>
          <w:tab w:val="left" w:pos="1134"/>
          <w:tab w:val="left" w:pos="1559"/>
          <w:tab w:val="left" w:pos="1984"/>
          <w:tab w:val="left" w:leader="dot" w:pos="8787"/>
          <w:tab w:val="right" w:pos="9638"/>
        </w:tabs>
        <w:suppressAutoHyphens/>
        <w:spacing w:after="120" w:line="240" w:lineRule="atLeast"/>
      </w:pPr>
      <w:r w:rsidRPr="0035702B">
        <w:tab/>
        <w:t>I.</w:t>
      </w:r>
      <w:r w:rsidRPr="0035702B">
        <w:tab/>
        <w:t>Documents issued for the twenty-</w:t>
      </w:r>
      <w:r w:rsidR="00642AB7">
        <w:t>fifth</w:t>
      </w:r>
      <w:r w:rsidRPr="0035702B">
        <w:t xml:space="preserve"> session of the Advisory Committee</w:t>
      </w:r>
      <w:r w:rsidRPr="0035702B">
        <w:tab/>
      </w:r>
      <w:r w:rsidRPr="0035702B">
        <w:tab/>
        <w:t>13</w:t>
      </w:r>
    </w:p>
    <w:p w14:paraId="437E8F4F"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II.</w:t>
      </w:r>
      <w:r w:rsidRPr="0035702B">
        <w:tab/>
        <w:t>List of speakers</w:t>
      </w:r>
      <w:r w:rsidRPr="0035702B">
        <w:tab/>
      </w:r>
      <w:r w:rsidRPr="0035702B">
        <w:tab/>
        <w:t>14</w:t>
      </w:r>
    </w:p>
    <w:p w14:paraId="3EBFD90F" w14:textId="1FC836E5" w:rsidR="00141BCC" w:rsidRDefault="00141BCC" w:rsidP="003E6A66">
      <w:pPr>
        <w:pStyle w:val="HChG"/>
      </w:pPr>
      <w:r w:rsidRPr="0035702B">
        <w:br w:type="page"/>
      </w:r>
      <w:r w:rsidRPr="0035702B">
        <w:lastRenderedPageBreak/>
        <w:tab/>
      </w:r>
      <w:bookmarkStart w:id="4" w:name="_Toc523845305"/>
      <w:bookmarkStart w:id="5" w:name="_Toc523845374"/>
      <w:bookmarkStart w:id="6" w:name="_Toc524094531"/>
      <w:bookmarkStart w:id="7" w:name="_Toc4598587"/>
      <w:bookmarkStart w:id="8" w:name="_Toc36718643"/>
      <w:bookmarkStart w:id="9" w:name="_Toc36723865"/>
      <w:r w:rsidRPr="0035702B">
        <w:t>I.</w:t>
      </w:r>
      <w:r w:rsidRPr="0035702B">
        <w:tab/>
      </w:r>
      <w:bookmarkEnd w:id="4"/>
      <w:bookmarkEnd w:id="5"/>
      <w:bookmarkEnd w:id="6"/>
      <w:bookmarkEnd w:id="7"/>
      <w:r w:rsidRPr="0035702B">
        <w:t>Action taken by the Advisory Committee at its twenty-</w:t>
      </w:r>
      <w:r w:rsidR="003E6A66">
        <w:t>fifth</w:t>
      </w:r>
      <w:r w:rsidRPr="0035702B">
        <w:t xml:space="preserve"> session</w:t>
      </w:r>
      <w:bookmarkEnd w:id="8"/>
      <w:bookmarkEnd w:id="9"/>
    </w:p>
    <w:p w14:paraId="5EEEA1FE" w14:textId="3C610A59" w:rsidR="003E6A66" w:rsidRPr="003E6A66" w:rsidRDefault="003E6A66" w:rsidP="003E6A66">
      <w:pPr>
        <w:suppressAutoHyphens/>
        <w:kinsoku w:val="0"/>
        <w:overflowPunct w:val="0"/>
        <w:autoSpaceDE w:val="0"/>
        <w:autoSpaceDN w:val="0"/>
        <w:adjustRightInd w:val="0"/>
        <w:snapToGrid w:val="0"/>
        <w:spacing w:line="240" w:lineRule="atLeast"/>
        <w:rPr>
          <w:rFonts w:eastAsiaTheme="minorHAnsi"/>
          <w:i/>
        </w:rPr>
      </w:pPr>
      <w:r w:rsidRPr="003E6A66">
        <w:rPr>
          <w:rFonts w:eastAsiaTheme="minorHAnsi"/>
        </w:rPr>
        <w:tab/>
      </w:r>
      <w:r w:rsidRPr="003E6A66">
        <w:rPr>
          <w:rFonts w:eastAsiaTheme="minorHAnsi"/>
        </w:rPr>
        <w:tab/>
      </w:r>
      <w:r w:rsidRPr="003E6A66">
        <w:rPr>
          <w:rFonts w:eastAsiaTheme="minorHAnsi"/>
          <w:i/>
          <w:highlight w:val="yellow"/>
        </w:rPr>
        <w:t>[Draft actions to be included]</w:t>
      </w:r>
    </w:p>
    <w:p w14:paraId="10B759C0" w14:textId="77777777" w:rsidR="00141BCC" w:rsidRPr="0035702B" w:rsidRDefault="00141BCC" w:rsidP="001269D9">
      <w:pPr>
        <w:pStyle w:val="HChG"/>
      </w:pPr>
      <w:r w:rsidRPr="0035702B">
        <w:tab/>
      </w:r>
      <w:bookmarkStart w:id="10" w:name="_Toc523845313"/>
      <w:bookmarkStart w:id="11" w:name="_Toc523845382"/>
      <w:bookmarkStart w:id="12" w:name="_Toc524094539"/>
      <w:bookmarkStart w:id="13" w:name="_Toc4598596"/>
      <w:bookmarkStart w:id="14" w:name="_Toc36718651"/>
      <w:bookmarkStart w:id="15" w:name="_Toc36723873"/>
      <w:bookmarkStart w:id="16" w:name="_Toc213748164"/>
      <w:r w:rsidRPr="0035702B">
        <w:t>II.</w:t>
      </w:r>
      <w:r w:rsidRPr="0035702B">
        <w:tab/>
        <w:t>Adoption of the agenda and organization of work</w:t>
      </w:r>
      <w:bookmarkEnd w:id="10"/>
      <w:bookmarkEnd w:id="11"/>
      <w:bookmarkEnd w:id="12"/>
      <w:bookmarkEnd w:id="13"/>
      <w:bookmarkEnd w:id="14"/>
      <w:bookmarkEnd w:id="15"/>
    </w:p>
    <w:p w14:paraId="64FAD7E4" w14:textId="77777777" w:rsidR="00141BCC" w:rsidRPr="0035702B" w:rsidRDefault="00141BCC" w:rsidP="001269D9">
      <w:pPr>
        <w:pStyle w:val="H1G"/>
      </w:pPr>
      <w:bookmarkStart w:id="17" w:name="_Toc213748157"/>
      <w:r w:rsidRPr="0035702B">
        <w:tab/>
      </w:r>
      <w:bookmarkStart w:id="18" w:name="_Toc523845314"/>
      <w:bookmarkStart w:id="19" w:name="_Toc523845383"/>
      <w:bookmarkStart w:id="20" w:name="_Toc524094540"/>
      <w:bookmarkStart w:id="21" w:name="_Toc4598597"/>
      <w:bookmarkStart w:id="22" w:name="_Toc36718652"/>
      <w:bookmarkStart w:id="23" w:name="_Toc36723874"/>
      <w:r w:rsidRPr="0035702B">
        <w:t>A.</w:t>
      </w:r>
      <w:r w:rsidRPr="0035702B">
        <w:tab/>
        <w:t>Opening and duration of the session</w:t>
      </w:r>
      <w:bookmarkEnd w:id="17"/>
      <w:bookmarkEnd w:id="18"/>
      <w:bookmarkEnd w:id="19"/>
      <w:bookmarkEnd w:id="20"/>
      <w:bookmarkEnd w:id="21"/>
      <w:bookmarkEnd w:id="22"/>
      <w:bookmarkEnd w:id="23"/>
    </w:p>
    <w:p w14:paraId="06392810" w14:textId="5A4688FF" w:rsidR="00141BCC" w:rsidRPr="0035702B" w:rsidRDefault="00141BCC" w:rsidP="00916DE2">
      <w:pPr>
        <w:pStyle w:val="SingleTxtG"/>
      </w:pPr>
      <w:r w:rsidRPr="0035702B">
        <w:t>1.</w:t>
      </w:r>
      <w:r w:rsidRPr="0035702B">
        <w:tab/>
        <w:t xml:space="preserve">The Human Rights Council Advisory Committee, established pursuant to Human Rights </w:t>
      </w:r>
      <w:r w:rsidRPr="00AD741C">
        <w:t>Council resolution 5/1 of 18 June 2007, held its twenty-</w:t>
      </w:r>
      <w:r w:rsidR="00764C08" w:rsidRPr="00AD741C">
        <w:t>fifth</w:t>
      </w:r>
      <w:r w:rsidRPr="00AD741C">
        <w:t xml:space="preserve"> session from 1</w:t>
      </w:r>
      <w:r w:rsidR="00764C08" w:rsidRPr="00AD741C">
        <w:t>5 to 19</w:t>
      </w:r>
      <w:r w:rsidRPr="00AD741C">
        <w:t xml:space="preserve"> February 202</w:t>
      </w:r>
      <w:r w:rsidR="00764C08" w:rsidRPr="00AD741C">
        <w:t xml:space="preserve">1 at the United Nations Office at Geneva </w:t>
      </w:r>
      <w:r w:rsidR="00916DE2" w:rsidRPr="00AD741C">
        <w:t>and via the virtual platforms Interprefy and Webex</w:t>
      </w:r>
      <w:r w:rsidRPr="00AD741C">
        <w:t>. The session was opened by the Chair of the twenty-</w:t>
      </w:r>
      <w:r w:rsidR="00916DE2" w:rsidRPr="00AD741C">
        <w:t>fourth</w:t>
      </w:r>
      <w:r w:rsidRPr="00AD741C">
        <w:t xml:space="preserve"> session, </w:t>
      </w:r>
      <w:r w:rsidR="00916DE2" w:rsidRPr="00AD741C">
        <w:t>Lazhari Bouzid</w:t>
      </w:r>
      <w:r w:rsidRPr="00AD741C">
        <w:t>.</w:t>
      </w:r>
      <w:r w:rsidRPr="0035702B">
        <w:t xml:space="preserve"> </w:t>
      </w:r>
    </w:p>
    <w:p w14:paraId="59C2A64F" w14:textId="4C9D9EBC" w:rsidR="00141BCC" w:rsidRPr="0035702B" w:rsidRDefault="00916DE2" w:rsidP="00916DE2">
      <w:pPr>
        <w:pStyle w:val="SingleTxtG"/>
      </w:pPr>
      <w:r>
        <w:t>2.</w:t>
      </w:r>
      <w:r>
        <w:tab/>
        <w:t>At its 1st meeting, on 15 February 2021</w:t>
      </w:r>
      <w:r w:rsidR="00141BCC" w:rsidRPr="0035702B">
        <w:t xml:space="preserve">, the President of the Human Rights Council, </w:t>
      </w:r>
      <w:r w:rsidRPr="00916DE2">
        <w:t xml:space="preserve">Nazhat Shameem </w:t>
      </w:r>
      <w:r>
        <w:t>Khan</w:t>
      </w:r>
      <w:r w:rsidR="00141BCC" w:rsidRPr="0035702B">
        <w:t xml:space="preserve">, made an opening statement. </w:t>
      </w:r>
    </w:p>
    <w:p w14:paraId="1B72FCE4" w14:textId="56B37A7D" w:rsidR="00141BCC" w:rsidRPr="0035702B" w:rsidRDefault="00141BCC" w:rsidP="0067219F">
      <w:pPr>
        <w:pStyle w:val="SingleTxtG"/>
      </w:pPr>
      <w:r w:rsidRPr="0035702B">
        <w:t>3.</w:t>
      </w:r>
      <w:r w:rsidRPr="0035702B">
        <w:tab/>
      </w:r>
      <w:r w:rsidR="00916DE2" w:rsidRPr="00916DE2">
        <w:t xml:space="preserve">At the same meeting, the Chief of the Human Rights Council Branch of the Office of the United Nations High Commissioner for Human Rights (OHCHR) made a statement on behalf of the </w:t>
      </w:r>
      <w:r w:rsidR="0067219F">
        <w:t>UN Secretary-General</w:t>
      </w:r>
      <w:r w:rsidR="00916DE2" w:rsidRPr="00916DE2">
        <w:t>.</w:t>
      </w:r>
    </w:p>
    <w:p w14:paraId="255C88A7" w14:textId="77777777" w:rsidR="00141BCC" w:rsidRPr="0035702B" w:rsidRDefault="00141BCC" w:rsidP="00E70E08">
      <w:pPr>
        <w:pStyle w:val="SingleTxtG"/>
      </w:pPr>
      <w:r w:rsidRPr="0035702B">
        <w:t>4.</w:t>
      </w:r>
      <w:r w:rsidRPr="0035702B">
        <w:tab/>
        <w:t>Also at the same meeting, participants observed a minute of silence for the victims of human rights violations around the world.</w:t>
      </w:r>
    </w:p>
    <w:p w14:paraId="69F32FA1" w14:textId="77777777" w:rsidR="00141BCC" w:rsidRPr="0035702B" w:rsidRDefault="00141BCC" w:rsidP="00C431AD">
      <w:pPr>
        <w:pStyle w:val="H1G"/>
      </w:pPr>
      <w:bookmarkStart w:id="24" w:name="_Toc213748158"/>
      <w:r w:rsidRPr="0035702B">
        <w:tab/>
      </w:r>
      <w:bookmarkStart w:id="25" w:name="_Toc523845315"/>
      <w:bookmarkStart w:id="26" w:name="_Toc523845384"/>
      <w:bookmarkStart w:id="27" w:name="_Toc524094541"/>
      <w:bookmarkStart w:id="28" w:name="_Toc4598598"/>
      <w:bookmarkStart w:id="29" w:name="_Toc36718653"/>
      <w:bookmarkStart w:id="30" w:name="_Toc36723875"/>
      <w:r w:rsidRPr="0035702B">
        <w:t>B.</w:t>
      </w:r>
      <w:r w:rsidRPr="0035702B">
        <w:tab/>
        <w:t>Composition of the Advisory Committee</w:t>
      </w:r>
      <w:bookmarkEnd w:id="24"/>
      <w:bookmarkEnd w:id="25"/>
      <w:bookmarkEnd w:id="26"/>
      <w:bookmarkEnd w:id="27"/>
      <w:bookmarkEnd w:id="28"/>
      <w:bookmarkEnd w:id="29"/>
      <w:bookmarkEnd w:id="30"/>
    </w:p>
    <w:p w14:paraId="07B40FB6" w14:textId="43DCBD57" w:rsidR="001D142B" w:rsidRPr="0035702B" w:rsidRDefault="00141BCC" w:rsidP="0067219F">
      <w:pPr>
        <w:pStyle w:val="SingleTxtG"/>
      </w:pPr>
      <w:r w:rsidRPr="0035702B">
        <w:t>5.</w:t>
      </w:r>
      <w:r w:rsidRPr="0035702B">
        <w:tab/>
        <w:t>The membership of the Advisory Committee is as follows:</w:t>
      </w:r>
      <w:r w:rsidRPr="00123481">
        <w:rPr>
          <w:rStyle w:val="FootnoteReference"/>
        </w:rPr>
        <w:footnoteReference w:id="4"/>
      </w:r>
      <w:r w:rsidRPr="00123481">
        <w:rPr>
          <w:rStyle w:val="FootnoteReference"/>
        </w:rPr>
        <w:t xml:space="preserve"> </w:t>
      </w:r>
      <w:r w:rsidRPr="0035702B">
        <w:t xml:space="preserve">Ibrahim Abdulaziz Alsheddi (Saudi Arabia, 2021); </w:t>
      </w:r>
      <w:r w:rsidR="001D142B">
        <w:t>Buhm-Suk Baek (Republic of Korea, 2023); Nadia Amal Bernoussi (Morocco, 2023)</w:t>
      </w:r>
      <w:r w:rsidRPr="0035702B">
        <w:t xml:space="preserve">; Lazhari Bouzid (Algeria, 2022); Alessio Bruni (Italy, 2021); Milena Costas Trascasas (Spain, 2022); Iurii </w:t>
      </w:r>
      <w:r w:rsidR="001D142B">
        <w:t xml:space="preserve">Alexandrovich </w:t>
      </w:r>
      <w:r w:rsidRPr="0035702B">
        <w:t>Kolesnikov (Russian Federation, 2022); José Augusto Lindgren Alves (Brazil, 2021); Xinsheng Liu (China, 2022); Ajai Malhotra (India, 202</w:t>
      </w:r>
      <w:r w:rsidR="001D142B">
        <w:t>3</w:t>
      </w:r>
      <w:r w:rsidRPr="0035702B">
        <w:t>); Itsuko Nakai (Japan, 2022); Mona Omar (Egypt, 2022); Javier Palummo (Uruguay, 2022); Elizabeth Salmón (Peru, 202</w:t>
      </w:r>
      <w:r w:rsidR="001D142B">
        <w:t>3</w:t>
      </w:r>
      <w:r w:rsidRPr="0035702B">
        <w:t xml:space="preserve">); </w:t>
      </w:r>
      <w:r w:rsidR="001D142B">
        <w:t>Patrycja Anna Sasnal</w:t>
      </w:r>
      <w:r w:rsidR="001D142B">
        <w:tab/>
      </w:r>
      <w:r w:rsidR="001C17F0">
        <w:rPr>
          <w:lang w:val="en-US"/>
        </w:rPr>
        <w:t xml:space="preserve">(Poland, 2023); </w:t>
      </w:r>
      <w:r w:rsidRPr="0035702B">
        <w:t>Dheerujl</w:t>
      </w:r>
      <w:r w:rsidR="001D142B">
        <w:t>all Seetulsingh (Mauritius, 2023</w:t>
      </w:r>
      <w:r w:rsidRPr="0035702B">
        <w:t>); Cheikh</w:t>
      </w:r>
      <w:r w:rsidR="001C17F0">
        <w:t xml:space="preserve"> Tidiane Thiam (Senegal, 2021); and Catherine Van de Heyning (Belgium, 2023).</w:t>
      </w:r>
    </w:p>
    <w:p w14:paraId="420D213F" w14:textId="77777777" w:rsidR="00141BCC" w:rsidRPr="0035702B" w:rsidRDefault="00141BCC" w:rsidP="00C431AD">
      <w:pPr>
        <w:pStyle w:val="H1G"/>
      </w:pPr>
      <w:r w:rsidRPr="0035702B">
        <w:tab/>
      </w:r>
      <w:bookmarkStart w:id="31" w:name="_Toc523845316"/>
      <w:bookmarkStart w:id="32" w:name="_Toc523845385"/>
      <w:bookmarkStart w:id="33" w:name="_Toc524094542"/>
      <w:bookmarkStart w:id="34" w:name="_Toc4598599"/>
      <w:bookmarkStart w:id="35" w:name="_Toc36718654"/>
      <w:bookmarkStart w:id="36" w:name="_Toc36723876"/>
      <w:r w:rsidRPr="0035702B">
        <w:t>C.</w:t>
      </w:r>
      <w:r w:rsidRPr="0035702B">
        <w:tab/>
        <w:t>Attendance</w:t>
      </w:r>
      <w:bookmarkEnd w:id="31"/>
      <w:bookmarkEnd w:id="32"/>
      <w:bookmarkEnd w:id="33"/>
      <w:bookmarkEnd w:id="34"/>
      <w:bookmarkEnd w:id="35"/>
      <w:bookmarkEnd w:id="36"/>
    </w:p>
    <w:p w14:paraId="0CC132D3" w14:textId="77777777" w:rsidR="00141BCC" w:rsidRPr="0067219F" w:rsidRDefault="00141BCC" w:rsidP="00E70E08">
      <w:pPr>
        <w:pStyle w:val="SingleTxtG"/>
      </w:pPr>
      <w:r w:rsidRPr="0067219F">
        <w:t>6.</w:t>
      </w:r>
      <w:r w:rsidRPr="0067219F">
        <w:tab/>
        <w:t xml:space="preserve">The session was attended by members of the Advisory Committee and observers for States Members of the United Nations, as well as an intergovernmental organization and non-governmental organizations. </w:t>
      </w:r>
    </w:p>
    <w:p w14:paraId="6AC78052" w14:textId="3CCFFC00" w:rsidR="00141BCC" w:rsidRPr="0035702B" w:rsidRDefault="00141BCC" w:rsidP="0067219F">
      <w:pPr>
        <w:pStyle w:val="SingleTxtG"/>
      </w:pPr>
      <w:r w:rsidRPr="00030DA2">
        <w:t>7.</w:t>
      </w:r>
      <w:r w:rsidRPr="00030DA2">
        <w:tab/>
        <w:t>All members of the Advisory Committee participated in the session.</w:t>
      </w:r>
    </w:p>
    <w:p w14:paraId="0292C86C" w14:textId="77777777" w:rsidR="00141BCC" w:rsidRPr="0035702B" w:rsidRDefault="00141BCC" w:rsidP="00C431AD">
      <w:pPr>
        <w:pStyle w:val="H1G"/>
      </w:pPr>
      <w:bookmarkStart w:id="37" w:name="_Toc213748160"/>
      <w:r w:rsidRPr="0035702B">
        <w:tab/>
      </w:r>
      <w:bookmarkStart w:id="38" w:name="_Toc523845317"/>
      <w:bookmarkStart w:id="39" w:name="_Toc523845386"/>
      <w:bookmarkStart w:id="40" w:name="_Toc524094543"/>
      <w:bookmarkStart w:id="41" w:name="_Toc4598600"/>
      <w:bookmarkStart w:id="42" w:name="_Toc36718655"/>
      <w:bookmarkStart w:id="43" w:name="_Toc36723877"/>
      <w:r w:rsidRPr="0035702B">
        <w:t>D.</w:t>
      </w:r>
      <w:r w:rsidRPr="0035702B">
        <w:tab/>
        <w:t>Meetings</w:t>
      </w:r>
      <w:bookmarkEnd w:id="38"/>
      <w:bookmarkEnd w:id="39"/>
      <w:bookmarkEnd w:id="40"/>
      <w:bookmarkEnd w:id="41"/>
      <w:bookmarkEnd w:id="42"/>
      <w:bookmarkEnd w:id="43"/>
      <w:r w:rsidRPr="0035702B">
        <w:t xml:space="preserve"> </w:t>
      </w:r>
      <w:bookmarkEnd w:id="37"/>
    </w:p>
    <w:p w14:paraId="541F89CF" w14:textId="15037C74" w:rsidR="00141BCC" w:rsidRPr="0035702B" w:rsidRDefault="00141BCC" w:rsidP="0067219F">
      <w:pPr>
        <w:pStyle w:val="SingleTxtG"/>
      </w:pPr>
      <w:r w:rsidRPr="0035702B">
        <w:t>8.</w:t>
      </w:r>
      <w:r w:rsidRPr="0035702B">
        <w:tab/>
        <w:t>At its twenty-</w:t>
      </w:r>
      <w:r w:rsidR="00D1013C">
        <w:t>fifth</w:t>
      </w:r>
      <w:r w:rsidRPr="0035702B">
        <w:t xml:space="preserve"> </w:t>
      </w:r>
      <w:r w:rsidRPr="0067219F">
        <w:t xml:space="preserve">session, the Advisory Committee held </w:t>
      </w:r>
      <w:r w:rsidR="0067219F" w:rsidRPr="0067219F">
        <w:t xml:space="preserve">four </w:t>
      </w:r>
      <w:r w:rsidRPr="0067219F">
        <w:t xml:space="preserve">plenary meetings and </w:t>
      </w:r>
      <w:r w:rsidR="00FF6069" w:rsidRPr="0067219F">
        <w:rPr>
          <w:highlight w:val="yellow"/>
        </w:rPr>
        <w:t>1</w:t>
      </w:r>
      <w:r w:rsidR="0067219F" w:rsidRPr="0067219F">
        <w:rPr>
          <w:highlight w:val="yellow"/>
        </w:rPr>
        <w:t>0</w:t>
      </w:r>
      <w:r w:rsidR="0067219F" w:rsidRPr="0067219F">
        <w:t xml:space="preserve"> </w:t>
      </w:r>
      <w:r w:rsidRPr="0067219F">
        <w:t>closed meetings. The drafting groups</w:t>
      </w:r>
      <w:r w:rsidRPr="0035702B">
        <w:t xml:space="preserve"> held private meetings on the negative effects of terrorism on the enjoyment of human rights, </w:t>
      </w:r>
      <w:r w:rsidR="0014726E">
        <w:t>t</w:t>
      </w:r>
      <w:r w:rsidR="00FF6069">
        <w:t xml:space="preserve">he situation regarding racial </w:t>
      </w:r>
      <w:r w:rsidR="0014726E">
        <w:t>equality in the world,</w:t>
      </w:r>
      <w:r w:rsidR="00EA1408">
        <w:t xml:space="preserve"> </w:t>
      </w:r>
      <w:r w:rsidR="00EA1408" w:rsidRPr="00EA1408">
        <w:t>current levels of representation of women in human rights organs and mechanisms</w:t>
      </w:r>
      <w:r w:rsidR="00EA1408">
        <w:t xml:space="preserve">, and </w:t>
      </w:r>
      <w:r w:rsidR="00EA1408" w:rsidRPr="00EA1408">
        <w:t>new and emerging digital technologies and human rights</w:t>
      </w:r>
      <w:r w:rsidR="0067219F">
        <w:t>.</w:t>
      </w:r>
      <w:r w:rsidRPr="0035702B">
        <w:t xml:space="preserve"> </w:t>
      </w:r>
    </w:p>
    <w:p w14:paraId="58F6BB58" w14:textId="77777777" w:rsidR="00141BCC" w:rsidRPr="0035702B" w:rsidRDefault="00AE76EC" w:rsidP="00C431AD">
      <w:pPr>
        <w:pStyle w:val="H1G"/>
      </w:pPr>
      <w:bookmarkStart w:id="44" w:name="_Toc213748162"/>
      <w:bookmarkStart w:id="45" w:name="_Toc523845318"/>
      <w:bookmarkStart w:id="46" w:name="_Toc523845387"/>
      <w:bookmarkStart w:id="47" w:name="_Toc524094544"/>
      <w:bookmarkStart w:id="48" w:name="_Toc4598602"/>
      <w:r>
        <w:tab/>
      </w:r>
      <w:bookmarkStart w:id="49" w:name="_Toc36718656"/>
      <w:bookmarkStart w:id="50" w:name="_Toc36723878"/>
      <w:r w:rsidR="00141BCC" w:rsidRPr="0035702B">
        <w:t xml:space="preserve">E. </w:t>
      </w:r>
      <w:r w:rsidR="00141BCC" w:rsidRPr="0035702B">
        <w:tab/>
        <w:t>Election of officers</w:t>
      </w:r>
      <w:bookmarkEnd w:id="49"/>
      <w:bookmarkEnd w:id="50"/>
    </w:p>
    <w:p w14:paraId="0C7DF417" w14:textId="1F2BB237" w:rsidR="00141BCC" w:rsidRPr="0035702B" w:rsidRDefault="00141BCC" w:rsidP="006908B0">
      <w:pPr>
        <w:pStyle w:val="SingleTxtG"/>
      </w:pPr>
      <w:r w:rsidRPr="0035702B">
        <w:t>9.</w:t>
      </w:r>
      <w:r w:rsidRPr="0035702B">
        <w:tab/>
        <w:t>In accordance with rule 103 of the rules of procedure of the General Assembly and rule 5 of the rules of procedure of the Advisory Committee, the following officers were elected by acclamation at the first meeting of the twenty-</w:t>
      </w:r>
      <w:r w:rsidR="006908B0">
        <w:t>fifth</w:t>
      </w:r>
      <w:r w:rsidRPr="0035702B">
        <w:t xml:space="preserve"> session, held on 1</w:t>
      </w:r>
      <w:r w:rsidR="006908B0">
        <w:t>5 February 2021</w:t>
      </w:r>
      <w:r w:rsidRPr="0035702B">
        <w:t>:</w:t>
      </w:r>
    </w:p>
    <w:p w14:paraId="5709D704" w14:textId="26F19E64" w:rsidR="00141BCC" w:rsidRPr="00951207" w:rsidRDefault="00141BCC" w:rsidP="00FD6126">
      <w:pPr>
        <w:pStyle w:val="SingleTxtG"/>
        <w:ind w:left="3969" w:hanging="2268"/>
        <w:rPr>
          <w:lang w:val="pt-BR"/>
        </w:rPr>
      </w:pPr>
      <w:r w:rsidRPr="00951207">
        <w:rPr>
          <w:lang w:val="pt-BR"/>
        </w:rPr>
        <w:t>Chair:</w:t>
      </w:r>
      <w:r w:rsidRPr="00951207">
        <w:rPr>
          <w:lang w:val="pt-BR"/>
        </w:rPr>
        <w:tab/>
      </w:r>
      <w:r w:rsidR="00FD6126" w:rsidRPr="00951207">
        <w:rPr>
          <w:lang w:val="pt-BR"/>
        </w:rPr>
        <w:t>Ajai Malhotra</w:t>
      </w:r>
    </w:p>
    <w:p w14:paraId="2F8AAB4A" w14:textId="618DCE31" w:rsidR="00141BCC" w:rsidRPr="00951207" w:rsidRDefault="00141BCC" w:rsidP="00FF6069">
      <w:pPr>
        <w:pStyle w:val="SingleTxtG"/>
        <w:ind w:left="3969" w:hanging="2268"/>
        <w:rPr>
          <w:lang w:val="pt-BR"/>
        </w:rPr>
      </w:pPr>
      <w:r w:rsidRPr="00951207">
        <w:rPr>
          <w:lang w:val="pt-BR"/>
        </w:rPr>
        <w:t>Vice-Chairs:</w:t>
      </w:r>
      <w:r w:rsidRPr="00951207">
        <w:rPr>
          <w:lang w:val="pt-BR"/>
        </w:rPr>
        <w:tab/>
      </w:r>
      <w:r w:rsidR="00FF6069" w:rsidRPr="00951207">
        <w:rPr>
          <w:lang w:val="pt-BR"/>
        </w:rPr>
        <w:t>Nadia Amal Bernoussi</w:t>
      </w:r>
    </w:p>
    <w:p w14:paraId="4A12B872" w14:textId="514C9528" w:rsidR="00141BCC" w:rsidRPr="00951207" w:rsidRDefault="00BC6EE7" w:rsidP="0067219F">
      <w:pPr>
        <w:pStyle w:val="SingleTxtG"/>
        <w:ind w:left="3969" w:hanging="2268"/>
        <w:rPr>
          <w:lang w:val="pt-BR"/>
        </w:rPr>
      </w:pPr>
      <w:r w:rsidRPr="00951207">
        <w:rPr>
          <w:lang w:val="pt-BR"/>
        </w:rPr>
        <w:tab/>
      </w:r>
      <w:r w:rsidRPr="00951207">
        <w:rPr>
          <w:lang w:val="pt-BR"/>
        </w:rPr>
        <w:tab/>
      </w:r>
      <w:r w:rsidR="00FF6069" w:rsidRPr="00951207">
        <w:rPr>
          <w:lang w:val="pt-BR"/>
        </w:rPr>
        <w:t>Patrycja Anna Sasnal</w:t>
      </w:r>
    </w:p>
    <w:p w14:paraId="0202F780" w14:textId="6E3354FF" w:rsidR="0067219F" w:rsidRPr="00951207" w:rsidRDefault="0067219F" w:rsidP="0067219F">
      <w:pPr>
        <w:pStyle w:val="SingleTxtG"/>
        <w:ind w:left="3969" w:hanging="2268"/>
      </w:pPr>
      <w:r w:rsidRPr="00951207">
        <w:rPr>
          <w:lang w:val="pt-BR"/>
        </w:rPr>
        <w:tab/>
      </w:r>
      <w:r w:rsidRPr="00951207">
        <w:t>Alessio Bruni</w:t>
      </w:r>
    </w:p>
    <w:p w14:paraId="4B3AD989" w14:textId="5FB793AB" w:rsidR="00141BCC" w:rsidRPr="00951207" w:rsidRDefault="00141BCC" w:rsidP="00FD6126">
      <w:pPr>
        <w:pStyle w:val="SingleTxtG"/>
        <w:ind w:left="3969" w:hanging="2268"/>
      </w:pPr>
      <w:r w:rsidRPr="00951207">
        <w:t>Rapporteur:</w:t>
      </w:r>
      <w:r w:rsidRPr="00951207">
        <w:tab/>
      </w:r>
      <w:r w:rsidR="00FD6126" w:rsidRPr="00951207">
        <w:t>Javier Palummo</w:t>
      </w:r>
    </w:p>
    <w:p w14:paraId="2BB83ABB" w14:textId="77777777" w:rsidR="00141BCC" w:rsidRPr="0035702B" w:rsidRDefault="00141BCC" w:rsidP="00BC6EE7">
      <w:pPr>
        <w:pStyle w:val="H1G"/>
      </w:pPr>
      <w:r w:rsidRPr="00951207">
        <w:tab/>
      </w:r>
      <w:bookmarkStart w:id="51" w:name="_Toc36718657"/>
      <w:bookmarkStart w:id="52" w:name="_Toc36723879"/>
      <w:r w:rsidRPr="0035702B">
        <w:t>F.</w:t>
      </w:r>
      <w:r w:rsidRPr="0035702B">
        <w:tab/>
        <w:t>Adoption of the agend</w:t>
      </w:r>
      <w:bookmarkEnd w:id="44"/>
      <w:r w:rsidRPr="0035702B">
        <w:t>a</w:t>
      </w:r>
      <w:bookmarkEnd w:id="45"/>
      <w:bookmarkEnd w:id="46"/>
      <w:bookmarkEnd w:id="47"/>
      <w:bookmarkEnd w:id="48"/>
      <w:bookmarkEnd w:id="51"/>
      <w:bookmarkEnd w:id="52"/>
    </w:p>
    <w:p w14:paraId="55B1E93B" w14:textId="0591964C" w:rsidR="00141BCC" w:rsidRPr="0035702B" w:rsidRDefault="00141BCC" w:rsidP="00FF6069">
      <w:pPr>
        <w:pStyle w:val="SingleTxtG"/>
      </w:pPr>
      <w:r w:rsidRPr="0035702B">
        <w:t>10.</w:t>
      </w:r>
      <w:r w:rsidRPr="0035702B">
        <w:tab/>
        <w:t>At its 1st meeting, on 1</w:t>
      </w:r>
      <w:r w:rsidR="006908B0">
        <w:t>5 February 2021</w:t>
      </w:r>
      <w:r w:rsidRPr="0035702B">
        <w:t xml:space="preserve">, the Advisory Committee adopted its agenda </w:t>
      </w:r>
      <w:r w:rsidR="00FD6126" w:rsidRPr="0067219F">
        <w:t>(A/HRC/AC/25</w:t>
      </w:r>
      <w:r w:rsidRPr="0067219F">
        <w:t>/1</w:t>
      </w:r>
      <w:r w:rsidR="00FD6126" w:rsidRPr="0067219F">
        <w:t>/Rev.1</w:t>
      </w:r>
      <w:r w:rsidRPr="0067219F">
        <w:t>) (for the list of documents issued for the twenty-</w:t>
      </w:r>
      <w:r w:rsidR="00FF6069" w:rsidRPr="0067219F">
        <w:t>fifth</w:t>
      </w:r>
      <w:r w:rsidRPr="0067219F">
        <w:t xml:space="preserve"> session, see annex</w:t>
      </w:r>
      <w:r w:rsidR="00123481" w:rsidRPr="0067219F">
        <w:t xml:space="preserve"> </w:t>
      </w:r>
      <w:r w:rsidRPr="0067219F">
        <w:t>I).</w:t>
      </w:r>
      <w:r w:rsidRPr="0035702B">
        <w:t xml:space="preserve"> </w:t>
      </w:r>
    </w:p>
    <w:p w14:paraId="254D5959" w14:textId="77777777" w:rsidR="00141BCC" w:rsidRPr="0035702B" w:rsidRDefault="00141BCC" w:rsidP="00BC6EE7">
      <w:pPr>
        <w:pStyle w:val="H1G"/>
      </w:pPr>
      <w:bookmarkStart w:id="53" w:name="_Toc213748163"/>
      <w:r w:rsidRPr="0035702B">
        <w:tab/>
      </w:r>
      <w:bookmarkStart w:id="54" w:name="_Toc523845319"/>
      <w:bookmarkStart w:id="55" w:name="_Toc523845388"/>
      <w:bookmarkStart w:id="56" w:name="_Toc524094545"/>
      <w:bookmarkStart w:id="57" w:name="_Toc4598603"/>
      <w:bookmarkStart w:id="58" w:name="_Toc36718658"/>
      <w:bookmarkStart w:id="59" w:name="_Toc36723880"/>
      <w:r w:rsidRPr="0035702B">
        <w:t>G.</w:t>
      </w:r>
      <w:r w:rsidRPr="0035702B">
        <w:tab/>
        <w:t>Organization of work</w:t>
      </w:r>
      <w:bookmarkEnd w:id="53"/>
      <w:bookmarkEnd w:id="54"/>
      <w:bookmarkEnd w:id="55"/>
      <w:bookmarkEnd w:id="56"/>
      <w:bookmarkEnd w:id="57"/>
      <w:bookmarkEnd w:id="58"/>
      <w:bookmarkEnd w:id="59"/>
    </w:p>
    <w:p w14:paraId="236967CD" w14:textId="2E0C0772" w:rsidR="00141BCC" w:rsidRPr="0035702B" w:rsidRDefault="00141BCC" w:rsidP="006908B0">
      <w:pPr>
        <w:pStyle w:val="SingleTxtG"/>
      </w:pPr>
      <w:r w:rsidRPr="0035702B">
        <w:t>11.</w:t>
      </w:r>
      <w:r w:rsidRPr="0035702B">
        <w:tab/>
        <w:t>At its 1st meeting, on 1</w:t>
      </w:r>
      <w:r w:rsidR="006908B0">
        <w:t>5 February 2021</w:t>
      </w:r>
      <w:r w:rsidRPr="0035702B">
        <w:t>, the Advisory Committee adopted the draft programme of work prepared by the secretariat.</w:t>
      </w:r>
    </w:p>
    <w:p w14:paraId="1DBFED5B" w14:textId="77777777" w:rsidR="00141BCC" w:rsidRPr="0035702B" w:rsidRDefault="00141BCC" w:rsidP="00624909">
      <w:pPr>
        <w:pStyle w:val="HChG"/>
        <w:jc w:val="both"/>
      </w:pPr>
      <w:r w:rsidRPr="0035702B">
        <w:tab/>
      </w:r>
      <w:bookmarkStart w:id="60" w:name="_Toc523845320"/>
      <w:bookmarkStart w:id="61" w:name="_Toc523845389"/>
      <w:bookmarkStart w:id="62" w:name="_Toc524094546"/>
      <w:bookmarkStart w:id="63" w:name="_Toc4598604"/>
      <w:bookmarkStart w:id="64" w:name="_Toc36718659"/>
      <w:bookmarkStart w:id="65" w:name="_Toc36723881"/>
      <w:r w:rsidRPr="0035702B">
        <w:t>III.</w:t>
      </w:r>
      <w:r w:rsidRPr="0035702B">
        <w:tab/>
        <w:t>Requests addressed to the Advisory Committee stemming from Human Rights Council resolutions and currently under consideration</w:t>
      </w:r>
      <w:bookmarkEnd w:id="60"/>
      <w:bookmarkEnd w:id="61"/>
      <w:bookmarkEnd w:id="62"/>
      <w:bookmarkEnd w:id="63"/>
      <w:bookmarkEnd w:id="64"/>
      <w:bookmarkEnd w:id="65"/>
    </w:p>
    <w:p w14:paraId="67017347" w14:textId="402710BF" w:rsidR="00141BCC" w:rsidRPr="0035702B" w:rsidRDefault="00141BCC" w:rsidP="00FF6069">
      <w:pPr>
        <w:pStyle w:val="H1G"/>
      </w:pPr>
      <w:bookmarkStart w:id="66" w:name="_Toc523845322"/>
      <w:bookmarkStart w:id="67" w:name="_Toc523845391"/>
      <w:bookmarkStart w:id="68" w:name="_Toc524094548"/>
      <w:r w:rsidRPr="0035702B">
        <w:tab/>
      </w:r>
      <w:bookmarkStart w:id="69" w:name="_Toc36718660"/>
      <w:bookmarkStart w:id="70" w:name="_Toc36723882"/>
      <w:r w:rsidRPr="0035702B">
        <w:t>A.</w:t>
      </w:r>
      <w:r w:rsidRPr="0035702B">
        <w:tab/>
      </w:r>
      <w:bookmarkEnd w:id="69"/>
      <w:bookmarkEnd w:id="70"/>
      <w:r w:rsidR="00FF6069">
        <w:t>T</w:t>
      </w:r>
      <w:r w:rsidR="00FF6069" w:rsidRPr="00FF6069">
        <w:t>he situation regarding racial equality in the world</w:t>
      </w:r>
    </w:p>
    <w:p w14:paraId="3DB065FA" w14:textId="57F73C9D" w:rsidR="00141BCC" w:rsidRPr="00B9480B" w:rsidRDefault="00FF6069" w:rsidP="00A92E46">
      <w:pPr>
        <w:pStyle w:val="SingleTxtG"/>
      </w:pPr>
      <w:r>
        <w:t>12.</w:t>
      </w:r>
      <w:r>
        <w:tab/>
      </w:r>
      <w:r w:rsidR="00A92E46" w:rsidRPr="00A92E46">
        <w:t>At its 2nd meetin</w:t>
      </w:r>
      <w:r w:rsidR="00A92E46">
        <w:t>g, on 16 February 2021</w:t>
      </w:r>
      <w:r w:rsidR="00A92E46" w:rsidRPr="00A92E46">
        <w:t>, the Advisory Committee held, pursuant to General Assembly resolutions 72/157 and 73/262, a discussion on the situation regarding racial equality in the world, and on ways and means of assessing the situation while identifying possible gaps and overlaps.</w:t>
      </w:r>
      <w:r w:rsidR="00A92E46">
        <w:t xml:space="preserve"> </w:t>
      </w:r>
      <w:r w:rsidR="00141BCC" w:rsidRPr="0035702B">
        <w:t>During the ensuing discussion, statements were made by members of the Committee, rep</w:t>
      </w:r>
      <w:r w:rsidR="00A92E46">
        <w:t xml:space="preserve">resentatives of observer States, a representative of an intergovernmental organization, and </w:t>
      </w:r>
      <w:r w:rsidR="00141BCC" w:rsidRPr="0035702B">
        <w:t xml:space="preserve">a representative of a non-governmental organization </w:t>
      </w:r>
      <w:r w:rsidR="00141BCC" w:rsidRPr="00B9480B">
        <w:t>(see annex II).</w:t>
      </w:r>
    </w:p>
    <w:p w14:paraId="0681E5D9" w14:textId="0E70E36D" w:rsidR="00FF6069" w:rsidRPr="00B9480B" w:rsidRDefault="0067219F" w:rsidP="00B9480B">
      <w:pPr>
        <w:pStyle w:val="SingleTxtG"/>
      </w:pPr>
      <w:r w:rsidRPr="00B9480B">
        <w:t>13.</w:t>
      </w:r>
      <w:r w:rsidRPr="00B9480B">
        <w:tab/>
      </w:r>
      <w:bookmarkEnd w:id="66"/>
      <w:bookmarkEnd w:id="67"/>
      <w:bookmarkEnd w:id="68"/>
      <w:r w:rsidR="00FF6069" w:rsidRPr="00B9480B">
        <w:t xml:space="preserve"> </w:t>
      </w:r>
    </w:p>
    <w:p w14:paraId="572280F9" w14:textId="05715DB2" w:rsidR="00FF6069" w:rsidRPr="00B9480B" w:rsidRDefault="007C0467" w:rsidP="00FF6069">
      <w:pPr>
        <w:pStyle w:val="H1G"/>
      </w:pPr>
      <w:bookmarkStart w:id="71" w:name="_Toc523845326"/>
      <w:bookmarkStart w:id="72" w:name="_Toc523845395"/>
      <w:bookmarkStart w:id="73" w:name="_Toc524094552"/>
      <w:bookmarkStart w:id="74" w:name="_Toc36718665"/>
      <w:bookmarkStart w:id="75" w:name="_Toc36723887"/>
      <w:r w:rsidRPr="00B9480B">
        <w:tab/>
      </w:r>
      <w:r w:rsidR="00A92E46" w:rsidRPr="00B9480B">
        <w:t>B</w:t>
      </w:r>
      <w:r w:rsidR="00FF6069" w:rsidRPr="00B9480B">
        <w:t>.</w:t>
      </w:r>
      <w:r w:rsidR="00FF6069" w:rsidRPr="00B9480B">
        <w:tab/>
      </w:r>
      <w:bookmarkEnd w:id="71"/>
      <w:bookmarkEnd w:id="72"/>
      <w:bookmarkEnd w:id="73"/>
      <w:r w:rsidR="00FF6069" w:rsidRPr="00B9480B">
        <w:t>Current levels of representation of women in human rights organs and mechanisms</w:t>
      </w:r>
      <w:bookmarkEnd w:id="74"/>
      <w:bookmarkEnd w:id="75"/>
    </w:p>
    <w:p w14:paraId="61BAAB1E" w14:textId="7C73C5BE" w:rsidR="00FF6069" w:rsidRPr="00B9480B" w:rsidRDefault="00E5615E" w:rsidP="00A92E46">
      <w:pPr>
        <w:pStyle w:val="SingleTxtG"/>
      </w:pPr>
      <w:r w:rsidRPr="00B9480B">
        <w:t>14</w:t>
      </w:r>
      <w:r w:rsidR="0067219F" w:rsidRPr="00B9480B">
        <w:t>.</w:t>
      </w:r>
      <w:r w:rsidR="0067219F" w:rsidRPr="00B9480B">
        <w:tab/>
        <w:t>At its 2nd</w:t>
      </w:r>
      <w:r w:rsidR="00FF6069" w:rsidRPr="00B9480B">
        <w:t xml:space="preserve"> meeting, on 16 February 2021, the Advisory Committee held, pursuant to Human Rights Council resolution 41/6, a discussion on the current levels of representation of women in human rights organs and mechanisms. During the ensuing discussion, statements were made by members of the Committee, representatives of obser</w:t>
      </w:r>
      <w:r w:rsidR="00A92E46" w:rsidRPr="00B9480B">
        <w:t xml:space="preserve">ver States, a </w:t>
      </w:r>
      <w:r w:rsidR="00FF6069" w:rsidRPr="00B9480B">
        <w:t xml:space="preserve">representative of </w:t>
      </w:r>
      <w:r w:rsidR="00A92E46" w:rsidRPr="00B9480B">
        <w:t xml:space="preserve">an </w:t>
      </w:r>
      <w:r w:rsidR="00FF6069" w:rsidRPr="00B9480B">
        <w:t>intergovernmental organization</w:t>
      </w:r>
      <w:r w:rsidR="00A92E46" w:rsidRPr="00B9480B">
        <w:t>, and representatives of non-governmental organizations</w:t>
      </w:r>
      <w:r w:rsidR="00FF6069" w:rsidRPr="00B9480B">
        <w:t xml:space="preserve"> (see annex II).</w:t>
      </w:r>
    </w:p>
    <w:p w14:paraId="582CFC4C" w14:textId="46474AAA" w:rsidR="00FF6069" w:rsidRPr="0035702B" w:rsidRDefault="00E5615E" w:rsidP="00B9480B">
      <w:pPr>
        <w:pStyle w:val="SingleTxtG"/>
      </w:pPr>
      <w:r w:rsidRPr="00B9480B">
        <w:t>15</w:t>
      </w:r>
      <w:r w:rsidR="00FF6069" w:rsidRPr="00B9480B">
        <w:t xml:space="preserve">. </w:t>
      </w:r>
      <w:r w:rsidR="00FF6069" w:rsidRPr="00B9480B">
        <w:tab/>
      </w:r>
    </w:p>
    <w:p w14:paraId="779BEBDF" w14:textId="683911C8" w:rsidR="00141BCC" w:rsidRPr="0035702B" w:rsidRDefault="00141BCC" w:rsidP="00A92E46">
      <w:pPr>
        <w:pStyle w:val="H1G"/>
      </w:pPr>
      <w:bookmarkStart w:id="76" w:name="_Toc213748167"/>
      <w:r w:rsidRPr="0035702B">
        <w:tab/>
      </w:r>
      <w:bookmarkStart w:id="77" w:name="_Toc36718664"/>
      <w:bookmarkStart w:id="78" w:name="_Toc36723886"/>
      <w:r w:rsidR="00A92E46">
        <w:t>C</w:t>
      </w:r>
      <w:r w:rsidRPr="0035702B">
        <w:t>.</w:t>
      </w:r>
      <w:r w:rsidRPr="0035702B">
        <w:tab/>
        <w:t>New and emerging digital technologies</w:t>
      </w:r>
      <w:bookmarkEnd w:id="77"/>
      <w:bookmarkEnd w:id="78"/>
    </w:p>
    <w:p w14:paraId="0248A3E4" w14:textId="6716D498" w:rsidR="00A92E46" w:rsidRPr="00B9480B" w:rsidRDefault="00E5615E" w:rsidP="00532383">
      <w:pPr>
        <w:pStyle w:val="SingleTxtG"/>
      </w:pPr>
      <w:r>
        <w:t>16</w:t>
      </w:r>
      <w:r w:rsidR="00532383">
        <w:t>.</w:t>
      </w:r>
      <w:r w:rsidR="00532383">
        <w:tab/>
        <w:t>At its 3rd</w:t>
      </w:r>
      <w:r w:rsidR="00A92E46">
        <w:t xml:space="preserve"> meeting, on 17 February 2021</w:t>
      </w:r>
      <w:r w:rsidR="00141BCC" w:rsidRPr="0035702B">
        <w:t xml:space="preserve">, the Advisory Committee held, pursuant to Human Rights </w:t>
      </w:r>
      <w:r w:rsidR="00141BCC" w:rsidRPr="00532383">
        <w:t xml:space="preserve">Council resolution 41/11, a discussion on new and emerging digital technologies and human rights. </w:t>
      </w:r>
      <w:r w:rsidR="00A92E46" w:rsidRPr="00532383">
        <w:t xml:space="preserve">In that context, the former Rapporteur of the drafting group on new and emerging technologies and human rights, Mr. Soh, </w:t>
      </w:r>
      <w:r w:rsidR="009664DE" w:rsidRPr="00532383">
        <w:t>participated as a panellist and</w:t>
      </w:r>
      <w:r w:rsidR="00532383">
        <w:t xml:space="preserve"> briefly</w:t>
      </w:r>
      <w:r w:rsidR="009664DE" w:rsidRPr="00532383">
        <w:t xml:space="preserve"> </w:t>
      </w:r>
      <w:r w:rsidR="00532383">
        <w:t xml:space="preserve">presented </w:t>
      </w:r>
      <w:r w:rsidR="009664DE" w:rsidRPr="00532383">
        <w:t>the report</w:t>
      </w:r>
      <w:r w:rsidR="00A92E46" w:rsidRPr="00532383">
        <w:t>.</w:t>
      </w:r>
      <w:r w:rsidR="000B0D87" w:rsidRPr="00532383">
        <w:t xml:space="preserve"> During the ensuing discussion, statements were made by me</w:t>
      </w:r>
      <w:r w:rsidR="000B0D87" w:rsidRPr="00B9480B">
        <w:t>mbers of the Committee, rep</w:t>
      </w:r>
      <w:r w:rsidR="00FE5E59" w:rsidRPr="00B9480B">
        <w:t xml:space="preserve">resentatives of observer States, a representative of an intergovernmental organization, </w:t>
      </w:r>
      <w:r w:rsidR="000B0D87" w:rsidRPr="00B9480B">
        <w:t>and representative</w:t>
      </w:r>
      <w:r w:rsidR="00FE5E59" w:rsidRPr="00B9480B">
        <w:t>s</w:t>
      </w:r>
      <w:r w:rsidR="000B0D87" w:rsidRPr="00B9480B">
        <w:t xml:space="preserve"> of </w:t>
      </w:r>
      <w:r w:rsidR="00FE5E59" w:rsidRPr="00B9480B">
        <w:t xml:space="preserve">non-governmental </w:t>
      </w:r>
      <w:r w:rsidR="000B0D87" w:rsidRPr="00B9480B">
        <w:t>organization</w:t>
      </w:r>
      <w:r w:rsidR="00FE5E59" w:rsidRPr="00B9480B">
        <w:t>s</w:t>
      </w:r>
      <w:r w:rsidR="000B0D87" w:rsidRPr="00B9480B">
        <w:t xml:space="preserve"> (see annex II).</w:t>
      </w:r>
    </w:p>
    <w:p w14:paraId="0CAA697A" w14:textId="2DE562A4" w:rsidR="00A92E46" w:rsidRDefault="00E5615E" w:rsidP="00B9480B">
      <w:pPr>
        <w:pStyle w:val="SingleTxtG"/>
      </w:pPr>
      <w:r w:rsidRPr="00B9480B">
        <w:t>17</w:t>
      </w:r>
      <w:r w:rsidR="00141BCC" w:rsidRPr="00B9480B">
        <w:t>.</w:t>
      </w:r>
      <w:r w:rsidR="00141BCC" w:rsidRPr="00B9480B">
        <w:tab/>
      </w:r>
    </w:p>
    <w:p w14:paraId="4EF78601" w14:textId="66D9B61C" w:rsidR="00A92E46" w:rsidRPr="0035702B" w:rsidRDefault="000B0D87" w:rsidP="00A92E46">
      <w:pPr>
        <w:pStyle w:val="H1G"/>
      </w:pPr>
      <w:r>
        <w:tab/>
        <w:t>D</w:t>
      </w:r>
      <w:r w:rsidR="00A92E46" w:rsidRPr="0035702B">
        <w:t>.</w:t>
      </w:r>
      <w:r w:rsidR="00A92E46" w:rsidRPr="0035702B">
        <w:tab/>
        <w:t>Negative effects of terrorism on the enjoyment of human rights</w:t>
      </w:r>
    </w:p>
    <w:p w14:paraId="08DCB553" w14:textId="6810F8B0" w:rsidR="00A92E46" w:rsidRPr="00B9480B" w:rsidRDefault="00532383" w:rsidP="00E5615E">
      <w:pPr>
        <w:pStyle w:val="SingleTxtG"/>
      </w:pPr>
      <w:r w:rsidRPr="00B9480B">
        <w:t>1</w:t>
      </w:r>
      <w:r w:rsidR="00E5615E" w:rsidRPr="00B9480B">
        <w:t>8</w:t>
      </w:r>
      <w:r w:rsidRPr="00B9480B">
        <w:t>.</w:t>
      </w:r>
      <w:r w:rsidRPr="00B9480B">
        <w:tab/>
        <w:t>At its 3rd</w:t>
      </w:r>
      <w:r w:rsidR="000B0D87" w:rsidRPr="00B9480B">
        <w:t xml:space="preserve"> meeting</w:t>
      </w:r>
      <w:r w:rsidR="00A92E46" w:rsidRPr="00B9480B">
        <w:t>, on 17 Fe</w:t>
      </w:r>
      <w:r w:rsidR="000B0D87" w:rsidRPr="00B9480B">
        <w:t>bruary 2021</w:t>
      </w:r>
      <w:r w:rsidR="00A92E46" w:rsidRPr="00B9480B">
        <w:t xml:space="preserve">, the Advisory Committee held, pursuant to Human Rights Council resolution 34/8, a discussion on the negative effects of terrorism on the enjoyment of human rights. During the ensuing discussion, statements were made by </w:t>
      </w:r>
      <w:r w:rsidR="00FE5E59" w:rsidRPr="00B9480B">
        <w:t>a member</w:t>
      </w:r>
      <w:r w:rsidR="00A92E46" w:rsidRPr="00B9480B">
        <w:t xml:space="preserve"> of the Committee, represent</w:t>
      </w:r>
      <w:r w:rsidR="00FE5E59" w:rsidRPr="00B9480B">
        <w:t xml:space="preserve">atives of observer States and </w:t>
      </w:r>
      <w:r w:rsidR="00A92E46" w:rsidRPr="00B9480B">
        <w:t>representative</w:t>
      </w:r>
      <w:r w:rsidR="00FE5E59" w:rsidRPr="00B9480B">
        <w:t xml:space="preserve">s of non-governmental organizations </w:t>
      </w:r>
      <w:r w:rsidR="00A92E46" w:rsidRPr="00B9480B">
        <w:t>(see annex II).</w:t>
      </w:r>
    </w:p>
    <w:p w14:paraId="4FD4AA9A" w14:textId="6F231EFC" w:rsidR="00141BCC" w:rsidRPr="00B9480B" w:rsidRDefault="00E5615E" w:rsidP="00B9480B">
      <w:pPr>
        <w:pStyle w:val="SingleTxtG"/>
      </w:pPr>
      <w:r w:rsidRPr="00B9480B">
        <w:t>19</w:t>
      </w:r>
      <w:r w:rsidR="00FA228E" w:rsidRPr="00B9480B">
        <w:t>.</w:t>
      </w:r>
      <w:r w:rsidR="00FA228E" w:rsidRPr="00B9480B">
        <w:tab/>
      </w:r>
    </w:p>
    <w:bookmarkEnd w:id="76"/>
    <w:p w14:paraId="406AA61D" w14:textId="3DC10CD4" w:rsidR="00764C08" w:rsidRDefault="00141BCC" w:rsidP="00624909">
      <w:pPr>
        <w:pStyle w:val="HChG"/>
        <w:jc w:val="both"/>
      </w:pPr>
      <w:r w:rsidRPr="00B9480B">
        <w:tab/>
      </w:r>
      <w:bookmarkStart w:id="79" w:name="_Toc523845327"/>
      <w:bookmarkStart w:id="80" w:name="_Toc523845396"/>
      <w:bookmarkStart w:id="81" w:name="_Toc524094553"/>
      <w:bookmarkStart w:id="82" w:name="_Toc4598605"/>
      <w:bookmarkStart w:id="83" w:name="_Toc36718667"/>
      <w:bookmarkStart w:id="84" w:name="_Toc36723889"/>
      <w:r w:rsidRPr="00B9480B">
        <w:t>IV.</w:t>
      </w:r>
      <w:r w:rsidRPr="00B9480B">
        <w:tab/>
        <w:t>Implementation</w:t>
      </w:r>
      <w:r w:rsidRPr="00FA228E">
        <w:t xml:space="preserve"> of sections III and IV of the annex to </w:t>
      </w:r>
      <w:r w:rsidRPr="00FA228E">
        <w:br/>
        <w:t xml:space="preserve">Human Rights Council resolution 5/1 of 18 June 2007, </w:t>
      </w:r>
      <w:r w:rsidRPr="00FA228E">
        <w:br/>
        <w:t>and of section III of the annex to Human Rights Council resolution 16/21 of 25 March 2011</w:t>
      </w:r>
      <w:bookmarkEnd w:id="79"/>
      <w:bookmarkEnd w:id="80"/>
      <w:bookmarkEnd w:id="81"/>
      <w:bookmarkEnd w:id="82"/>
      <w:bookmarkEnd w:id="83"/>
      <w:bookmarkEnd w:id="84"/>
    </w:p>
    <w:p w14:paraId="480F4395" w14:textId="7EED9BBC" w:rsidR="00951207" w:rsidRPr="0035702B" w:rsidRDefault="00951207" w:rsidP="00951207">
      <w:pPr>
        <w:pStyle w:val="H1G"/>
      </w:pPr>
      <w:r w:rsidRPr="0035702B">
        <w:tab/>
      </w:r>
      <w:r>
        <w:t>A</w:t>
      </w:r>
      <w:r w:rsidRPr="0035702B">
        <w:t>.</w:t>
      </w:r>
      <w:r w:rsidRPr="0035702B">
        <w:tab/>
      </w:r>
      <w:r w:rsidRPr="00951207">
        <w:t>Agenda and annual programme of work, including new priorities</w:t>
      </w:r>
    </w:p>
    <w:p w14:paraId="45AE0A4C" w14:textId="77777777" w:rsidR="00951207" w:rsidRDefault="00951207" w:rsidP="00951207">
      <w:pPr>
        <w:pStyle w:val="SingleTxtG"/>
      </w:pPr>
      <w:r>
        <w:t>20.</w:t>
      </w:r>
      <w:r>
        <w:tab/>
        <w:t>On 18 February 2021, the Advisory Committee held, in a closed meeting, a discussion on new priorities and potential research proposals it could make to the Human Rights Council.</w:t>
      </w:r>
    </w:p>
    <w:p w14:paraId="506B7F0D" w14:textId="4ACE56FC" w:rsidR="00951207" w:rsidRDefault="00951207" w:rsidP="00D849B3">
      <w:pPr>
        <w:pStyle w:val="SingleTxtG"/>
      </w:pPr>
      <w:r>
        <w:t>21.</w:t>
      </w:r>
      <w:r>
        <w:tab/>
      </w:r>
      <w:bookmarkStart w:id="85" w:name="_GoBack"/>
      <w:bookmarkEnd w:id="85"/>
    </w:p>
    <w:p w14:paraId="3A1AB4C4" w14:textId="7152E4EF" w:rsidR="00764C08" w:rsidRPr="0035702B" w:rsidRDefault="00764C08" w:rsidP="00624909">
      <w:pPr>
        <w:pStyle w:val="H1G"/>
      </w:pPr>
      <w:r w:rsidRPr="0035702B">
        <w:tab/>
      </w:r>
      <w:r w:rsidR="00951207">
        <w:t>B</w:t>
      </w:r>
      <w:r w:rsidRPr="0035702B">
        <w:t>.</w:t>
      </w:r>
      <w:r w:rsidRPr="0035702B">
        <w:tab/>
      </w:r>
      <w:r w:rsidRPr="00764C08">
        <w:t>Appointment of members of the Working Group on Communications</w:t>
      </w:r>
    </w:p>
    <w:p w14:paraId="7D7EFCFC" w14:textId="723C6288" w:rsidR="00764C08" w:rsidRPr="00624909" w:rsidRDefault="00B9480B" w:rsidP="00764C08">
      <w:pPr>
        <w:pStyle w:val="SingleTxtG"/>
      </w:pPr>
      <w:r>
        <w:t>22</w:t>
      </w:r>
      <w:r w:rsidR="00764C08">
        <w:t>.</w:t>
      </w:r>
      <w:r w:rsidR="00764C08">
        <w:tab/>
        <w:t xml:space="preserve">According to paragraphs 91 to 93 of the annex to Human Rights Council resolution 5/1, the Advisory Committee is to appoint five of its members, one from each regional group, with due consideration to gender balance, to constitute the Working Group on Communications. In the event of a vacancy, the Committee should appoint an independent and highly qualified expert from the same regional group from the Committee. Since there is a need for independent expertise and continuity with regard to the examination and assessment of communications received, the independent and highly qualified experts of the </w:t>
      </w:r>
      <w:r w:rsidR="00764C08" w:rsidRPr="00624909">
        <w:t>Working Group are appointed for three years. Their mandate is renewable only once.</w:t>
      </w:r>
    </w:p>
    <w:p w14:paraId="3E94A7A7" w14:textId="7D30A5B0" w:rsidR="00624909" w:rsidRDefault="00E5615E" w:rsidP="00B9480B">
      <w:pPr>
        <w:pStyle w:val="SingleTxtG"/>
      </w:pPr>
      <w:r>
        <w:t>2</w:t>
      </w:r>
      <w:r w:rsidR="00B9480B">
        <w:t>3</w:t>
      </w:r>
      <w:r w:rsidR="00764C08" w:rsidRPr="00624909">
        <w:t>.</w:t>
      </w:r>
      <w:r w:rsidR="00764C08" w:rsidRPr="00624909">
        <w:tab/>
      </w:r>
      <w:r w:rsidR="00624909" w:rsidRPr="00624909">
        <w:t xml:space="preserve">The current members of the Working Group on Communications were appointed by the Advisory Committee at its seventeenth, twenty-first and twenty-third sessions (A/HRC/AC/17/2, para. 26; A/HRC/AC/21/2, paras. 22–24; and A/HRC/AC/23/2, paras. 25–27). </w:t>
      </w:r>
    </w:p>
    <w:p w14:paraId="2E79FFDA" w14:textId="18121C99" w:rsidR="00764C08" w:rsidRPr="00030DA2" w:rsidRDefault="00E5615E" w:rsidP="00B9480B">
      <w:pPr>
        <w:pStyle w:val="SingleTxtG"/>
      </w:pPr>
      <w:r w:rsidRPr="00030DA2">
        <w:t>2</w:t>
      </w:r>
      <w:r w:rsidR="00B9480B" w:rsidRPr="00030DA2">
        <w:t>4</w:t>
      </w:r>
      <w:r w:rsidR="00764C08" w:rsidRPr="00030DA2">
        <w:t>.</w:t>
      </w:r>
      <w:r w:rsidR="00764C08" w:rsidRPr="00030DA2">
        <w:tab/>
        <w:t>In view of the</w:t>
      </w:r>
      <w:r w:rsidR="00AE1D33" w:rsidRPr="00030DA2">
        <w:t xml:space="preserve"> fact that the Working Group had</w:t>
      </w:r>
      <w:r w:rsidR="00764C08" w:rsidRPr="00030DA2">
        <w:t xml:space="preserve"> </w:t>
      </w:r>
      <w:r w:rsidR="009664DE" w:rsidRPr="00030DA2">
        <w:t xml:space="preserve">three </w:t>
      </w:r>
      <w:r w:rsidR="00764C08" w:rsidRPr="00030DA2">
        <w:t xml:space="preserve">vacancies, since the term of </w:t>
      </w:r>
      <w:r w:rsidR="009664DE" w:rsidRPr="00030DA2">
        <w:t>two</w:t>
      </w:r>
      <w:r w:rsidR="00764C08" w:rsidRPr="00030DA2">
        <w:t xml:space="preserve"> member</w:t>
      </w:r>
      <w:r w:rsidR="009664DE" w:rsidRPr="00030DA2">
        <w:t>s</w:t>
      </w:r>
      <w:r w:rsidR="00764C08" w:rsidRPr="00030DA2">
        <w:t xml:space="preserve">, </w:t>
      </w:r>
      <w:r w:rsidR="009664DE" w:rsidRPr="00030DA2">
        <w:t>Mr</w:t>
      </w:r>
      <w:r w:rsidR="00624909" w:rsidRPr="00030DA2">
        <w:t>.</w:t>
      </w:r>
      <w:r w:rsidR="009664DE" w:rsidRPr="00030DA2">
        <w:t xml:space="preserve"> </w:t>
      </w:r>
      <w:r w:rsidR="00624909" w:rsidRPr="00030DA2">
        <w:t xml:space="preserve">Changrok Soh </w:t>
      </w:r>
      <w:r w:rsidR="009664DE" w:rsidRPr="00030DA2">
        <w:t>(</w:t>
      </w:r>
      <w:r w:rsidR="00AE1D33" w:rsidRPr="00030DA2">
        <w:t>Asia and the Pacific Group</w:t>
      </w:r>
      <w:r w:rsidR="009664DE" w:rsidRPr="00030DA2">
        <w:t>)</w:t>
      </w:r>
      <w:r w:rsidR="00624909" w:rsidRPr="00030DA2">
        <w:t xml:space="preserve"> and Mr.</w:t>
      </w:r>
      <w:r w:rsidR="009664DE" w:rsidRPr="00030DA2">
        <w:t xml:space="preserve"> Ion Diaconu </w:t>
      </w:r>
      <w:r w:rsidR="00764C08" w:rsidRPr="00030DA2">
        <w:t>(</w:t>
      </w:r>
      <w:r w:rsidR="00AE1D33" w:rsidRPr="00030DA2">
        <w:t>Eastern European Group</w:t>
      </w:r>
      <w:r w:rsidR="00764C08" w:rsidRPr="00030DA2">
        <w:t>), expire</w:t>
      </w:r>
      <w:r w:rsidR="009664DE" w:rsidRPr="00030DA2">
        <w:t>d</w:t>
      </w:r>
      <w:r w:rsidR="00764C08" w:rsidRPr="00030DA2">
        <w:t xml:space="preserve"> on 30 September 20</w:t>
      </w:r>
      <w:r w:rsidR="009664DE" w:rsidRPr="00030DA2">
        <w:t>20</w:t>
      </w:r>
      <w:r w:rsidR="00764C08" w:rsidRPr="00030DA2">
        <w:t xml:space="preserve">, and another member, </w:t>
      </w:r>
      <w:r w:rsidR="009664DE" w:rsidRPr="00030DA2">
        <w:t xml:space="preserve">Mr. </w:t>
      </w:r>
      <w:r w:rsidR="00AE1D33" w:rsidRPr="00030DA2">
        <w:t xml:space="preserve">Ludovic Hennebel </w:t>
      </w:r>
      <w:r w:rsidR="009664DE" w:rsidRPr="00030DA2">
        <w:t>(</w:t>
      </w:r>
      <w:r w:rsidR="00AE1D33" w:rsidRPr="00030DA2">
        <w:t>Western European and Others Group</w:t>
      </w:r>
      <w:r w:rsidR="009664DE" w:rsidRPr="00030DA2">
        <w:t xml:space="preserve">) </w:t>
      </w:r>
      <w:r w:rsidR="00764C08" w:rsidRPr="00030DA2">
        <w:t xml:space="preserve">resigned, the Advisory Committee decided, at its </w:t>
      </w:r>
      <w:r w:rsidR="00FA228E" w:rsidRPr="00030DA2">
        <w:t>4</w:t>
      </w:r>
      <w:r w:rsidR="00AE1D33" w:rsidRPr="00030DA2">
        <w:t>th meeting, on 19 February 2021</w:t>
      </w:r>
      <w:r w:rsidR="00764C08" w:rsidRPr="00030DA2">
        <w:t xml:space="preserve">, to </w:t>
      </w:r>
      <w:r w:rsidR="00AE1D33" w:rsidRPr="00030DA2">
        <w:t>take note of the three new appointments made in the intersessional period through silence procedure, welcoming Mr. Ibrahim Abdulaziz Alsheddi, Mr. Iurii Alexandrovich Kolesnikov, and Mr. Alessio Bruni</w:t>
      </w:r>
      <w:r w:rsidR="009664DE" w:rsidRPr="00030DA2">
        <w:t xml:space="preserve"> </w:t>
      </w:r>
      <w:r w:rsidR="00764C08" w:rsidRPr="00030DA2">
        <w:t>as new members of the Working Group.</w:t>
      </w:r>
    </w:p>
    <w:p w14:paraId="74240ED3" w14:textId="54140E7C" w:rsidR="00141BCC" w:rsidRPr="00030DA2" w:rsidRDefault="00141BCC" w:rsidP="00FA228E">
      <w:pPr>
        <w:pStyle w:val="HChG"/>
      </w:pPr>
      <w:r w:rsidRPr="00030DA2">
        <w:tab/>
      </w:r>
      <w:bookmarkStart w:id="86" w:name="_Toc523845331"/>
      <w:bookmarkStart w:id="87" w:name="_Toc523845400"/>
      <w:bookmarkStart w:id="88" w:name="_Toc524094557"/>
      <w:bookmarkStart w:id="89" w:name="_Toc4598608"/>
      <w:bookmarkStart w:id="90" w:name="_Toc36718671"/>
      <w:bookmarkStart w:id="91" w:name="_Toc36723893"/>
      <w:r w:rsidRPr="00030DA2">
        <w:t>V.</w:t>
      </w:r>
      <w:r w:rsidRPr="00030DA2">
        <w:tab/>
        <w:t>Report of the Advisory Committee on its twenty-</w:t>
      </w:r>
      <w:r w:rsidR="00FA228E" w:rsidRPr="00030DA2">
        <w:t>fifth</w:t>
      </w:r>
      <w:r w:rsidRPr="00030DA2">
        <w:t xml:space="preserve"> session</w:t>
      </w:r>
      <w:bookmarkEnd w:id="86"/>
      <w:bookmarkEnd w:id="87"/>
      <w:bookmarkEnd w:id="88"/>
      <w:bookmarkEnd w:id="89"/>
      <w:bookmarkEnd w:id="90"/>
      <w:bookmarkEnd w:id="91"/>
    </w:p>
    <w:p w14:paraId="2659B77B" w14:textId="5820DD04" w:rsidR="00141BCC" w:rsidRPr="00030DA2" w:rsidRDefault="00E5615E" w:rsidP="00B9480B">
      <w:pPr>
        <w:pStyle w:val="SingleTxtG"/>
      </w:pPr>
      <w:r w:rsidRPr="00030DA2">
        <w:t>2</w:t>
      </w:r>
      <w:r w:rsidR="00B9480B" w:rsidRPr="00030DA2">
        <w:t>5</w:t>
      </w:r>
      <w:r w:rsidR="00FA228E" w:rsidRPr="00030DA2">
        <w:t>.</w:t>
      </w:r>
      <w:r w:rsidR="00FA228E" w:rsidRPr="00030DA2">
        <w:tab/>
        <w:t>At the 4</w:t>
      </w:r>
      <w:r w:rsidR="00AE1D33" w:rsidRPr="00030DA2">
        <w:t>th meeting, on 19 February 2021</w:t>
      </w:r>
      <w:r w:rsidR="00141BCC" w:rsidRPr="00030DA2">
        <w:t>, the Rapporteur of the Advisory Committee presented the draft report of the twenty-</w:t>
      </w:r>
      <w:r w:rsidR="00AE1D33" w:rsidRPr="00030DA2">
        <w:t>fifth</w:t>
      </w:r>
      <w:r w:rsidR="00141BCC" w:rsidRPr="00030DA2">
        <w:t xml:space="preserve"> session of the Committee. The Committee adopted the draft report </w:t>
      </w:r>
      <w:r w:rsidR="00141BCC" w:rsidRPr="00030DA2">
        <w:rPr>
          <w:i/>
          <w:iCs/>
        </w:rPr>
        <w:t>ad referendum</w:t>
      </w:r>
      <w:r w:rsidR="00141BCC" w:rsidRPr="00030DA2">
        <w:t xml:space="preserve"> and decided to entrust the Rapporteur with its finalization.</w:t>
      </w:r>
      <w:r w:rsidR="00141BCC" w:rsidRPr="00030DA2">
        <w:tab/>
      </w:r>
    </w:p>
    <w:p w14:paraId="5AE0A2DA" w14:textId="1B2995EE" w:rsidR="00141BCC" w:rsidRPr="0035702B" w:rsidRDefault="00E5615E" w:rsidP="00B9480B">
      <w:pPr>
        <w:pStyle w:val="SingleTxtG"/>
      </w:pPr>
      <w:r w:rsidRPr="00030DA2">
        <w:t>2</w:t>
      </w:r>
      <w:r w:rsidR="00B9480B" w:rsidRPr="00030DA2">
        <w:t>6</w:t>
      </w:r>
      <w:r w:rsidR="00141BCC" w:rsidRPr="00030DA2">
        <w:t>.</w:t>
      </w:r>
      <w:r w:rsidR="00141BCC" w:rsidRPr="00030DA2">
        <w:tab/>
      </w:r>
    </w:p>
    <w:bookmarkEnd w:id="16"/>
    <w:p w14:paraId="76D475BC" w14:textId="77777777" w:rsidR="00141BCC" w:rsidRPr="00951207" w:rsidRDefault="00141BCC" w:rsidP="00CB54A5">
      <w:pPr>
        <w:pStyle w:val="HChG"/>
      </w:pPr>
      <w:r w:rsidRPr="0035702B">
        <w:br w:type="page"/>
      </w:r>
      <w:bookmarkStart w:id="92" w:name="_Toc523845332"/>
      <w:bookmarkStart w:id="93" w:name="_Toc523845401"/>
      <w:bookmarkStart w:id="94" w:name="_Toc524094558"/>
      <w:bookmarkStart w:id="95" w:name="_Toc4598609"/>
      <w:bookmarkStart w:id="96" w:name="_Toc36718672"/>
      <w:bookmarkStart w:id="97" w:name="_Toc36723894"/>
      <w:r w:rsidRPr="00951207">
        <w:t>Annex I</w:t>
      </w:r>
      <w:bookmarkEnd w:id="92"/>
      <w:bookmarkEnd w:id="93"/>
      <w:bookmarkEnd w:id="94"/>
      <w:bookmarkEnd w:id="95"/>
      <w:bookmarkEnd w:id="96"/>
      <w:bookmarkEnd w:id="97"/>
    </w:p>
    <w:p w14:paraId="4FB5A6C1" w14:textId="2F6ECC9F" w:rsidR="00141BCC" w:rsidRPr="0035702B" w:rsidRDefault="00141BCC" w:rsidP="0051599C">
      <w:pPr>
        <w:pStyle w:val="HChG"/>
      </w:pPr>
      <w:r w:rsidRPr="00951207">
        <w:tab/>
      </w:r>
      <w:r w:rsidRPr="00951207">
        <w:tab/>
      </w:r>
      <w:bookmarkStart w:id="98" w:name="_Toc36718673"/>
      <w:bookmarkStart w:id="99" w:name="_Toc36723895"/>
      <w:r w:rsidRPr="00951207">
        <w:t>Documents issued for the twenty-</w:t>
      </w:r>
      <w:r w:rsidR="0051599C" w:rsidRPr="00951207">
        <w:t>fifth</w:t>
      </w:r>
      <w:r w:rsidRPr="00951207">
        <w:t xml:space="preserve"> session</w:t>
      </w:r>
      <w:r w:rsidRPr="00951207">
        <w:br/>
        <w:t>of the Advisory Committee</w:t>
      </w:r>
      <w:bookmarkEnd w:id="98"/>
      <w:bookmarkEnd w:id="99"/>
    </w:p>
    <w:p w14:paraId="06CB24E4" w14:textId="77777777" w:rsidR="00141BCC" w:rsidRPr="0035702B" w:rsidRDefault="00141BCC" w:rsidP="00CB54A5">
      <w:pPr>
        <w:pStyle w:val="H23G"/>
      </w:pPr>
      <w:r w:rsidRPr="0035702B">
        <w:tab/>
      </w:r>
      <w:r w:rsidRPr="0035702B">
        <w:tab/>
      </w:r>
      <w:bookmarkStart w:id="100" w:name="_Toc523845334"/>
      <w:bookmarkStart w:id="101" w:name="_Toc523845403"/>
      <w:bookmarkStart w:id="102" w:name="_Toc524094560"/>
      <w:bookmarkStart w:id="103" w:name="_Toc36718674"/>
      <w:bookmarkStart w:id="104" w:name="_Toc36723896"/>
      <w:r w:rsidRPr="0035702B">
        <w:t>Documents issued in the general series</w:t>
      </w:r>
      <w:bookmarkEnd w:id="100"/>
      <w:bookmarkEnd w:id="101"/>
      <w:bookmarkEnd w:id="102"/>
      <w:bookmarkEnd w:id="103"/>
      <w:bookmarkEnd w:id="104"/>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8"/>
      </w:tblGrid>
      <w:tr w:rsidR="00141BCC" w:rsidRPr="00CB54A5" w14:paraId="13A4E64C" w14:textId="77777777" w:rsidTr="00CB54A5">
        <w:trPr>
          <w:tblHeader/>
        </w:trPr>
        <w:tc>
          <w:tcPr>
            <w:tcW w:w="2268" w:type="dxa"/>
            <w:tcBorders>
              <w:top w:val="single" w:sz="4" w:space="0" w:color="auto"/>
              <w:bottom w:val="single" w:sz="12" w:space="0" w:color="auto"/>
            </w:tcBorders>
            <w:shd w:val="clear" w:color="auto" w:fill="auto"/>
            <w:vAlign w:val="bottom"/>
          </w:tcPr>
          <w:p w14:paraId="3A52EC16" w14:textId="77777777" w:rsidR="00141BCC" w:rsidRPr="00CB54A5" w:rsidRDefault="00141BCC" w:rsidP="00CB54A5">
            <w:pPr>
              <w:spacing w:before="80" w:after="80" w:line="200" w:lineRule="exact"/>
              <w:ind w:right="113"/>
              <w:rPr>
                <w:i/>
                <w:sz w:val="16"/>
              </w:rPr>
            </w:pPr>
            <w:r w:rsidRPr="00CB54A5">
              <w:rPr>
                <w:i/>
                <w:sz w:val="16"/>
              </w:rPr>
              <w:t>Symbol</w:t>
            </w:r>
          </w:p>
        </w:tc>
        <w:tc>
          <w:tcPr>
            <w:tcW w:w="1134" w:type="dxa"/>
            <w:tcBorders>
              <w:top w:val="single" w:sz="4" w:space="0" w:color="auto"/>
              <w:bottom w:val="single" w:sz="12" w:space="0" w:color="auto"/>
            </w:tcBorders>
            <w:shd w:val="clear" w:color="auto" w:fill="auto"/>
            <w:vAlign w:val="bottom"/>
          </w:tcPr>
          <w:p w14:paraId="1A37D6BF" w14:textId="77777777" w:rsidR="00141BCC" w:rsidRPr="00CB54A5" w:rsidRDefault="00141BCC" w:rsidP="00CB54A5">
            <w:pPr>
              <w:spacing w:before="80" w:after="80" w:line="200" w:lineRule="exact"/>
              <w:ind w:right="113"/>
              <w:rPr>
                <w:i/>
                <w:sz w:val="16"/>
              </w:rPr>
            </w:pPr>
            <w:r w:rsidRPr="00CB54A5">
              <w:rPr>
                <w:i/>
                <w:sz w:val="16"/>
              </w:rPr>
              <w:t>Agenda item</w:t>
            </w:r>
          </w:p>
        </w:tc>
        <w:tc>
          <w:tcPr>
            <w:tcW w:w="3968" w:type="dxa"/>
            <w:tcBorders>
              <w:top w:val="single" w:sz="4" w:space="0" w:color="auto"/>
              <w:bottom w:val="single" w:sz="12" w:space="0" w:color="auto"/>
            </w:tcBorders>
            <w:shd w:val="clear" w:color="auto" w:fill="auto"/>
            <w:vAlign w:val="bottom"/>
          </w:tcPr>
          <w:p w14:paraId="6B360D30" w14:textId="77777777" w:rsidR="00141BCC" w:rsidRPr="00CB54A5" w:rsidRDefault="00141BCC" w:rsidP="00CB54A5">
            <w:pPr>
              <w:spacing w:before="80" w:after="80" w:line="200" w:lineRule="exact"/>
              <w:ind w:right="113"/>
              <w:rPr>
                <w:i/>
                <w:sz w:val="16"/>
              </w:rPr>
            </w:pPr>
          </w:p>
        </w:tc>
      </w:tr>
      <w:tr w:rsidR="00141BCC" w:rsidRPr="00CB54A5" w14:paraId="0DBB5F65" w14:textId="77777777" w:rsidTr="00CB54A5">
        <w:tc>
          <w:tcPr>
            <w:tcW w:w="2268" w:type="dxa"/>
            <w:tcBorders>
              <w:top w:val="single" w:sz="12" w:space="0" w:color="auto"/>
            </w:tcBorders>
            <w:shd w:val="clear" w:color="auto" w:fill="auto"/>
          </w:tcPr>
          <w:p w14:paraId="3823AED4" w14:textId="07864F9B" w:rsidR="00141BCC" w:rsidRPr="00FA228E" w:rsidRDefault="0051599C" w:rsidP="00CB54A5">
            <w:pPr>
              <w:spacing w:before="40" w:after="120" w:line="220" w:lineRule="exact"/>
              <w:ind w:right="113"/>
            </w:pPr>
            <w:r w:rsidRPr="00FA228E">
              <w:t>A/HRC/AC/25</w:t>
            </w:r>
            <w:r w:rsidR="00141BCC" w:rsidRPr="00FA228E">
              <w:t>/1</w:t>
            </w:r>
            <w:r w:rsidRPr="00FA228E">
              <w:t>/Rev.1</w:t>
            </w:r>
          </w:p>
        </w:tc>
        <w:tc>
          <w:tcPr>
            <w:tcW w:w="1134" w:type="dxa"/>
            <w:tcBorders>
              <w:top w:val="single" w:sz="12" w:space="0" w:color="auto"/>
            </w:tcBorders>
            <w:shd w:val="clear" w:color="auto" w:fill="auto"/>
          </w:tcPr>
          <w:p w14:paraId="4BF6BDDA" w14:textId="77777777" w:rsidR="00141BCC" w:rsidRPr="00CB54A5" w:rsidRDefault="00141BCC" w:rsidP="00CB54A5">
            <w:pPr>
              <w:spacing w:before="40" w:after="120" w:line="220" w:lineRule="exact"/>
              <w:ind w:right="113"/>
            </w:pPr>
            <w:r w:rsidRPr="00CB54A5">
              <w:t>1</w:t>
            </w:r>
          </w:p>
        </w:tc>
        <w:tc>
          <w:tcPr>
            <w:tcW w:w="3968" w:type="dxa"/>
            <w:tcBorders>
              <w:top w:val="single" w:sz="12" w:space="0" w:color="auto"/>
            </w:tcBorders>
            <w:shd w:val="clear" w:color="auto" w:fill="auto"/>
          </w:tcPr>
          <w:p w14:paraId="53DE2EEF" w14:textId="77777777" w:rsidR="00141BCC" w:rsidRPr="00CB54A5" w:rsidRDefault="00141BCC" w:rsidP="00CB54A5">
            <w:pPr>
              <w:spacing w:before="40" w:after="120" w:line="220" w:lineRule="exact"/>
              <w:ind w:right="113"/>
            </w:pPr>
            <w:r w:rsidRPr="00CB54A5">
              <w:t xml:space="preserve">Provisional agenda and annotations </w:t>
            </w:r>
          </w:p>
        </w:tc>
      </w:tr>
      <w:tr w:rsidR="00141BCC" w:rsidRPr="00CB54A5" w14:paraId="23C45237" w14:textId="77777777" w:rsidTr="00CB54A5">
        <w:tc>
          <w:tcPr>
            <w:tcW w:w="2268" w:type="dxa"/>
            <w:shd w:val="clear" w:color="auto" w:fill="auto"/>
          </w:tcPr>
          <w:p w14:paraId="68474DA0" w14:textId="4C0ED3EB" w:rsidR="00141BCC" w:rsidRPr="00CB54A5" w:rsidRDefault="00AE1D33" w:rsidP="00CB54A5">
            <w:pPr>
              <w:spacing w:before="40" w:after="120" w:line="220" w:lineRule="exact"/>
              <w:ind w:right="113"/>
            </w:pPr>
            <w:r>
              <w:t>A/HRC/AC/25</w:t>
            </w:r>
            <w:r w:rsidR="00141BCC" w:rsidRPr="00CB54A5">
              <w:t>/2</w:t>
            </w:r>
          </w:p>
        </w:tc>
        <w:tc>
          <w:tcPr>
            <w:tcW w:w="1134" w:type="dxa"/>
            <w:shd w:val="clear" w:color="auto" w:fill="auto"/>
          </w:tcPr>
          <w:p w14:paraId="1279EC36" w14:textId="77777777" w:rsidR="00141BCC" w:rsidRPr="00CB54A5" w:rsidRDefault="00141BCC" w:rsidP="00CB54A5">
            <w:pPr>
              <w:spacing w:before="40" w:after="120" w:line="220" w:lineRule="exact"/>
              <w:ind w:right="113"/>
            </w:pPr>
            <w:r w:rsidRPr="00CB54A5">
              <w:t>5</w:t>
            </w:r>
          </w:p>
        </w:tc>
        <w:tc>
          <w:tcPr>
            <w:tcW w:w="3968" w:type="dxa"/>
            <w:shd w:val="clear" w:color="auto" w:fill="auto"/>
          </w:tcPr>
          <w:p w14:paraId="6A679B79" w14:textId="2D09F178" w:rsidR="00141BCC" w:rsidRPr="00CB54A5" w:rsidRDefault="00141BCC" w:rsidP="009B2787">
            <w:pPr>
              <w:spacing w:before="40" w:after="120" w:line="220" w:lineRule="exact"/>
              <w:ind w:right="113"/>
            </w:pPr>
            <w:r w:rsidRPr="00CB54A5">
              <w:t>Report of the Advisory Committee on its twenty-</w:t>
            </w:r>
            <w:r w:rsidR="009B2787">
              <w:t>fifth</w:t>
            </w:r>
            <w:r w:rsidRPr="00CB54A5">
              <w:t xml:space="preserve"> session</w:t>
            </w:r>
          </w:p>
        </w:tc>
      </w:tr>
    </w:tbl>
    <w:p w14:paraId="3D92D8FA" w14:textId="77777777" w:rsidR="00141BCC" w:rsidRPr="0035702B" w:rsidRDefault="00141BCC" w:rsidP="00CB54A5">
      <w:pPr>
        <w:pStyle w:val="H23G"/>
      </w:pPr>
      <w:r w:rsidRPr="0035702B">
        <w:tab/>
      </w:r>
      <w:r w:rsidRPr="0035702B">
        <w:tab/>
      </w:r>
      <w:bookmarkStart w:id="105" w:name="_Toc523845335"/>
      <w:bookmarkStart w:id="106" w:name="_Toc523845404"/>
      <w:bookmarkStart w:id="107" w:name="_Toc524094561"/>
      <w:bookmarkStart w:id="108" w:name="_Toc36718675"/>
      <w:bookmarkStart w:id="109" w:name="_Toc36723897"/>
      <w:r w:rsidRPr="0035702B">
        <w:t>Documents issued in the limited series</w:t>
      </w:r>
      <w:bookmarkEnd w:id="105"/>
      <w:bookmarkEnd w:id="106"/>
      <w:bookmarkEnd w:id="107"/>
      <w:r w:rsidRPr="0035702B">
        <w:t xml:space="preserve"> (actions)</w:t>
      </w:r>
      <w:bookmarkEnd w:id="108"/>
      <w:bookmarkEnd w:id="109"/>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8"/>
      </w:tblGrid>
      <w:tr w:rsidR="00141BCC" w:rsidRPr="00CB54A5" w14:paraId="4336E39A" w14:textId="77777777" w:rsidTr="00CB54A5">
        <w:trPr>
          <w:tblHeader/>
        </w:trPr>
        <w:tc>
          <w:tcPr>
            <w:tcW w:w="2268" w:type="dxa"/>
            <w:tcBorders>
              <w:top w:val="single" w:sz="4" w:space="0" w:color="auto"/>
              <w:bottom w:val="single" w:sz="12" w:space="0" w:color="auto"/>
            </w:tcBorders>
            <w:shd w:val="clear" w:color="auto" w:fill="auto"/>
            <w:vAlign w:val="bottom"/>
          </w:tcPr>
          <w:p w14:paraId="459AD639" w14:textId="77777777" w:rsidR="00141BCC" w:rsidRPr="00CB54A5" w:rsidRDefault="00141BCC" w:rsidP="00CB54A5">
            <w:pPr>
              <w:spacing w:before="80" w:after="80" w:line="200" w:lineRule="exact"/>
              <w:ind w:right="113"/>
              <w:rPr>
                <w:i/>
                <w:sz w:val="16"/>
              </w:rPr>
            </w:pPr>
            <w:r w:rsidRPr="00CB54A5">
              <w:rPr>
                <w:i/>
                <w:sz w:val="16"/>
              </w:rPr>
              <w:t>Symbol</w:t>
            </w:r>
          </w:p>
        </w:tc>
        <w:tc>
          <w:tcPr>
            <w:tcW w:w="1134" w:type="dxa"/>
            <w:tcBorders>
              <w:top w:val="single" w:sz="4" w:space="0" w:color="auto"/>
              <w:bottom w:val="single" w:sz="12" w:space="0" w:color="auto"/>
            </w:tcBorders>
            <w:shd w:val="clear" w:color="auto" w:fill="auto"/>
            <w:vAlign w:val="bottom"/>
          </w:tcPr>
          <w:p w14:paraId="601915A8" w14:textId="77777777" w:rsidR="00141BCC" w:rsidRPr="00CB54A5" w:rsidRDefault="00141BCC" w:rsidP="00CB54A5">
            <w:pPr>
              <w:spacing w:before="80" w:after="80" w:line="200" w:lineRule="exact"/>
              <w:ind w:right="113"/>
              <w:rPr>
                <w:i/>
                <w:sz w:val="16"/>
              </w:rPr>
            </w:pPr>
            <w:r w:rsidRPr="00CB54A5">
              <w:rPr>
                <w:i/>
                <w:sz w:val="16"/>
              </w:rPr>
              <w:t>Agenda item</w:t>
            </w:r>
          </w:p>
        </w:tc>
        <w:tc>
          <w:tcPr>
            <w:tcW w:w="3968" w:type="dxa"/>
            <w:tcBorders>
              <w:top w:val="single" w:sz="4" w:space="0" w:color="auto"/>
              <w:bottom w:val="single" w:sz="12" w:space="0" w:color="auto"/>
            </w:tcBorders>
            <w:shd w:val="clear" w:color="auto" w:fill="auto"/>
            <w:vAlign w:val="bottom"/>
          </w:tcPr>
          <w:p w14:paraId="3D60BCC7" w14:textId="77777777" w:rsidR="00141BCC" w:rsidRPr="00CB54A5" w:rsidRDefault="00141BCC" w:rsidP="00CB54A5">
            <w:pPr>
              <w:spacing w:before="80" w:after="80" w:line="200" w:lineRule="exact"/>
              <w:ind w:right="113"/>
              <w:rPr>
                <w:i/>
                <w:sz w:val="16"/>
              </w:rPr>
            </w:pPr>
          </w:p>
        </w:tc>
      </w:tr>
      <w:tr w:rsidR="00141BCC" w:rsidRPr="00CB54A5" w14:paraId="7C4CACFC" w14:textId="77777777" w:rsidTr="00CB54A5">
        <w:tc>
          <w:tcPr>
            <w:tcW w:w="2268" w:type="dxa"/>
            <w:shd w:val="clear" w:color="auto" w:fill="auto"/>
          </w:tcPr>
          <w:p w14:paraId="28F57CF5" w14:textId="1552F1AA" w:rsidR="00141BCC" w:rsidRPr="00DB7BB1" w:rsidRDefault="00141BCC" w:rsidP="00DB7BB1">
            <w:pPr>
              <w:spacing w:before="40" w:after="120" w:line="220" w:lineRule="exact"/>
              <w:ind w:right="113"/>
              <w:rPr>
                <w:highlight w:val="yellow"/>
              </w:rPr>
            </w:pPr>
            <w:r w:rsidRPr="00DB7BB1">
              <w:rPr>
                <w:highlight w:val="yellow"/>
              </w:rPr>
              <w:t>A/HRC/AC/2</w:t>
            </w:r>
            <w:r w:rsidR="00DB7BB1" w:rsidRPr="00DB7BB1">
              <w:rPr>
                <w:highlight w:val="yellow"/>
              </w:rPr>
              <w:t>5/L.</w:t>
            </w:r>
          </w:p>
        </w:tc>
        <w:tc>
          <w:tcPr>
            <w:tcW w:w="1134" w:type="dxa"/>
            <w:shd w:val="clear" w:color="auto" w:fill="auto"/>
          </w:tcPr>
          <w:p w14:paraId="6CC79041" w14:textId="06E6732F" w:rsidR="00141BCC" w:rsidRPr="00CB54A5" w:rsidRDefault="00141BCC" w:rsidP="00CB54A5">
            <w:pPr>
              <w:spacing w:before="40" w:after="120" w:line="220" w:lineRule="exact"/>
              <w:ind w:right="113"/>
            </w:pPr>
            <w:r w:rsidRPr="00CB54A5">
              <w:t>3</w:t>
            </w:r>
            <w:r w:rsidR="00DB7BB1">
              <w:t xml:space="preserve"> (f</w:t>
            </w:r>
            <w:r w:rsidRPr="00CB54A5">
              <w:t>)</w:t>
            </w:r>
          </w:p>
        </w:tc>
        <w:tc>
          <w:tcPr>
            <w:tcW w:w="3968" w:type="dxa"/>
            <w:shd w:val="clear" w:color="auto" w:fill="auto"/>
          </w:tcPr>
          <w:p w14:paraId="3EF5F1DE" w14:textId="77777777" w:rsidR="00141BCC" w:rsidRPr="00CB54A5" w:rsidRDefault="00141BCC" w:rsidP="00CB54A5">
            <w:pPr>
              <w:spacing w:before="40" w:after="120" w:line="220" w:lineRule="exact"/>
              <w:ind w:right="113"/>
            </w:pPr>
            <w:r w:rsidRPr="00CB54A5">
              <w:t>Current levels of representation of women in human rights organs and mechanisms</w:t>
            </w:r>
          </w:p>
        </w:tc>
      </w:tr>
      <w:tr w:rsidR="00141BCC" w:rsidRPr="00CB54A5" w14:paraId="3B2941E9" w14:textId="77777777" w:rsidTr="00CB54A5">
        <w:tc>
          <w:tcPr>
            <w:tcW w:w="2268" w:type="dxa"/>
            <w:shd w:val="clear" w:color="auto" w:fill="auto"/>
          </w:tcPr>
          <w:p w14:paraId="2495297F" w14:textId="2FF30D60" w:rsidR="00141BCC" w:rsidRPr="00DB7BB1" w:rsidRDefault="00DB7BB1" w:rsidP="00CB54A5">
            <w:pPr>
              <w:spacing w:before="40" w:after="120" w:line="220" w:lineRule="exact"/>
              <w:ind w:right="113"/>
              <w:rPr>
                <w:highlight w:val="yellow"/>
              </w:rPr>
            </w:pPr>
            <w:r w:rsidRPr="00DB7BB1">
              <w:rPr>
                <w:highlight w:val="yellow"/>
              </w:rPr>
              <w:t>A/HRC/AC/25/L.</w:t>
            </w:r>
          </w:p>
        </w:tc>
        <w:tc>
          <w:tcPr>
            <w:tcW w:w="1134" w:type="dxa"/>
            <w:shd w:val="clear" w:color="auto" w:fill="auto"/>
          </w:tcPr>
          <w:p w14:paraId="0965C0FC" w14:textId="7AC9A0E8" w:rsidR="00141BCC" w:rsidRPr="00CB54A5" w:rsidRDefault="00DB7BB1" w:rsidP="00CB54A5">
            <w:pPr>
              <w:spacing w:before="40" w:after="120" w:line="220" w:lineRule="exact"/>
              <w:ind w:right="113"/>
            </w:pPr>
            <w:r>
              <w:t>3 (g</w:t>
            </w:r>
            <w:r w:rsidR="00141BCC" w:rsidRPr="00CB54A5">
              <w:t>)</w:t>
            </w:r>
          </w:p>
        </w:tc>
        <w:tc>
          <w:tcPr>
            <w:tcW w:w="3968" w:type="dxa"/>
            <w:shd w:val="clear" w:color="auto" w:fill="auto"/>
          </w:tcPr>
          <w:p w14:paraId="1FA940D7" w14:textId="77777777" w:rsidR="00141BCC" w:rsidRPr="00CB54A5" w:rsidRDefault="00141BCC" w:rsidP="00CB54A5">
            <w:pPr>
              <w:spacing w:before="40" w:after="120" w:line="220" w:lineRule="exact"/>
              <w:ind w:right="113"/>
            </w:pPr>
            <w:r w:rsidRPr="00CB54A5">
              <w:t>New and emerging digital technologies and human rights</w:t>
            </w:r>
          </w:p>
        </w:tc>
      </w:tr>
      <w:tr w:rsidR="00141BCC" w:rsidRPr="00CB54A5" w14:paraId="69D48A73" w14:textId="77777777" w:rsidTr="00CB54A5">
        <w:tc>
          <w:tcPr>
            <w:tcW w:w="2268" w:type="dxa"/>
            <w:shd w:val="clear" w:color="auto" w:fill="auto"/>
          </w:tcPr>
          <w:p w14:paraId="38D25E43" w14:textId="2AD50A37" w:rsidR="00141BCC" w:rsidRPr="00DB7BB1" w:rsidRDefault="00DB7BB1" w:rsidP="00CB54A5">
            <w:pPr>
              <w:spacing w:before="40" w:after="120" w:line="220" w:lineRule="exact"/>
              <w:ind w:right="113"/>
              <w:rPr>
                <w:highlight w:val="yellow"/>
              </w:rPr>
            </w:pPr>
            <w:r w:rsidRPr="00DB7BB1">
              <w:rPr>
                <w:highlight w:val="yellow"/>
              </w:rPr>
              <w:t>A/HRC/AC/25/L.</w:t>
            </w:r>
          </w:p>
        </w:tc>
        <w:tc>
          <w:tcPr>
            <w:tcW w:w="1134" w:type="dxa"/>
            <w:shd w:val="clear" w:color="auto" w:fill="auto"/>
          </w:tcPr>
          <w:p w14:paraId="79770947" w14:textId="77777777" w:rsidR="00141BCC" w:rsidRPr="00CB54A5" w:rsidRDefault="00141BCC" w:rsidP="00CB54A5">
            <w:pPr>
              <w:spacing w:before="40" w:after="120" w:line="220" w:lineRule="exact"/>
              <w:ind w:right="113"/>
            </w:pPr>
            <w:r w:rsidRPr="00CB54A5">
              <w:t>3 (d)</w:t>
            </w:r>
          </w:p>
        </w:tc>
        <w:tc>
          <w:tcPr>
            <w:tcW w:w="3968" w:type="dxa"/>
            <w:shd w:val="clear" w:color="auto" w:fill="auto"/>
          </w:tcPr>
          <w:p w14:paraId="66ABD9EF" w14:textId="77777777" w:rsidR="00141BCC" w:rsidRPr="00CB54A5" w:rsidRDefault="00141BCC" w:rsidP="00CB54A5">
            <w:pPr>
              <w:spacing w:before="40" w:after="120" w:line="220" w:lineRule="exact"/>
              <w:ind w:right="113"/>
            </w:pPr>
            <w:r w:rsidRPr="00CB54A5">
              <w:t>Negative effects of terrorism on the enjoyment of human rights</w:t>
            </w:r>
          </w:p>
        </w:tc>
      </w:tr>
      <w:tr w:rsidR="00DB7BB1" w:rsidRPr="00CB54A5" w14:paraId="6EBF3832" w14:textId="77777777" w:rsidTr="00CB54A5">
        <w:tc>
          <w:tcPr>
            <w:tcW w:w="2268" w:type="dxa"/>
            <w:shd w:val="clear" w:color="auto" w:fill="auto"/>
          </w:tcPr>
          <w:p w14:paraId="45CA0443" w14:textId="15243B0E" w:rsidR="00DB7BB1" w:rsidRPr="00DB7BB1" w:rsidRDefault="00DB7BB1" w:rsidP="00DB7BB1">
            <w:pPr>
              <w:spacing w:before="40" w:after="120" w:line="220" w:lineRule="exact"/>
              <w:ind w:right="113"/>
              <w:rPr>
                <w:highlight w:val="yellow"/>
              </w:rPr>
            </w:pPr>
            <w:r w:rsidRPr="00DB7BB1">
              <w:rPr>
                <w:highlight w:val="yellow"/>
              </w:rPr>
              <w:t>A/HRC/AC/25/L.</w:t>
            </w:r>
          </w:p>
        </w:tc>
        <w:tc>
          <w:tcPr>
            <w:tcW w:w="1134" w:type="dxa"/>
            <w:shd w:val="clear" w:color="auto" w:fill="auto"/>
          </w:tcPr>
          <w:p w14:paraId="72124C7D" w14:textId="4FE4CD87" w:rsidR="00DB7BB1" w:rsidRPr="00CB54A5" w:rsidRDefault="00DB7BB1" w:rsidP="00DB7BB1">
            <w:pPr>
              <w:spacing w:before="40" w:after="120" w:line="220" w:lineRule="exact"/>
              <w:ind w:right="113"/>
            </w:pPr>
            <w:r>
              <w:t>3 (e)</w:t>
            </w:r>
          </w:p>
        </w:tc>
        <w:tc>
          <w:tcPr>
            <w:tcW w:w="3968" w:type="dxa"/>
            <w:shd w:val="clear" w:color="auto" w:fill="auto"/>
          </w:tcPr>
          <w:p w14:paraId="430D428F" w14:textId="2810F1F3" w:rsidR="00DB7BB1" w:rsidRPr="00CB54A5" w:rsidRDefault="00DB7BB1" w:rsidP="00DB7BB1">
            <w:pPr>
              <w:spacing w:before="40" w:after="120" w:line="220" w:lineRule="exact"/>
              <w:ind w:right="113"/>
            </w:pPr>
            <w:r w:rsidRPr="00DB7BB1">
              <w:t>Situation regarding racial equality in the world</w:t>
            </w:r>
          </w:p>
        </w:tc>
      </w:tr>
    </w:tbl>
    <w:p w14:paraId="19D05BCF" w14:textId="77777777" w:rsidR="00141BCC" w:rsidRPr="0035702B" w:rsidRDefault="00141BCC" w:rsidP="00CB54A5">
      <w:pPr>
        <w:pStyle w:val="H23G"/>
      </w:pPr>
      <w:r w:rsidRPr="0035702B">
        <w:tab/>
      </w:r>
      <w:r w:rsidRPr="0035702B">
        <w:tab/>
      </w:r>
      <w:bookmarkStart w:id="110" w:name="_Toc36718676"/>
      <w:bookmarkStart w:id="111" w:name="_Toc36723898"/>
      <w:r w:rsidRPr="0035702B">
        <w:t>Documents issued in the non-governmental organizations series</w:t>
      </w:r>
      <w:bookmarkEnd w:id="110"/>
      <w:bookmarkEnd w:id="11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6"/>
        <w:gridCol w:w="1133"/>
        <w:gridCol w:w="3971"/>
      </w:tblGrid>
      <w:tr w:rsidR="00141BCC" w:rsidRPr="00CB54A5" w14:paraId="0DE89FFE" w14:textId="77777777" w:rsidTr="00CB54A5">
        <w:trPr>
          <w:trHeight w:val="375"/>
          <w:tblHeader/>
        </w:trPr>
        <w:tc>
          <w:tcPr>
            <w:tcW w:w="2268" w:type="dxa"/>
            <w:tcBorders>
              <w:top w:val="single" w:sz="4" w:space="0" w:color="auto"/>
              <w:bottom w:val="single" w:sz="12" w:space="0" w:color="auto"/>
            </w:tcBorders>
            <w:shd w:val="clear" w:color="auto" w:fill="auto"/>
            <w:vAlign w:val="bottom"/>
          </w:tcPr>
          <w:p w14:paraId="695EDB9B" w14:textId="77777777" w:rsidR="00141BCC" w:rsidRPr="00CB54A5" w:rsidRDefault="00141BCC" w:rsidP="00CB54A5">
            <w:pPr>
              <w:spacing w:before="80" w:after="80" w:line="200" w:lineRule="exact"/>
              <w:ind w:right="113"/>
              <w:rPr>
                <w:i/>
                <w:sz w:val="16"/>
              </w:rPr>
            </w:pPr>
            <w:r w:rsidRPr="00CB54A5">
              <w:rPr>
                <w:i/>
                <w:sz w:val="16"/>
              </w:rPr>
              <w:t>Symbol</w:t>
            </w:r>
          </w:p>
        </w:tc>
        <w:tc>
          <w:tcPr>
            <w:tcW w:w="1134" w:type="dxa"/>
            <w:tcBorders>
              <w:top w:val="single" w:sz="4" w:space="0" w:color="auto"/>
              <w:bottom w:val="single" w:sz="12" w:space="0" w:color="auto"/>
            </w:tcBorders>
            <w:shd w:val="clear" w:color="auto" w:fill="auto"/>
            <w:vAlign w:val="bottom"/>
          </w:tcPr>
          <w:p w14:paraId="771BA71E" w14:textId="77777777" w:rsidR="00141BCC" w:rsidRPr="00CB54A5" w:rsidRDefault="00141BCC" w:rsidP="00CB54A5">
            <w:pPr>
              <w:spacing w:before="80" w:after="80" w:line="200" w:lineRule="exact"/>
              <w:ind w:right="113"/>
              <w:rPr>
                <w:i/>
                <w:sz w:val="16"/>
              </w:rPr>
            </w:pPr>
            <w:r w:rsidRPr="00CB54A5">
              <w:rPr>
                <w:i/>
                <w:sz w:val="16"/>
              </w:rPr>
              <w:t>Agenda item</w:t>
            </w:r>
          </w:p>
        </w:tc>
        <w:tc>
          <w:tcPr>
            <w:tcW w:w="3974" w:type="dxa"/>
            <w:tcBorders>
              <w:top w:val="single" w:sz="4" w:space="0" w:color="auto"/>
              <w:bottom w:val="single" w:sz="12" w:space="0" w:color="auto"/>
            </w:tcBorders>
            <w:shd w:val="clear" w:color="auto" w:fill="auto"/>
            <w:vAlign w:val="bottom"/>
          </w:tcPr>
          <w:p w14:paraId="7AE7139E" w14:textId="77777777" w:rsidR="00141BCC" w:rsidRPr="00CB54A5" w:rsidRDefault="00141BCC" w:rsidP="00CB54A5">
            <w:pPr>
              <w:spacing w:before="80" w:after="80" w:line="200" w:lineRule="exact"/>
              <w:ind w:right="113"/>
              <w:rPr>
                <w:i/>
                <w:sz w:val="16"/>
              </w:rPr>
            </w:pPr>
          </w:p>
        </w:tc>
      </w:tr>
      <w:tr w:rsidR="00141BCC" w:rsidRPr="00030DA2" w14:paraId="520BC6B7" w14:textId="77777777" w:rsidTr="00CB54A5">
        <w:trPr>
          <w:trHeight w:val="656"/>
        </w:trPr>
        <w:tc>
          <w:tcPr>
            <w:tcW w:w="2268" w:type="dxa"/>
            <w:tcBorders>
              <w:top w:val="single" w:sz="12" w:space="0" w:color="auto"/>
            </w:tcBorders>
            <w:shd w:val="clear" w:color="auto" w:fill="auto"/>
          </w:tcPr>
          <w:p w14:paraId="304E9609" w14:textId="66579155" w:rsidR="00141BCC" w:rsidRPr="00CB54A5" w:rsidRDefault="00141BCC" w:rsidP="00DB7BB1">
            <w:pPr>
              <w:spacing w:before="40" w:after="120" w:line="220" w:lineRule="exact"/>
              <w:ind w:right="113"/>
            </w:pPr>
            <w:r w:rsidRPr="00CB54A5">
              <w:t>A/HRC/AC/2</w:t>
            </w:r>
            <w:r w:rsidR="00DB7BB1">
              <w:t>5</w:t>
            </w:r>
            <w:r w:rsidRPr="00CB54A5">
              <w:t>/NGO/1</w:t>
            </w:r>
          </w:p>
        </w:tc>
        <w:tc>
          <w:tcPr>
            <w:tcW w:w="1134" w:type="dxa"/>
            <w:tcBorders>
              <w:top w:val="single" w:sz="12" w:space="0" w:color="auto"/>
            </w:tcBorders>
            <w:shd w:val="clear" w:color="auto" w:fill="auto"/>
          </w:tcPr>
          <w:p w14:paraId="51DEAB0A" w14:textId="59A464A5" w:rsidR="00141BCC" w:rsidRPr="00CB54A5" w:rsidRDefault="00141BCC" w:rsidP="00CB54A5">
            <w:pPr>
              <w:spacing w:before="40" w:after="120" w:line="220" w:lineRule="exact"/>
              <w:ind w:right="113"/>
            </w:pPr>
            <w:r w:rsidRPr="00CB54A5">
              <w:t>3 (</w:t>
            </w:r>
            <w:r w:rsidR="00DB7BB1">
              <w:t>g)</w:t>
            </w:r>
          </w:p>
        </w:tc>
        <w:tc>
          <w:tcPr>
            <w:tcW w:w="3974" w:type="dxa"/>
            <w:tcBorders>
              <w:top w:val="single" w:sz="12" w:space="0" w:color="auto"/>
            </w:tcBorders>
            <w:shd w:val="clear" w:color="auto" w:fill="auto"/>
          </w:tcPr>
          <w:p w14:paraId="66547B51" w14:textId="0299C118" w:rsidR="00141BCC" w:rsidRPr="00B8149D" w:rsidRDefault="00B8149D" w:rsidP="00CB54A5">
            <w:pPr>
              <w:spacing w:before="40" w:after="120" w:line="220" w:lineRule="exact"/>
              <w:ind w:right="113"/>
              <w:rPr>
                <w:lang w:val="fr-CH"/>
              </w:rPr>
            </w:pPr>
            <w:r>
              <w:rPr>
                <w:lang w:val="fr-CH"/>
              </w:rPr>
              <w:t xml:space="preserve">Exposé écrit </w:t>
            </w:r>
            <w:r w:rsidRPr="00B8149D">
              <w:rPr>
                <w:lang w:val="fr-CH"/>
              </w:rPr>
              <w:t>présenté par La Ma</w:t>
            </w:r>
            <w:r>
              <w:rPr>
                <w:lang w:val="fr-CH"/>
              </w:rPr>
              <w:t>nif Pour Tous, organisation non-</w:t>
            </w:r>
            <w:r w:rsidRPr="00B8149D">
              <w:rPr>
                <w:lang w:val="fr-CH"/>
              </w:rPr>
              <w:t>gouvernementale dotée du statut consultatif spécial</w:t>
            </w:r>
          </w:p>
        </w:tc>
      </w:tr>
    </w:tbl>
    <w:p w14:paraId="28D330BA" w14:textId="77777777" w:rsidR="00141BCC" w:rsidRPr="00B8149D" w:rsidRDefault="00141BCC">
      <w:pPr>
        <w:spacing w:after="200" w:line="276" w:lineRule="auto"/>
        <w:rPr>
          <w:lang w:val="fr-CH"/>
        </w:rPr>
      </w:pPr>
      <w:r w:rsidRPr="00B8149D">
        <w:rPr>
          <w:lang w:val="fr-CH"/>
        </w:rPr>
        <w:br w:type="page"/>
      </w:r>
    </w:p>
    <w:p w14:paraId="490105AB" w14:textId="77777777" w:rsidR="00256978" w:rsidRPr="00B8149D" w:rsidRDefault="00256978" w:rsidP="005E716E">
      <w:pPr>
        <w:rPr>
          <w:lang w:val="fr-CH"/>
        </w:rPr>
        <w:sectPr w:rsidR="00256978" w:rsidRPr="00B8149D"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47435081" w14:textId="77777777" w:rsidR="00B41069" w:rsidRPr="0035702B" w:rsidRDefault="00B41069" w:rsidP="00CB54A5">
      <w:pPr>
        <w:pStyle w:val="HChG"/>
      </w:pPr>
      <w:r w:rsidRPr="0035702B">
        <w:t>Annex II</w:t>
      </w:r>
      <w:r w:rsidRPr="0035702B">
        <w:rPr>
          <w:noProof/>
          <w:lang w:eastAsia="en-GB"/>
        </w:rPr>
        <mc:AlternateContent>
          <mc:Choice Requires="wps">
            <w:drawing>
              <wp:anchor distT="0" distB="0" distL="114300" distR="114300" simplePos="0" relativeHeight="251658240" behindDoc="0" locked="1" layoutInCell="1" allowOverlap="1" wp14:anchorId="08CDEE4F" wp14:editId="5F3C0365">
                <wp:simplePos x="0" y="0"/>
                <wp:positionH relativeFrom="page">
                  <wp:posOffset>379095</wp:posOffset>
                </wp:positionH>
                <wp:positionV relativeFrom="page">
                  <wp:posOffset>735330</wp:posOffset>
                </wp:positionV>
                <wp:extent cx="222885" cy="6159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4EAFDAB" w14:textId="2825EC74" w:rsidR="003D4C90" w:rsidRPr="00013848" w:rsidRDefault="003D4C90" w:rsidP="00B41069">
                            <w:pPr>
                              <w:pStyle w:val="Footer"/>
                              <w:tabs>
                                <w:tab w:val="right" w:pos="9638"/>
                              </w:tabs>
                              <w:jc w:val="both"/>
                              <w:rPr>
                                <w:b/>
                                <w:sz w:val="18"/>
                                <w:szCs w:val="18"/>
                              </w:rPr>
                            </w:pPr>
                            <w:r w:rsidRPr="00013848">
                              <w:rPr>
                                <w:b/>
                                <w:sz w:val="18"/>
                                <w:szCs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DEE4F" id="_x0000_t202" coordsize="21600,21600" o:spt="202" path="m,l,21600r21600,l21600,xe">
                <v:stroke joinstyle="miter"/>
                <v:path gradientshapeok="t" o:connecttype="rect"/>
              </v:shapetype>
              <v:shape id="Text Box 10" o:spid="_x0000_s1026" type="#_x0000_t202" style="position:absolute;left:0;text-align:left;margin-left:29.85pt;margin-top:57.9pt;width:17.55pt;height: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" fillcolor="#4f81bd [3204]" stroked="f">
                <v:fill opacity="0"/>
                <v:stroke joinstyle="round"/>
                <v:path arrowok="t"/>
                <v:textbox style="layout-flow:vertical" inset="0,0,0,0">
                  <w:txbxContent>
                    <w:p w14:paraId="04EAFDAB" w14:textId="2825EC74" w:rsidR="003D4C90" w:rsidRPr="00013848" w:rsidRDefault="003D4C90" w:rsidP="00B41069">
                      <w:pPr>
                        <w:pStyle w:val="Footer"/>
                        <w:tabs>
                          <w:tab w:val="right" w:pos="9638"/>
                        </w:tabs>
                        <w:jc w:val="both"/>
                        <w:rPr>
                          <w:b/>
                          <w:sz w:val="18"/>
                          <w:szCs w:val="18"/>
                        </w:rPr>
                      </w:pPr>
                      <w:r w:rsidRPr="00013848">
                        <w:rPr>
                          <w:b/>
                          <w:sz w:val="18"/>
                          <w:szCs w:val="18"/>
                        </w:rPr>
                        <w:tab/>
                      </w:r>
                    </w:p>
                  </w:txbxContent>
                </v:textbox>
                <w10:wrap anchorx="page" anchory="page"/>
                <w10:anchorlock/>
              </v:shape>
            </w:pict>
          </mc:Fallback>
        </mc:AlternateContent>
      </w:r>
    </w:p>
    <w:p w14:paraId="7C744777" w14:textId="77777777" w:rsidR="00B41069" w:rsidRPr="0035702B" w:rsidRDefault="00B41069" w:rsidP="00CB54A5">
      <w:pPr>
        <w:pStyle w:val="HChG"/>
      </w:pPr>
      <w:bookmarkStart w:id="112" w:name="_Toc523845337"/>
      <w:bookmarkStart w:id="113" w:name="_Toc523845406"/>
      <w:bookmarkStart w:id="114" w:name="_Toc524094563"/>
      <w:bookmarkStart w:id="115" w:name="_Toc4598612"/>
      <w:r w:rsidRPr="0035702B">
        <w:tab/>
      </w:r>
      <w:r w:rsidRPr="0035702B">
        <w:tab/>
      </w:r>
      <w:bookmarkStart w:id="116" w:name="_Toc36718678"/>
      <w:bookmarkStart w:id="117" w:name="_Toc36723900"/>
      <w:r w:rsidRPr="0035702B">
        <w:t>List of speakers</w:t>
      </w:r>
      <w:bookmarkEnd w:id="112"/>
      <w:bookmarkEnd w:id="113"/>
      <w:bookmarkEnd w:id="114"/>
      <w:bookmarkEnd w:id="115"/>
      <w:bookmarkEnd w:id="116"/>
      <w:bookmarkEnd w:id="117"/>
    </w:p>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4697"/>
        <w:gridCol w:w="1860"/>
        <w:gridCol w:w="5802"/>
      </w:tblGrid>
      <w:tr w:rsidR="00B41069" w:rsidRPr="005241FA" w14:paraId="06BEC3B8" w14:textId="77777777" w:rsidTr="000D12E0">
        <w:trPr>
          <w:cantSplit/>
          <w:tblHeader/>
        </w:trPr>
        <w:tc>
          <w:tcPr>
            <w:tcW w:w="4697" w:type="dxa"/>
            <w:tcBorders>
              <w:top w:val="single" w:sz="4" w:space="0" w:color="auto"/>
              <w:bottom w:val="single" w:sz="12" w:space="0" w:color="auto"/>
            </w:tcBorders>
            <w:shd w:val="clear" w:color="auto" w:fill="auto"/>
            <w:tcMar>
              <w:left w:w="57" w:type="dxa"/>
              <w:right w:w="57" w:type="dxa"/>
            </w:tcMar>
            <w:vAlign w:val="bottom"/>
          </w:tcPr>
          <w:p w14:paraId="13E6A1EF" w14:textId="77777777" w:rsidR="00B41069" w:rsidRPr="005241FA" w:rsidRDefault="00B41069" w:rsidP="005241FA">
            <w:pPr>
              <w:spacing w:before="80" w:after="80" w:line="200" w:lineRule="exact"/>
              <w:ind w:right="113"/>
              <w:rPr>
                <w:i/>
                <w:sz w:val="16"/>
              </w:rPr>
            </w:pPr>
            <w:r w:rsidRPr="005241FA">
              <w:rPr>
                <w:i/>
                <w:sz w:val="16"/>
              </w:rPr>
              <w:t>Agenda item</w:t>
            </w:r>
          </w:p>
        </w:tc>
        <w:tc>
          <w:tcPr>
            <w:tcW w:w="1860" w:type="dxa"/>
            <w:tcBorders>
              <w:top w:val="single" w:sz="4" w:space="0" w:color="auto"/>
              <w:bottom w:val="single" w:sz="12" w:space="0" w:color="auto"/>
            </w:tcBorders>
            <w:shd w:val="clear" w:color="auto" w:fill="auto"/>
            <w:tcMar>
              <w:left w:w="57" w:type="dxa"/>
              <w:right w:w="57" w:type="dxa"/>
            </w:tcMar>
            <w:vAlign w:val="bottom"/>
          </w:tcPr>
          <w:p w14:paraId="11DF117D" w14:textId="77777777" w:rsidR="00B41069" w:rsidRPr="005241FA" w:rsidRDefault="00B41069" w:rsidP="005241FA">
            <w:pPr>
              <w:spacing w:before="80" w:after="80" w:line="200" w:lineRule="exact"/>
              <w:ind w:right="113"/>
              <w:rPr>
                <w:i/>
                <w:sz w:val="16"/>
              </w:rPr>
            </w:pPr>
            <w:r w:rsidRPr="005241FA">
              <w:rPr>
                <w:i/>
                <w:sz w:val="16"/>
              </w:rPr>
              <w:t>Meeting and date</w:t>
            </w:r>
          </w:p>
        </w:tc>
        <w:tc>
          <w:tcPr>
            <w:tcW w:w="5802" w:type="dxa"/>
            <w:tcBorders>
              <w:top w:val="single" w:sz="4" w:space="0" w:color="auto"/>
              <w:bottom w:val="single" w:sz="12" w:space="0" w:color="auto"/>
            </w:tcBorders>
            <w:shd w:val="clear" w:color="auto" w:fill="auto"/>
            <w:tcMar>
              <w:left w:w="57" w:type="dxa"/>
              <w:right w:w="57" w:type="dxa"/>
            </w:tcMar>
            <w:vAlign w:val="bottom"/>
          </w:tcPr>
          <w:p w14:paraId="35AE9CB6" w14:textId="77777777" w:rsidR="00B41069" w:rsidRPr="005241FA" w:rsidRDefault="00B41069" w:rsidP="005241FA">
            <w:pPr>
              <w:spacing w:before="80" w:after="80" w:line="200" w:lineRule="exact"/>
              <w:ind w:right="113"/>
              <w:rPr>
                <w:i/>
                <w:sz w:val="16"/>
              </w:rPr>
            </w:pPr>
            <w:r w:rsidRPr="005241FA">
              <w:rPr>
                <w:i/>
                <w:sz w:val="16"/>
              </w:rPr>
              <w:t>Speakers</w:t>
            </w:r>
          </w:p>
        </w:tc>
      </w:tr>
      <w:tr w:rsidR="00B41069" w:rsidRPr="005241FA" w14:paraId="7E2BDA20" w14:textId="77777777" w:rsidTr="000D12E0">
        <w:trPr>
          <w:cantSplit/>
          <w:trHeight w:hRule="exact" w:val="113"/>
          <w:tblHeader/>
        </w:trPr>
        <w:tc>
          <w:tcPr>
            <w:tcW w:w="4697" w:type="dxa"/>
            <w:tcBorders>
              <w:top w:val="single" w:sz="12" w:space="0" w:color="auto"/>
            </w:tcBorders>
            <w:shd w:val="clear" w:color="auto" w:fill="auto"/>
            <w:tcMar>
              <w:left w:w="57" w:type="dxa"/>
              <w:right w:w="57" w:type="dxa"/>
            </w:tcMar>
          </w:tcPr>
          <w:p w14:paraId="5F6715E6" w14:textId="77777777" w:rsidR="00B41069" w:rsidRPr="005241FA" w:rsidRDefault="00B41069" w:rsidP="005241FA">
            <w:pPr>
              <w:spacing w:before="40" w:after="120" w:line="220" w:lineRule="exact"/>
              <w:ind w:right="113"/>
            </w:pPr>
          </w:p>
        </w:tc>
        <w:tc>
          <w:tcPr>
            <w:tcW w:w="1860" w:type="dxa"/>
            <w:tcBorders>
              <w:top w:val="single" w:sz="12" w:space="0" w:color="auto"/>
            </w:tcBorders>
            <w:shd w:val="clear" w:color="auto" w:fill="auto"/>
            <w:tcMar>
              <w:left w:w="57" w:type="dxa"/>
              <w:right w:w="57" w:type="dxa"/>
            </w:tcMar>
          </w:tcPr>
          <w:p w14:paraId="10C01144" w14:textId="77777777" w:rsidR="00B41069" w:rsidRPr="005241FA" w:rsidRDefault="00B41069" w:rsidP="005241FA">
            <w:pPr>
              <w:spacing w:before="40" w:after="120" w:line="220" w:lineRule="exact"/>
              <w:ind w:right="113"/>
            </w:pPr>
          </w:p>
        </w:tc>
        <w:tc>
          <w:tcPr>
            <w:tcW w:w="5802" w:type="dxa"/>
            <w:tcBorders>
              <w:top w:val="single" w:sz="12" w:space="0" w:color="auto"/>
            </w:tcBorders>
            <w:shd w:val="clear" w:color="auto" w:fill="auto"/>
            <w:tcMar>
              <w:left w:w="57" w:type="dxa"/>
              <w:right w:w="57" w:type="dxa"/>
            </w:tcMar>
          </w:tcPr>
          <w:p w14:paraId="33632915" w14:textId="77777777" w:rsidR="00B41069" w:rsidRPr="005241FA" w:rsidRDefault="00B41069" w:rsidP="005241FA">
            <w:pPr>
              <w:spacing w:before="40" w:after="120" w:line="220" w:lineRule="exact"/>
              <w:ind w:right="113"/>
            </w:pPr>
          </w:p>
        </w:tc>
      </w:tr>
      <w:tr w:rsidR="00BC56ED" w:rsidRPr="005241FA" w14:paraId="4364E39E" w14:textId="77777777" w:rsidTr="000D12E0">
        <w:trPr>
          <w:cantSplit/>
        </w:trPr>
        <w:tc>
          <w:tcPr>
            <w:tcW w:w="4697" w:type="dxa"/>
            <w:shd w:val="clear" w:color="auto" w:fill="auto"/>
            <w:tcMar>
              <w:left w:w="57" w:type="dxa"/>
              <w:right w:w="57" w:type="dxa"/>
            </w:tcMar>
          </w:tcPr>
          <w:p w14:paraId="194E6D43" w14:textId="7C38ED91" w:rsidR="00BC56ED" w:rsidRDefault="00BC56ED" w:rsidP="00BC56ED">
            <w:pPr>
              <w:spacing w:before="40" w:after="120" w:line="220" w:lineRule="exact"/>
              <w:ind w:right="113"/>
            </w:pPr>
            <w:r w:rsidRPr="000D12E0">
              <w:t>1.</w:t>
            </w:r>
            <w:r w:rsidRPr="000D12E0">
              <w:tab/>
            </w:r>
            <w:r w:rsidR="000D12E0" w:rsidRPr="000D12E0">
              <w:t>Election of officers</w:t>
            </w:r>
          </w:p>
          <w:p w14:paraId="735BF31C" w14:textId="51F7DFCB" w:rsidR="00BC56ED" w:rsidRPr="005241FA" w:rsidRDefault="00BC56ED" w:rsidP="00BC56ED">
            <w:pPr>
              <w:spacing w:before="40" w:after="120" w:line="220" w:lineRule="exact"/>
              <w:ind w:right="113"/>
            </w:pPr>
          </w:p>
        </w:tc>
        <w:tc>
          <w:tcPr>
            <w:tcW w:w="1860" w:type="dxa"/>
            <w:shd w:val="clear" w:color="auto" w:fill="auto"/>
            <w:tcMar>
              <w:left w:w="57" w:type="dxa"/>
              <w:right w:w="57" w:type="dxa"/>
            </w:tcMar>
          </w:tcPr>
          <w:p w14:paraId="298A722F" w14:textId="48FAEEAC" w:rsidR="00BC56ED" w:rsidRPr="005241FA" w:rsidRDefault="00BC56ED" w:rsidP="00BC56ED">
            <w:pPr>
              <w:spacing w:before="40" w:after="120" w:line="220" w:lineRule="exact"/>
              <w:ind w:right="113"/>
            </w:pPr>
            <w:r>
              <w:t xml:space="preserve">1st meeting </w:t>
            </w:r>
            <w:r>
              <w:br/>
              <w:t>15 February 2021</w:t>
            </w:r>
          </w:p>
        </w:tc>
        <w:tc>
          <w:tcPr>
            <w:tcW w:w="5802" w:type="dxa"/>
            <w:shd w:val="clear" w:color="auto" w:fill="auto"/>
            <w:tcMar>
              <w:left w:w="57" w:type="dxa"/>
              <w:right w:w="57" w:type="dxa"/>
            </w:tcMar>
          </w:tcPr>
          <w:p w14:paraId="3F4B360A" w14:textId="0E8EE09D" w:rsidR="00BC56ED" w:rsidRPr="005241FA" w:rsidRDefault="00BC56ED" w:rsidP="000D12E0">
            <w:pPr>
              <w:spacing w:before="40" w:after="120" w:line="220" w:lineRule="exact"/>
              <w:ind w:right="113"/>
            </w:pPr>
            <w:r w:rsidRPr="00BC56ED">
              <w:t xml:space="preserve">Members: </w:t>
            </w:r>
            <w:r>
              <w:t xml:space="preserve">Xinsheng </w:t>
            </w:r>
            <w:r w:rsidRPr="00BC56ED">
              <w:t xml:space="preserve">Liu, Dheerujlall Seetulsingh, Iurii Alexandrovich Kolesnikov, Milena Costas Trascasas, Nadia Amal Bernoussi, </w:t>
            </w:r>
            <w:r w:rsidR="00AF0E2A" w:rsidRPr="00AF0E2A">
              <w:t>José Augusto Lindgren Alves</w:t>
            </w:r>
            <w:r w:rsidRPr="00BC56ED">
              <w:t>, Mona Omar</w:t>
            </w:r>
          </w:p>
        </w:tc>
      </w:tr>
      <w:tr w:rsidR="000D12E0" w:rsidRPr="005241FA" w14:paraId="78F651B4" w14:textId="77777777" w:rsidTr="000D12E0">
        <w:trPr>
          <w:cantSplit/>
        </w:trPr>
        <w:tc>
          <w:tcPr>
            <w:tcW w:w="4697" w:type="dxa"/>
            <w:shd w:val="clear" w:color="auto" w:fill="auto"/>
            <w:tcMar>
              <w:left w:w="57" w:type="dxa"/>
              <w:right w:w="57" w:type="dxa"/>
            </w:tcMar>
          </w:tcPr>
          <w:p w14:paraId="3D748A12" w14:textId="3D4D30B5" w:rsidR="000D12E0" w:rsidRPr="00BC56ED" w:rsidRDefault="000D12E0" w:rsidP="00BC56ED">
            <w:pPr>
              <w:spacing w:before="40" w:after="120" w:line="220" w:lineRule="exact"/>
              <w:ind w:right="113"/>
              <w:rPr>
                <w:highlight w:val="yellow"/>
              </w:rPr>
            </w:pPr>
            <w:r>
              <w:t>2</w:t>
            </w:r>
            <w:r w:rsidRPr="000D12E0">
              <w:t>.</w:t>
            </w:r>
            <w:r w:rsidRPr="000D12E0">
              <w:tab/>
              <w:t>Adoption of the agenda &amp; organization of work</w:t>
            </w:r>
          </w:p>
        </w:tc>
        <w:tc>
          <w:tcPr>
            <w:tcW w:w="1860" w:type="dxa"/>
            <w:shd w:val="clear" w:color="auto" w:fill="auto"/>
            <w:tcMar>
              <w:left w:w="57" w:type="dxa"/>
              <w:right w:w="57" w:type="dxa"/>
            </w:tcMar>
          </w:tcPr>
          <w:p w14:paraId="070B229E" w14:textId="77777777" w:rsidR="000D12E0" w:rsidRDefault="000D12E0" w:rsidP="000D12E0">
            <w:pPr>
              <w:spacing w:before="40" w:after="120" w:line="220" w:lineRule="exact"/>
              <w:ind w:right="113"/>
            </w:pPr>
            <w:r>
              <w:t xml:space="preserve">1st meeting </w:t>
            </w:r>
          </w:p>
          <w:p w14:paraId="3AE1AE9A" w14:textId="513BACDD" w:rsidR="000D12E0" w:rsidRDefault="000D12E0" w:rsidP="000D12E0">
            <w:pPr>
              <w:spacing w:before="40" w:after="120" w:line="220" w:lineRule="exact"/>
              <w:ind w:right="113"/>
            </w:pPr>
            <w:r>
              <w:t>15 February 2021</w:t>
            </w:r>
          </w:p>
        </w:tc>
        <w:tc>
          <w:tcPr>
            <w:tcW w:w="5802" w:type="dxa"/>
            <w:shd w:val="clear" w:color="auto" w:fill="auto"/>
            <w:tcMar>
              <w:left w:w="57" w:type="dxa"/>
              <w:right w:w="57" w:type="dxa"/>
            </w:tcMar>
          </w:tcPr>
          <w:p w14:paraId="1D2A3967" w14:textId="3AB568FD" w:rsidR="000D12E0" w:rsidRDefault="000D12E0" w:rsidP="000D12E0">
            <w:pPr>
              <w:spacing w:before="40" w:after="120" w:line="220" w:lineRule="exact"/>
              <w:ind w:right="113"/>
            </w:pPr>
            <w:r>
              <w:t>Member: José Augusto Lindgren Alves</w:t>
            </w:r>
          </w:p>
          <w:p w14:paraId="7EF43085" w14:textId="782E0EF5" w:rsidR="000D12E0" w:rsidRPr="00BC56ED" w:rsidRDefault="000D12E0" w:rsidP="00CD75C5">
            <w:pPr>
              <w:spacing w:before="40" w:after="120" w:line="220" w:lineRule="exact"/>
              <w:ind w:right="113"/>
            </w:pPr>
            <w:r>
              <w:t>Observer States: Cameroon</w:t>
            </w:r>
            <w:r w:rsidR="00CD75C5">
              <w:t xml:space="preserve"> on behalf of the African Group</w:t>
            </w:r>
            <w:r>
              <w:t>, Algeria (video statement), Uruguay</w:t>
            </w:r>
          </w:p>
        </w:tc>
      </w:tr>
      <w:tr w:rsidR="000D12E0" w:rsidRPr="005241FA" w14:paraId="126CBED6" w14:textId="77777777" w:rsidTr="000D12E0">
        <w:trPr>
          <w:cantSplit/>
        </w:trPr>
        <w:tc>
          <w:tcPr>
            <w:tcW w:w="4697" w:type="dxa"/>
            <w:shd w:val="clear" w:color="auto" w:fill="auto"/>
            <w:tcMar>
              <w:left w:w="57" w:type="dxa"/>
              <w:right w:w="57" w:type="dxa"/>
            </w:tcMar>
          </w:tcPr>
          <w:p w14:paraId="7186FBE7" w14:textId="22098894" w:rsidR="000D12E0" w:rsidRPr="00BC56ED" w:rsidRDefault="000D12E0" w:rsidP="00BC56ED">
            <w:pPr>
              <w:spacing w:before="40" w:after="120" w:line="220" w:lineRule="exact"/>
              <w:ind w:right="113"/>
              <w:rPr>
                <w:highlight w:val="yellow"/>
              </w:rPr>
            </w:pPr>
            <w:r w:rsidRPr="000D12E0">
              <w:t>3.</w:t>
            </w:r>
            <w:r w:rsidRPr="000D12E0">
              <w:tab/>
              <w:t>Requests addressed to the Advisory Committee stemming from Human Rights Council resolutions</w:t>
            </w:r>
          </w:p>
        </w:tc>
        <w:tc>
          <w:tcPr>
            <w:tcW w:w="1860" w:type="dxa"/>
            <w:shd w:val="clear" w:color="auto" w:fill="auto"/>
            <w:tcMar>
              <w:left w:w="57" w:type="dxa"/>
              <w:right w:w="57" w:type="dxa"/>
            </w:tcMar>
          </w:tcPr>
          <w:p w14:paraId="627ACBEB" w14:textId="77777777" w:rsidR="000D12E0" w:rsidRDefault="000D12E0" w:rsidP="00BC56ED">
            <w:pPr>
              <w:spacing w:before="40" w:after="120" w:line="220" w:lineRule="exact"/>
              <w:ind w:right="113"/>
            </w:pPr>
          </w:p>
        </w:tc>
        <w:tc>
          <w:tcPr>
            <w:tcW w:w="5802" w:type="dxa"/>
            <w:shd w:val="clear" w:color="auto" w:fill="auto"/>
            <w:tcMar>
              <w:left w:w="57" w:type="dxa"/>
              <w:right w:w="57" w:type="dxa"/>
            </w:tcMar>
          </w:tcPr>
          <w:p w14:paraId="1BEDF215" w14:textId="77777777" w:rsidR="000D12E0" w:rsidRPr="00BC56ED" w:rsidRDefault="000D12E0" w:rsidP="00BC56ED">
            <w:pPr>
              <w:spacing w:before="40" w:after="120" w:line="220" w:lineRule="exact"/>
              <w:ind w:right="113"/>
            </w:pPr>
          </w:p>
        </w:tc>
      </w:tr>
      <w:tr w:rsidR="00BC56ED" w:rsidRPr="005241FA" w14:paraId="73DFB094" w14:textId="77777777" w:rsidTr="000D12E0">
        <w:trPr>
          <w:cantSplit/>
        </w:trPr>
        <w:tc>
          <w:tcPr>
            <w:tcW w:w="4697" w:type="dxa"/>
            <w:shd w:val="clear" w:color="auto" w:fill="auto"/>
            <w:tcMar>
              <w:left w:w="57" w:type="dxa"/>
              <w:right w:w="57" w:type="dxa"/>
            </w:tcMar>
          </w:tcPr>
          <w:p w14:paraId="107CF0E7" w14:textId="58758F2F" w:rsidR="00BC56ED" w:rsidRPr="005241FA" w:rsidRDefault="00BC56ED" w:rsidP="00BC56ED">
            <w:pPr>
              <w:spacing w:before="40" w:after="120" w:line="220" w:lineRule="exact"/>
              <w:ind w:right="113"/>
            </w:pPr>
            <w:r>
              <w:t>(e</w:t>
            </w:r>
            <w:r w:rsidRPr="005241FA">
              <w:t>)</w:t>
            </w:r>
            <w:r w:rsidRPr="005241FA">
              <w:tab/>
            </w:r>
            <w:r>
              <w:t>S</w:t>
            </w:r>
            <w:r w:rsidRPr="00BC56ED">
              <w:t>ituation regarding racial equality in the world</w:t>
            </w:r>
          </w:p>
        </w:tc>
        <w:tc>
          <w:tcPr>
            <w:tcW w:w="1860" w:type="dxa"/>
            <w:shd w:val="clear" w:color="auto" w:fill="auto"/>
            <w:tcMar>
              <w:left w:w="57" w:type="dxa"/>
              <w:right w:w="57" w:type="dxa"/>
            </w:tcMar>
          </w:tcPr>
          <w:p w14:paraId="243292DB" w14:textId="5C372E28" w:rsidR="00BC56ED" w:rsidRPr="005241FA" w:rsidRDefault="00BC56ED" w:rsidP="00BC56ED">
            <w:pPr>
              <w:spacing w:before="40" w:after="120" w:line="220" w:lineRule="exact"/>
              <w:ind w:right="113"/>
            </w:pPr>
            <w:r>
              <w:t xml:space="preserve">2nd meeting </w:t>
            </w:r>
            <w:r>
              <w:br/>
              <w:t>16 February 2021</w:t>
            </w:r>
          </w:p>
        </w:tc>
        <w:tc>
          <w:tcPr>
            <w:tcW w:w="5802" w:type="dxa"/>
            <w:shd w:val="clear" w:color="auto" w:fill="auto"/>
            <w:tcMar>
              <w:left w:w="57" w:type="dxa"/>
              <w:right w:w="57" w:type="dxa"/>
            </w:tcMar>
          </w:tcPr>
          <w:p w14:paraId="4338933B" w14:textId="2578A52D" w:rsidR="00BC56ED" w:rsidRPr="00CC12E6" w:rsidRDefault="00BC56ED" w:rsidP="00BC56ED">
            <w:pPr>
              <w:spacing w:before="40" w:after="120" w:line="220" w:lineRule="exact"/>
              <w:ind w:right="113"/>
            </w:pPr>
            <w:r w:rsidRPr="00CC12E6">
              <w:t xml:space="preserve">Members: </w:t>
            </w:r>
            <w:r w:rsidR="00CC12E6" w:rsidRPr="00CC12E6">
              <w:t xml:space="preserve">Milena Costas Trascasas (Rapporteur), Nadia Amal Bernoussi, José Augusto Lindgren Alves, Mona Omar, Dheerujlall Seetulsingh, Lazhari Bouzid, </w:t>
            </w:r>
            <w:r w:rsidR="000C15AC" w:rsidRPr="000C15AC">
              <w:t>Javier Palummo</w:t>
            </w:r>
          </w:p>
          <w:p w14:paraId="6C7516B2" w14:textId="7034CE9A" w:rsidR="00BC56ED" w:rsidRPr="005241FA" w:rsidRDefault="00BC56ED" w:rsidP="000C15AC">
            <w:pPr>
              <w:spacing w:before="40" w:after="120" w:line="220" w:lineRule="exact"/>
              <w:ind w:right="113"/>
            </w:pPr>
            <w:r w:rsidRPr="005241FA">
              <w:t xml:space="preserve">Observer States: </w:t>
            </w:r>
            <w:r w:rsidR="00CC12E6">
              <w:t>Venezuela (Bolivarian Republic of), India (video statement), Russian Federation (video statement), South Africa</w:t>
            </w:r>
          </w:p>
          <w:p w14:paraId="62F4A9D1" w14:textId="77777777" w:rsidR="00BC56ED" w:rsidRPr="005241FA" w:rsidRDefault="00BC56ED" w:rsidP="00BC56ED">
            <w:pPr>
              <w:spacing w:before="40" w:after="120" w:line="220" w:lineRule="exact"/>
              <w:ind w:right="113"/>
            </w:pPr>
            <w:r w:rsidRPr="005241FA">
              <w:t>Intergovernmental organization: European Union</w:t>
            </w:r>
          </w:p>
          <w:p w14:paraId="5F239A34" w14:textId="77597989" w:rsidR="00BC56ED" w:rsidRPr="005241FA" w:rsidRDefault="00BC56ED" w:rsidP="00BC56ED">
            <w:pPr>
              <w:spacing w:before="40" w:after="120" w:line="220" w:lineRule="exact"/>
              <w:ind w:right="113"/>
            </w:pPr>
            <w:r w:rsidRPr="005241FA">
              <w:t xml:space="preserve">Non-governmental organization: </w:t>
            </w:r>
            <w:r w:rsidR="000C15AC" w:rsidRPr="000C15AC">
              <w:t>Africans in America for Restitution and Repatriation (video statement)</w:t>
            </w:r>
            <w:r w:rsidR="000C15AC">
              <w:t xml:space="preserve"> </w:t>
            </w:r>
          </w:p>
        </w:tc>
      </w:tr>
      <w:tr w:rsidR="00BC56ED" w:rsidRPr="005241FA" w14:paraId="5FDF7D2A" w14:textId="77777777" w:rsidTr="000D12E0">
        <w:trPr>
          <w:cantSplit/>
        </w:trPr>
        <w:tc>
          <w:tcPr>
            <w:tcW w:w="4697" w:type="dxa"/>
            <w:tcBorders>
              <w:bottom w:val="nil"/>
            </w:tcBorders>
            <w:shd w:val="clear" w:color="auto" w:fill="auto"/>
            <w:tcMar>
              <w:left w:w="57" w:type="dxa"/>
              <w:right w:w="57" w:type="dxa"/>
            </w:tcMar>
          </w:tcPr>
          <w:p w14:paraId="678608FC" w14:textId="626EB546" w:rsidR="00BC56ED" w:rsidRPr="005241FA" w:rsidRDefault="000D12E0" w:rsidP="000D12E0">
            <w:pPr>
              <w:spacing w:before="40" w:after="120" w:line="220" w:lineRule="exact"/>
              <w:ind w:right="113"/>
            </w:pPr>
            <w:r w:rsidRPr="000D12E0">
              <w:t>(</w:t>
            </w:r>
            <w:r>
              <w:t>f</w:t>
            </w:r>
            <w:r w:rsidRPr="000D12E0">
              <w:t>)</w:t>
            </w:r>
            <w:r w:rsidRPr="000D12E0">
              <w:tab/>
              <w:t>Current levels of representation of women in human rights organs and mechanisms</w:t>
            </w:r>
          </w:p>
        </w:tc>
        <w:tc>
          <w:tcPr>
            <w:tcW w:w="1860" w:type="dxa"/>
            <w:tcBorders>
              <w:bottom w:val="nil"/>
            </w:tcBorders>
            <w:shd w:val="clear" w:color="auto" w:fill="auto"/>
            <w:tcMar>
              <w:left w:w="57" w:type="dxa"/>
              <w:right w:w="57" w:type="dxa"/>
            </w:tcMar>
          </w:tcPr>
          <w:p w14:paraId="1C13A90E" w14:textId="22219F31" w:rsidR="00BC56ED" w:rsidRPr="005241FA" w:rsidRDefault="00AD741C" w:rsidP="00AD741C">
            <w:pPr>
              <w:spacing w:before="40" w:after="120" w:line="220" w:lineRule="exact"/>
              <w:ind w:right="113"/>
            </w:pPr>
            <w:r>
              <w:t>2nd</w:t>
            </w:r>
            <w:r w:rsidR="000D12E0">
              <w:t xml:space="preserve"> meeting</w:t>
            </w:r>
            <w:r w:rsidR="000D12E0">
              <w:br/>
              <w:t>16 February 2021</w:t>
            </w:r>
          </w:p>
        </w:tc>
        <w:tc>
          <w:tcPr>
            <w:tcW w:w="5802" w:type="dxa"/>
            <w:tcBorders>
              <w:bottom w:val="nil"/>
            </w:tcBorders>
            <w:shd w:val="clear" w:color="auto" w:fill="auto"/>
            <w:tcMar>
              <w:left w:w="57" w:type="dxa"/>
              <w:right w:w="57" w:type="dxa"/>
            </w:tcMar>
          </w:tcPr>
          <w:p w14:paraId="39493B14" w14:textId="62836A4E" w:rsidR="00BC56ED" w:rsidRPr="005241FA" w:rsidRDefault="00BC56ED" w:rsidP="000D12E0">
            <w:pPr>
              <w:spacing w:before="40" w:after="120" w:line="220" w:lineRule="exact"/>
              <w:ind w:right="113"/>
            </w:pPr>
            <w:r w:rsidRPr="005241FA">
              <w:t xml:space="preserve">Members: </w:t>
            </w:r>
            <w:r w:rsidR="000D12E0" w:rsidRPr="000D12E0">
              <w:t xml:space="preserve">Elizabeth Salmón </w:t>
            </w:r>
            <w:r w:rsidR="000D12E0">
              <w:t xml:space="preserve">(Rapporteur), </w:t>
            </w:r>
            <w:r w:rsidR="000D12E0" w:rsidRPr="000D12E0">
              <w:t>Nadia Amal Bernoussi</w:t>
            </w:r>
            <w:r w:rsidR="000D12E0">
              <w:t xml:space="preserve">, </w:t>
            </w:r>
            <w:r w:rsidR="000D12E0" w:rsidRPr="000D12E0">
              <w:t>Lazhari Bouzid</w:t>
            </w:r>
            <w:r w:rsidR="000D12E0">
              <w:t xml:space="preserve">, </w:t>
            </w:r>
            <w:r w:rsidR="000D12E0" w:rsidRPr="000D12E0">
              <w:t>Milena Costas Trascasas</w:t>
            </w:r>
          </w:p>
          <w:p w14:paraId="496C428F" w14:textId="29D365ED" w:rsidR="00BC56ED" w:rsidRPr="005241FA" w:rsidRDefault="00BC56ED" w:rsidP="000D12E0">
            <w:pPr>
              <w:spacing w:before="40" w:after="120" w:line="220" w:lineRule="exact"/>
              <w:ind w:right="113"/>
            </w:pPr>
            <w:r w:rsidRPr="005241FA">
              <w:t xml:space="preserve">Observer States: </w:t>
            </w:r>
            <w:r w:rsidR="000D12E0">
              <w:t>Cameroon, India (video statement), Burkina Faso, Panama, Russian Federation (video statement), Peru (video statement), Switzerland (video statement), Mexico</w:t>
            </w:r>
          </w:p>
          <w:p w14:paraId="4CA07E54" w14:textId="77777777" w:rsidR="00BC56ED" w:rsidRDefault="00BC56ED" w:rsidP="00BC56ED">
            <w:pPr>
              <w:spacing w:before="40" w:after="120" w:line="220" w:lineRule="exact"/>
              <w:ind w:right="113"/>
            </w:pPr>
            <w:r w:rsidRPr="005241FA">
              <w:t>Intergovernmental organization: European Union</w:t>
            </w:r>
          </w:p>
          <w:p w14:paraId="59424F0D" w14:textId="2B33E47C" w:rsidR="000D12E0" w:rsidRPr="005241FA" w:rsidRDefault="000D12E0" w:rsidP="000D12E0">
            <w:pPr>
              <w:spacing w:before="40" w:after="120" w:line="220" w:lineRule="exact"/>
              <w:ind w:right="113"/>
            </w:pPr>
            <w:r w:rsidRPr="000D12E0">
              <w:t>Non-governmental organization</w:t>
            </w:r>
            <w:r w:rsidR="001F6E52">
              <w:t>s</w:t>
            </w:r>
            <w:r w:rsidRPr="000D12E0">
              <w:t xml:space="preserve">: </w:t>
            </w:r>
            <w:r>
              <w:t>International Federation on Ageing, GQUAL Campaign</w:t>
            </w:r>
          </w:p>
        </w:tc>
      </w:tr>
      <w:tr w:rsidR="00BC56ED" w:rsidRPr="005241FA" w14:paraId="060F3C6E" w14:textId="77777777" w:rsidTr="000D12E0">
        <w:trPr>
          <w:cantSplit/>
        </w:trPr>
        <w:tc>
          <w:tcPr>
            <w:tcW w:w="4697" w:type="dxa"/>
            <w:tcBorders>
              <w:top w:val="nil"/>
            </w:tcBorders>
            <w:shd w:val="clear" w:color="auto" w:fill="auto"/>
            <w:tcMar>
              <w:left w:w="57" w:type="dxa"/>
              <w:right w:w="57" w:type="dxa"/>
            </w:tcMar>
          </w:tcPr>
          <w:p w14:paraId="0AB1A455" w14:textId="419825B6" w:rsidR="00BC56ED" w:rsidRPr="001F6E52" w:rsidRDefault="00BC56ED" w:rsidP="00FA228E">
            <w:pPr>
              <w:spacing w:before="40" w:after="120" w:line="220" w:lineRule="exact"/>
              <w:ind w:right="113"/>
            </w:pPr>
            <w:r w:rsidRPr="001F6E52">
              <w:t>(</w:t>
            </w:r>
            <w:r w:rsidR="00FA228E">
              <w:t>g</w:t>
            </w:r>
            <w:r w:rsidRPr="001F6E52">
              <w:t xml:space="preserve">) </w:t>
            </w:r>
            <w:r w:rsidRPr="001F6E52">
              <w:tab/>
              <w:t>New and emerging digital technologies and human rights</w:t>
            </w:r>
          </w:p>
        </w:tc>
        <w:tc>
          <w:tcPr>
            <w:tcW w:w="1860" w:type="dxa"/>
            <w:tcBorders>
              <w:top w:val="nil"/>
            </w:tcBorders>
            <w:shd w:val="clear" w:color="auto" w:fill="auto"/>
            <w:tcMar>
              <w:left w:w="57" w:type="dxa"/>
              <w:right w:w="57" w:type="dxa"/>
            </w:tcMar>
          </w:tcPr>
          <w:p w14:paraId="5BF9F8AA" w14:textId="177D62AF" w:rsidR="00BC56ED" w:rsidRPr="00FA228E" w:rsidRDefault="00FA228E" w:rsidP="00BC56ED">
            <w:pPr>
              <w:spacing w:before="40" w:after="120" w:line="220" w:lineRule="exact"/>
              <w:ind w:right="113"/>
            </w:pPr>
            <w:r w:rsidRPr="00FA228E">
              <w:t>3</w:t>
            </w:r>
            <w:r w:rsidR="001F6E52" w:rsidRPr="00FA228E">
              <w:t>th meeting</w:t>
            </w:r>
            <w:r w:rsidR="001F6E52" w:rsidRPr="00FA228E">
              <w:br/>
              <w:t>17 February 2021</w:t>
            </w:r>
          </w:p>
        </w:tc>
        <w:tc>
          <w:tcPr>
            <w:tcW w:w="5802" w:type="dxa"/>
            <w:tcBorders>
              <w:top w:val="nil"/>
            </w:tcBorders>
            <w:shd w:val="clear" w:color="auto" w:fill="auto"/>
            <w:tcMar>
              <w:left w:w="57" w:type="dxa"/>
              <w:right w:w="57" w:type="dxa"/>
            </w:tcMar>
          </w:tcPr>
          <w:p w14:paraId="214BA61D" w14:textId="2CC09A2B" w:rsidR="001F6E52" w:rsidRPr="00FA228E" w:rsidRDefault="001F6E52" w:rsidP="00BC56ED">
            <w:pPr>
              <w:spacing w:before="40" w:after="120" w:line="220" w:lineRule="exact"/>
              <w:ind w:right="113"/>
            </w:pPr>
            <w:r w:rsidRPr="00FA228E">
              <w:t>Panellist: Changrok Soh (former Rapporteur)</w:t>
            </w:r>
          </w:p>
          <w:p w14:paraId="1FC57CE8" w14:textId="5DD4D1F6" w:rsidR="00BC56ED" w:rsidRPr="00FA228E" w:rsidRDefault="00BC56ED" w:rsidP="001F6E52">
            <w:pPr>
              <w:spacing w:before="40" w:after="120" w:line="220" w:lineRule="exact"/>
              <w:ind w:right="113"/>
            </w:pPr>
            <w:r w:rsidRPr="00FA228E">
              <w:t xml:space="preserve">Members: </w:t>
            </w:r>
            <w:r w:rsidR="00CD75C5" w:rsidRPr="00FA228E">
              <w:t>José Augusto Lindgren Alves, Catherine Van de Heyning, Javier Palummo, Nadia Amal Bernoussi, Lazhari Bouzid, Dheerujlall Seetulsingh, Xinsheng Liu</w:t>
            </w:r>
          </w:p>
          <w:p w14:paraId="7655A060" w14:textId="405B2F3C" w:rsidR="00BC56ED" w:rsidRPr="00FA228E" w:rsidRDefault="00BC56ED" w:rsidP="00257E94">
            <w:pPr>
              <w:spacing w:before="40" w:after="120" w:line="220" w:lineRule="exact"/>
              <w:ind w:right="113"/>
            </w:pPr>
            <w:r w:rsidRPr="00FA228E">
              <w:t xml:space="preserve">Observer States: </w:t>
            </w:r>
            <w:r w:rsidR="00CD75C5" w:rsidRPr="00FA228E">
              <w:t>Cameroon on behalf of the African Group, Republic of Korea on behalf of the Core Group of sponsors of resolution 41/11 (video statement)</w:t>
            </w:r>
            <w:r w:rsidR="00257E94" w:rsidRPr="00FA228E">
              <w:t>, India (video statement), Panama, Russian Federation (video statement), China</w:t>
            </w:r>
          </w:p>
          <w:p w14:paraId="5ECEC170" w14:textId="77777777" w:rsidR="00BC56ED" w:rsidRPr="00FA228E" w:rsidRDefault="00BC56ED" w:rsidP="00BC56ED">
            <w:pPr>
              <w:spacing w:before="40" w:after="120" w:line="220" w:lineRule="exact"/>
              <w:ind w:right="113"/>
            </w:pPr>
            <w:r w:rsidRPr="00FA228E">
              <w:t>Intergovernmental organization: European Union</w:t>
            </w:r>
          </w:p>
          <w:p w14:paraId="4DF689BF" w14:textId="4DF4A4B0" w:rsidR="001F6E52" w:rsidRPr="00FA228E" w:rsidRDefault="001F6E52" w:rsidP="00BC56ED">
            <w:pPr>
              <w:spacing w:before="40" w:after="120" w:line="220" w:lineRule="exact"/>
              <w:ind w:right="113"/>
              <w:rPr>
                <w:lang w:val="en-US"/>
              </w:rPr>
            </w:pPr>
            <w:r w:rsidRPr="00FA228E">
              <w:t>Non-governmental organizations:</w:t>
            </w:r>
            <w:r w:rsidR="00553CCF" w:rsidRPr="00FA228E">
              <w:t xml:space="preserve"> New Humanity, Institute for NGO Research, La Manif Pour Tous (video statement)</w:t>
            </w:r>
          </w:p>
        </w:tc>
      </w:tr>
      <w:tr w:rsidR="00BC56ED" w:rsidRPr="005241FA" w14:paraId="18F529DE" w14:textId="77777777" w:rsidTr="000D12E0">
        <w:trPr>
          <w:cantSplit/>
        </w:trPr>
        <w:tc>
          <w:tcPr>
            <w:tcW w:w="4697" w:type="dxa"/>
            <w:shd w:val="clear" w:color="auto" w:fill="auto"/>
            <w:tcMar>
              <w:left w:w="57" w:type="dxa"/>
              <w:right w:w="57" w:type="dxa"/>
            </w:tcMar>
          </w:tcPr>
          <w:p w14:paraId="69FB4131" w14:textId="006616D2" w:rsidR="00BC56ED" w:rsidRPr="000D12E0" w:rsidRDefault="00553CCF" w:rsidP="00BC56ED">
            <w:pPr>
              <w:spacing w:before="40" w:after="120" w:line="220" w:lineRule="exact"/>
              <w:ind w:right="113"/>
              <w:rPr>
                <w:highlight w:val="yellow"/>
              </w:rPr>
            </w:pPr>
            <w:r w:rsidRPr="00553CCF">
              <w:t>(d)</w:t>
            </w:r>
            <w:r w:rsidRPr="00553CCF">
              <w:tab/>
              <w:t>Negative effects of terrorism on the enjoyment of human rights;</w:t>
            </w:r>
          </w:p>
        </w:tc>
        <w:tc>
          <w:tcPr>
            <w:tcW w:w="1860" w:type="dxa"/>
            <w:shd w:val="clear" w:color="auto" w:fill="auto"/>
            <w:tcMar>
              <w:left w:w="57" w:type="dxa"/>
              <w:right w:w="57" w:type="dxa"/>
            </w:tcMar>
          </w:tcPr>
          <w:p w14:paraId="6700E2F1" w14:textId="2DAC5266" w:rsidR="00BC56ED" w:rsidRPr="00FA228E" w:rsidRDefault="00FA228E" w:rsidP="00553CCF">
            <w:pPr>
              <w:spacing w:before="40" w:after="120" w:line="220" w:lineRule="exact"/>
              <w:ind w:right="113"/>
            </w:pPr>
            <w:r w:rsidRPr="00FA228E">
              <w:t>3</w:t>
            </w:r>
            <w:r w:rsidR="00BC56ED" w:rsidRPr="00FA228E">
              <w:t>th meeting</w:t>
            </w:r>
            <w:r w:rsidR="00BC56ED" w:rsidRPr="00FA228E">
              <w:br/>
              <w:t>1</w:t>
            </w:r>
            <w:r w:rsidR="00553CCF" w:rsidRPr="00FA228E">
              <w:t>7 February 2021</w:t>
            </w:r>
          </w:p>
          <w:p w14:paraId="79964BC0" w14:textId="5F73C70B" w:rsidR="00BC56ED" w:rsidRPr="00FA228E" w:rsidRDefault="00BC56ED" w:rsidP="00BC56ED">
            <w:pPr>
              <w:spacing w:before="40" w:after="120" w:line="220" w:lineRule="exact"/>
              <w:ind w:right="113"/>
            </w:pPr>
          </w:p>
        </w:tc>
        <w:tc>
          <w:tcPr>
            <w:tcW w:w="5802" w:type="dxa"/>
            <w:shd w:val="clear" w:color="auto" w:fill="auto"/>
            <w:tcMar>
              <w:left w:w="57" w:type="dxa"/>
              <w:right w:w="57" w:type="dxa"/>
            </w:tcMar>
          </w:tcPr>
          <w:p w14:paraId="31CE13C9" w14:textId="6B74294E" w:rsidR="008C3390" w:rsidRPr="00FA228E" w:rsidRDefault="008C3390" w:rsidP="008C3390">
            <w:pPr>
              <w:spacing w:before="40" w:after="120" w:line="220" w:lineRule="exact"/>
              <w:ind w:right="113"/>
            </w:pPr>
            <w:r w:rsidRPr="00FA228E">
              <w:t>Members: Alessio Bruni (Chair)</w:t>
            </w:r>
          </w:p>
          <w:p w14:paraId="49D9C915" w14:textId="2D30BF6E" w:rsidR="008C3390" w:rsidRPr="00FA228E" w:rsidRDefault="008C3390" w:rsidP="008B5BA5">
            <w:pPr>
              <w:spacing w:before="40" w:after="120" w:line="220" w:lineRule="exact"/>
              <w:ind w:right="113"/>
            </w:pPr>
            <w:r w:rsidRPr="00FA228E">
              <w:t>Observer States:</w:t>
            </w:r>
            <w:r w:rsidR="008B5BA5" w:rsidRPr="00FA228E">
              <w:t xml:space="preserve"> Cameroon on behalf of the African Group, Belgium on behalf of the European Union (video statement), </w:t>
            </w:r>
            <w:r w:rsidR="005A049C" w:rsidRPr="00FA228E">
              <w:t>India, Egypt (video statement), Algeria (video statement)</w:t>
            </w:r>
            <w:r w:rsidR="00232BCD" w:rsidRPr="00FA228E">
              <w:t xml:space="preserve">, Panama, Mexico, Jordan, </w:t>
            </w:r>
            <w:r w:rsidR="000F19B4" w:rsidRPr="00FA228E">
              <w:t>China</w:t>
            </w:r>
          </w:p>
          <w:p w14:paraId="6B2F8459" w14:textId="21D0990C" w:rsidR="00BC56ED" w:rsidRPr="00FA228E" w:rsidRDefault="008C3390" w:rsidP="008C3390">
            <w:pPr>
              <w:spacing w:before="40" w:after="120" w:line="220" w:lineRule="exact"/>
              <w:ind w:right="113"/>
            </w:pPr>
            <w:r w:rsidRPr="00FA228E">
              <w:t xml:space="preserve">Non-governmental organizations: </w:t>
            </w:r>
            <w:r w:rsidR="000F19B4" w:rsidRPr="00FA228E">
              <w:t>International Commission of Jurists and ARTICLE 19 (joint statement), Institute for NGO Research</w:t>
            </w:r>
          </w:p>
        </w:tc>
      </w:tr>
      <w:tr w:rsidR="00BC56ED" w:rsidRPr="005241FA" w14:paraId="5890CAF1" w14:textId="77777777" w:rsidTr="000D12E0">
        <w:trPr>
          <w:cantSplit/>
        </w:trPr>
        <w:tc>
          <w:tcPr>
            <w:tcW w:w="4697" w:type="dxa"/>
            <w:shd w:val="clear" w:color="auto" w:fill="auto"/>
            <w:tcMar>
              <w:left w:w="57" w:type="dxa"/>
              <w:right w:w="57" w:type="dxa"/>
            </w:tcMar>
          </w:tcPr>
          <w:p w14:paraId="1053F3E8" w14:textId="77777777" w:rsidR="00BC56ED" w:rsidRPr="000D12E0" w:rsidRDefault="00BC56ED" w:rsidP="00BC56ED">
            <w:pPr>
              <w:spacing w:before="40" w:after="120" w:line="220" w:lineRule="exact"/>
              <w:ind w:right="113"/>
              <w:rPr>
                <w:highlight w:val="yellow"/>
              </w:rPr>
            </w:pPr>
            <w:r w:rsidRPr="000D12E0">
              <w:rPr>
                <w:highlight w:val="yellow"/>
              </w:rPr>
              <w:t>4.</w:t>
            </w:r>
            <w:r w:rsidRPr="000D12E0">
              <w:rPr>
                <w:highlight w:val="yellow"/>
              </w:rPr>
              <w:tab/>
              <w:t>Implementation of sections III and IV of the annex to Human Rights Council resolution 5/1 and of section III of the annex to Council resolution 16/21</w:t>
            </w:r>
          </w:p>
        </w:tc>
        <w:tc>
          <w:tcPr>
            <w:tcW w:w="1860" w:type="dxa"/>
            <w:shd w:val="clear" w:color="auto" w:fill="auto"/>
            <w:tcMar>
              <w:left w:w="57" w:type="dxa"/>
              <w:right w:w="57" w:type="dxa"/>
            </w:tcMar>
          </w:tcPr>
          <w:p w14:paraId="7FC0BEFA" w14:textId="77777777" w:rsidR="00BC56ED" w:rsidRPr="000D12E0" w:rsidRDefault="00BC56ED" w:rsidP="00BC56ED">
            <w:pPr>
              <w:spacing w:before="40" w:after="120" w:line="220" w:lineRule="exact"/>
              <w:ind w:right="113"/>
              <w:rPr>
                <w:highlight w:val="yellow"/>
              </w:rPr>
            </w:pPr>
          </w:p>
        </w:tc>
        <w:tc>
          <w:tcPr>
            <w:tcW w:w="5802" w:type="dxa"/>
            <w:shd w:val="clear" w:color="auto" w:fill="auto"/>
            <w:tcMar>
              <w:left w:w="57" w:type="dxa"/>
              <w:right w:w="57" w:type="dxa"/>
            </w:tcMar>
          </w:tcPr>
          <w:p w14:paraId="206B89C3" w14:textId="77777777" w:rsidR="00BC56ED" w:rsidRPr="000D12E0" w:rsidRDefault="00BC56ED" w:rsidP="00BC56ED">
            <w:pPr>
              <w:spacing w:before="40" w:after="120" w:line="220" w:lineRule="exact"/>
              <w:ind w:right="113"/>
              <w:rPr>
                <w:highlight w:val="yellow"/>
              </w:rPr>
            </w:pPr>
          </w:p>
        </w:tc>
      </w:tr>
      <w:tr w:rsidR="00BC56ED" w:rsidRPr="005241FA" w14:paraId="5696A487" w14:textId="77777777" w:rsidTr="000D12E0">
        <w:trPr>
          <w:cantSplit/>
        </w:trPr>
        <w:tc>
          <w:tcPr>
            <w:tcW w:w="4697" w:type="dxa"/>
            <w:shd w:val="clear" w:color="auto" w:fill="auto"/>
            <w:tcMar>
              <w:left w:w="57" w:type="dxa"/>
              <w:right w:w="57" w:type="dxa"/>
            </w:tcMar>
          </w:tcPr>
          <w:p w14:paraId="753E1F86" w14:textId="7EF685EB" w:rsidR="00BC56ED" w:rsidRPr="000D12E0" w:rsidRDefault="00BC56ED" w:rsidP="00BC56ED">
            <w:pPr>
              <w:spacing w:before="40" w:after="120" w:line="220" w:lineRule="exact"/>
              <w:ind w:right="113"/>
              <w:rPr>
                <w:highlight w:val="yellow"/>
              </w:rPr>
            </w:pPr>
          </w:p>
        </w:tc>
        <w:tc>
          <w:tcPr>
            <w:tcW w:w="1860" w:type="dxa"/>
            <w:shd w:val="clear" w:color="auto" w:fill="auto"/>
            <w:tcMar>
              <w:left w:w="57" w:type="dxa"/>
              <w:right w:w="57" w:type="dxa"/>
            </w:tcMar>
          </w:tcPr>
          <w:p w14:paraId="7AD6BDEC" w14:textId="5CF6B123" w:rsidR="00BC56ED" w:rsidRPr="000D12E0" w:rsidRDefault="00BC56ED" w:rsidP="00BC56ED">
            <w:pPr>
              <w:spacing w:before="40" w:after="120" w:line="220" w:lineRule="exact"/>
              <w:ind w:right="113"/>
              <w:rPr>
                <w:highlight w:val="yellow"/>
              </w:rPr>
            </w:pPr>
          </w:p>
        </w:tc>
        <w:tc>
          <w:tcPr>
            <w:tcW w:w="5802" w:type="dxa"/>
            <w:shd w:val="clear" w:color="auto" w:fill="auto"/>
            <w:tcMar>
              <w:left w:w="57" w:type="dxa"/>
              <w:right w:w="57" w:type="dxa"/>
            </w:tcMar>
          </w:tcPr>
          <w:p w14:paraId="5A219D26" w14:textId="1F76C098" w:rsidR="00BC56ED" w:rsidRPr="000D12E0" w:rsidRDefault="00BC56ED" w:rsidP="00FA228E">
            <w:pPr>
              <w:spacing w:before="40" w:after="120" w:line="220" w:lineRule="exact"/>
              <w:ind w:right="113"/>
              <w:rPr>
                <w:highlight w:val="yellow"/>
              </w:rPr>
            </w:pPr>
          </w:p>
        </w:tc>
      </w:tr>
      <w:tr w:rsidR="00BC56ED" w:rsidRPr="005241FA" w14:paraId="58FB029A" w14:textId="77777777" w:rsidTr="000D12E0">
        <w:trPr>
          <w:cantSplit/>
        </w:trPr>
        <w:tc>
          <w:tcPr>
            <w:tcW w:w="4697" w:type="dxa"/>
            <w:shd w:val="clear" w:color="auto" w:fill="auto"/>
            <w:tcMar>
              <w:left w:w="57" w:type="dxa"/>
              <w:right w:w="57" w:type="dxa"/>
            </w:tcMar>
          </w:tcPr>
          <w:p w14:paraId="6297D19D" w14:textId="1008D049" w:rsidR="00BC56ED" w:rsidRPr="000D12E0" w:rsidRDefault="00BC56ED" w:rsidP="00BC56ED">
            <w:pPr>
              <w:spacing w:before="40" w:after="120" w:line="220" w:lineRule="exact"/>
              <w:ind w:right="113"/>
              <w:rPr>
                <w:highlight w:val="yellow"/>
              </w:rPr>
            </w:pPr>
          </w:p>
        </w:tc>
        <w:tc>
          <w:tcPr>
            <w:tcW w:w="1860" w:type="dxa"/>
            <w:shd w:val="clear" w:color="auto" w:fill="auto"/>
            <w:tcMar>
              <w:left w:w="57" w:type="dxa"/>
              <w:right w:w="57" w:type="dxa"/>
            </w:tcMar>
          </w:tcPr>
          <w:p w14:paraId="75516A1F" w14:textId="527C9263" w:rsidR="00BC56ED" w:rsidRPr="000D12E0" w:rsidRDefault="00BC56ED" w:rsidP="00BC56ED">
            <w:pPr>
              <w:spacing w:before="40" w:after="120" w:line="220" w:lineRule="exact"/>
              <w:ind w:right="113"/>
              <w:rPr>
                <w:highlight w:val="yellow"/>
              </w:rPr>
            </w:pPr>
          </w:p>
        </w:tc>
        <w:tc>
          <w:tcPr>
            <w:tcW w:w="5802" w:type="dxa"/>
            <w:shd w:val="clear" w:color="auto" w:fill="auto"/>
            <w:tcMar>
              <w:left w:w="57" w:type="dxa"/>
              <w:right w:w="57" w:type="dxa"/>
            </w:tcMar>
          </w:tcPr>
          <w:p w14:paraId="4F610B4A" w14:textId="5229FE84" w:rsidR="00BC56ED" w:rsidRPr="000D12E0" w:rsidRDefault="00BC56ED" w:rsidP="00BC56ED">
            <w:pPr>
              <w:spacing w:before="40" w:after="120" w:line="220" w:lineRule="exact"/>
              <w:ind w:right="113"/>
              <w:rPr>
                <w:highlight w:val="yellow"/>
              </w:rPr>
            </w:pPr>
          </w:p>
        </w:tc>
      </w:tr>
    </w:tbl>
    <w:p w14:paraId="7037C43E" w14:textId="1DA879DB" w:rsidR="00FE3A6C" w:rsidRDefault="00FE3A6C">
      <w:pPr>
        <w:spacing w:after="200" w:line="276" w:lineRule="auto"/>
      </w:pPr>
    </w:p>
    <w:p w14:paraId="7EBA652C" w14:textId="6693FE72" w:rsidR="005B719B" w:rsidRPr="004679F4" w:rsidRDefault="005B719B" w:rsidP="0095384B"/>
    <w:sectPr w:rsidR="005B719B" w:rsidRPr="004679F4" w:rsidSect="0095384B">
      <w:headerReference w:type="even" r:id="rId14"/>
      <w:headerReference w:type="default" r:id="rId15"/>
      <w:footerReference w:type="even" r:id="rId16"/>
      <w:footerReference w:type="default" r:id="rId17"/>
      <w:footnotePr>
        <w:numRestart w:val="eachSect"/>
      </w:footnotePr>
      <w:endnotePr>
        <w:numFmt w:val="decimal"/>
      </w:endnotePr>
      <w:pgSz w:w="16840" w:h="11907" w:orient="landscape" w:code="9"/>
      <w:pgMar w:top="1134" w:right="1417"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E54F3" w14:textId="77777777" w:rsidR="003D4C90" w:rsidRPr="00C47B2E" w:rsidRDefault="003D4C90" w:rsidP="00C47B2E">
      <w:pPr>
        <w:pStyle w:val="Footer"/>
      </w:pPr>
    </w:p>
  </w:endnote>
  <w:endnote w:type="continuationSeparator" w:id="0">
    <w:p w14:paraId="2B404E9D" w14:textId="77777777" w:rsidR="003D4C90" w:rsidRPr="00C47B2E" w:rsidRDefault="003D4C90" w:rsidP="00C47B2E">
      <w:pPr>
        <w:pStyle w:val="Footer"/>
      </w:pPr>
    </w:p>
  </w:endnote>
  <w:endnote w:type="continuationNotice" w:id="1">
    <w:p w14:paraId="7D17B3CC" w14:textId="77777777" w:rsidR="003D4C90" w:rsidRPr="00C47B2E" w:rsidRDefault="003D4C9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3BCE" w14:textId="3B411EEE" w:rsidR="003D4C90" w:rsidRDefault="003D4C90" w:rsidP="000846EB">
    <w:pPr>
      <w:pStyle w:val="Footer"/>
      <w:tabs>
        <w:tab w:val="right" w:pos="9638"/>
      </w:tabs>
    </w:pPr>
    <w:r w:rsidRPr="00141BCC">
      <w:rPr>
        <w:b/>
        <w:bCs/>
        <w:sz w:val="18"/>
      </w:rPr>
      <w:fldChar w:fldCharType="begin"/>
    </w:r>
    <w:r w:rsidRPr="00141BCC">
      <w:rPr>
        <w:b/>
        <w:bCs/>
        <w:sz w:val="18"/>
      </w:rPr>
      <w:instrText xml:space="preserve"> PAGE  \* MERGEFORMAT </w:instrText>
    </w:r>
    <w:r w:rsidRPr="00141BCC">
      <w:rPr>
        <w:b/>
        <w:bCs/>
        <w:sz w:val="18"/>
      </w:rPr>
      <w:fldChar w:fldCharType="separate"/>
    </w:r>
    <w:r w:rsidR="00D849B3">
      <w:rPr>
        <w:b/>
        <w:bCs/>
        <w:noProof/>
        <w:sz w:val="18"/>
      </w:rPr>
      <w:t>6</w:t>
    </w:r>
    <w:r w:rsidRPr="00141BC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1F53" w14:textId="2ACA9B51" w:rsidR="003D4C90" w:rsidRDefault="003D4C90" w:rsidP="00141BCC">
    <w:pPr>
      <w:pStyle w:val="Footer"/>
      <w:tabs>
        <w:tab w:val="right" w:pos="9638"/>
      </w:tabs>
    </w:pPr>
    <w:r>
      <w:tab/>
    </w:r>
    <w:r w:rsidRPr="00141BCC">
      <w:rPr>
        <w:b/>
        <w:bCs/>
        <w:sz w:val="18"/>
      </w:rPr>
      <w:fldChar w:fldCharType="begin"/>
    </w:r>
    <w:r w:rsidRPr="00141BCC">
      <w:rPr>
        <w:b/>
        <w:bCs/>
        <w:sz w:val="18"/>
      </w:rPr>
      <w:instrText xml:space="preserve"> PAGE  \* MERGEFORMAT </w:instrText>
    </w:r>
    <w:r w:rsidRPr="00141BCC">
      <w:rPr>
        <w:b/>
        <w:bCs/>
        <w:sz w:val="18"/>
      </w:rPr>
      <w:fldChar w:fldCharType="separate"/>
    </w:r>
    <w:r w:rsidR="00D849B3">
      <w:rPr>
        <w:b/>
        <w:bCs/>
        <w:noProof/>
        <w:sz w:val="18"/>
      </w:rPr>
      <w:t>5</w:t>
    </w:r>
    <w:r w:rsidRPr="00141B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FF19" w14:textId="64C2D1A9" w:rsidR="0096671D" w:rsidRDefault="0096671D" w:rsidP="0096671D">
    <w:pPr>
      <w:pStyle w:val="Footer"/>
    </w:pPr>
    <w:r>
      <w:rPr>
        <w:rFonts w:ascii="C39T30Lfz" w:hAnsi="C39T30Lfz"/>
        <w:noProof/>
        <w:sz w:val="56"/>
        <w:lang w:eastAsia="en-GB"/>
      </w:rPr>
      <w:drawing>
        <wp:anchor distT="0" distB="0" distL="114300" distR="114300" simplePos="0" relativeHeight="251663360" behindDoc="0" locked="0" layoutInCell="1" allowOverlap="1" wp14:anchorId="5F42198D" wp14:editId="20F23AE8">
          <wp:simplePos x="0" y="0"/>
          <wp:positionH relativeFrom="margin">
            <wp:align>right</wp:align>
          </wp:positionH>
          <wp:positionV relativeFrom="paragraph">
            <wp:posOffset>4839</wp:posOffset>
          </wp:positionV>
          <wp:extent cx="561975" cy="561975"/>
          <wp:effectExtent l="0" t="0" r="9525" b="9525"/>
          <wp:wrapNone/>
          <wp:docPr id="2" name="Picture 1" descr="https://undocs.org/m2/QRCode.ashx?DS=A/HRC/AC/24/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AC/24/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1" layoutInCell="1" allowOverlap="1" wp14:anchorId="113DD32D" wp14:editId="2ACC5720">
          <wp:simplePos x="0" y="0"/>
          <wp:positionH relativeFrom="margin">
            <wp:posOffset>4412615</wp:posOffset>
          </wp:positionH>
          <wp:positionV relativeFrom="margin">
            <wp:posOffset>9024620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3B0A689" w14:textId="583A4FAE" w:rsidR="0096671D" w:rsidRDefault="0096671D" w:rsidP="0096671D">
    <w:pPr>
      <w:pStyle w:val="Footer"/>
      <w:ind w:right="1134"/>
      <w:rPr>
        <w:sz w:val="20"/>
      </w:rPr>
    </w:pPr>
    <w:r>
      <w:rPr>
        <w:sz w:val="20"/>
      </w:rPr>
      <w:t>GE.20-05111(E)</w:t>
    </w:r>
  </w:p>
  <w:p w14:paraId="5286988B" w14:textId="63F262BD" w:rsidR="0096671D" w:rsidRPr="0096671D" w:rsidRDefault="0096671D" w:rsidP="009667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39E8" w14:textId="5C84BA89" w:rsidR="003D4C90" w:rsidRPr="00335468" w:rsidRDefault="003D4C90" w:rsidP="00335468">
    <w:pPr>
      <w:pStyle w:val="Footer"/>
      <w:tabs>
        <w:tab w:val="right" w:pos="9638"/>
      </w:tabs>
      <w:rPr>
        <w:sz w:val="18"/>
      </w:rPr>
    </w:pPr>
    <w:r w:rsidRPr="00335468">
      <w:rPr>
        <w:b/>
        <w:sz w:val="18"/>
      </w:rPr>
      <w:fldChar w:fldCharType="begin"/>
    </w:r>
    <w:r w:rsidRPr="00335468">
      <w:rPr>
        <w:b/>
        <w:sz w:val="18"/>
      </w:rPr>
      <w:instrText xml:space="preserve"> PAGE  \* MERGEFORMAT </w:instrText>
    </w:r>
    <w:r w:rsidRPr="00335468">
      <w:rPr>
        <w:b/>
        <w:sz w:val="18"/>
      </w:rPr>
      <w:fldChar w:fldCharType="separate"/>
    </w:r>
    <w:r w:rsidR="00030DA2">
      <w:rPr>
        <w:b/>
        <w:noProof/>
        <w:sz w:val="18"/>
      </w:rPr>
      <w:t>8</w:t>
    </w:r>
    <w:r w:rsidRPr="00335468">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E17A" w14:textId="5174C1E1" w:rsidR="003D4C90" w:rsidRPr="00335468" w:rsidRDefault="003D4C90" w:rsidP="00335468">
    <w:pPr>
      <w:pStyle w:val="Footer"/>
      <w:tabs>
        <w:tab w:val="right" w:pos="9638"/>
      </w:tabs>
      <w:rPr>
        <w:b/>
        <w:sz w:val="18"/>
      </w:rPr>
    </w:pPr>
    <w:r>
      <w:tab/>
    </w:r>
    <w:r w:rsidRPr="00335468">
      <w:rPr>
        <w:b/>
        <w:sz w:val="18"/>
      </w:rPr>
      <w:fldChar w:fldCharType="begin"/>
    </w:r>
    <w:r w:rsidRPr="00335468">
      <w:rPr>
        <w:b/>
        <w:sz w:val="18"/>
      </w:rPr>
      <w:instrText xml:space="preserve"> PAGE  \* MERGEFORMAT </w:instrText>
    </w:r>
    <w:r w:rsidRPr="00335468">
      <w:rPr>
        <w:b/>
        <w:sz w:val="18"/>
      </w:rPr>
      <w:fldChar w:fldCharType="separate"/>
    </w:r>
    <w:r w:rsidR="00030DA2">
      <w:rPr>
        <w:b/>
        <w:noProof/>
        <w:sz w:val="18"/>
      </w:rPr>
      <w:t>9</w:t>
    </w:r>
    <w:r w:rsidRPr="0033546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A1D2E" w14:textId="77777777" w:rsidR="003D4C90" w:rsidRPr="00C47B2E" w:rsidRDefault="003D4C90" w:rsidP="00C47B2E">
      <w:pPr>
        <w:tabs>
          <w:tab w:val="right" w:pos="2155"/>
        </w:tabs>
        <w:spacing w:after="80"/>
        <w:ind w:left="680"/>
      </w:pPr>
      <w:r>
        <w:rPr>
          <w:u w:val="single"/>
        </w:rPr>
        <w:tab/>
      </w:r>
    </w:p>
  </w:footnote>
  <w:footnote w:type="continuationSeparator" w:id="0">
    <w:p w14:paraId="44187673" w14:textId="77777777" w:rsidR="003D4C90" w:rsidRPr="00C47B2E" w:rsidRDefault="003D4C90" w:rsidP="005E716E">
      <w:pPr>
        <w:tabs>
          <w:tab w:val="right" w:pos="2155"/>
        </w:tabs>
        <w:spacing w:after="80"/>
        <w:ind w:left="680"/>
      </w:pPr>
      <w:r>
        <w:rPr>
          <w:u w:val="single"/>
        </w:rPr>
        <w:tab/>
      </w:r>
    </w:p>
  </w:footnote>
  <w:footnote w:type="continuationNotice" w:id="1">
    <w:p w14:paraId="7DCD5732" w14:textId="77777777" w:rsidR="003D4C90" w:rsidRPr="00C47B2E" w:rsidRDefault="003D4C90" w:rsidP="00C47B2E">
      <w:pPr>
        <w:pStyle w:val="Footer"/>
      </w:pPr>
    </w:p>
  </w:footnote>
  <w:footnote w:id="2">
    <w:p w14:paraId="00CB283D" w14:textId="77777777" w:rsidR="003D4C90" w:rsidRPr="00BE24D6" w:rsidRDefault="003D4C90" w:rsidP="00141BCC">
      <w:pPr>
        <w:pStyle w:val="FootnoteText"/>
      </w:pPr>
      <w:r w:rsidRPr="009C3DB0">
        <w:rPr>
          <w:sz w:val="20"/>
          <w:szCs w:val="22"/>
        </w:rPr>
        <w:tab/>
      </w:r>
      <w:r w:rsidRPr="00BE24D6">
        <w:rPr>
          <w:sz w:val="20"/>
          <w:szCs w:val="22"/>
        </w:rPr>
        <w:t>*</w:t>
      </w:r>
      <w:r w:rsidRPr="00BE24D6">
        <w:rPr>
          <w:sz w:val="20"/>
          <w:szCs w:val="22"/>
        </w:rPr>
        <w:tab/>
      </w:r>
      <w:r w:rsidRPr="00BE24D6">
        <w:t>The annexes to the present report are being circulated in the language of submission only.</w:t>
      </w:r>
    </w:p>
  </w:footnote>
  <w:footnote w:id="3">
    <w:p w14:paraId="710B42C0" w14:textId="3E8AC21B" w:rsidR="00642AB7" w:rsidRPr="00642AB7" w:rsidRDefault="00642AB7">
      <w:pPr>
        <w:pStyle w:val="FootnoteText"/>
        <w:rPr>
          <w:lang w:val="en-US"/>
        </w:rPr>
      </w:pPr>
      <w:r>
        <w:rPr>
          <w:rStyle w:val="FootnoteReference"/>
        </w:rPr>
        <w:footnoteRef/>
      </w:r>
      <w:r>
        <w:t xml:space="preserve"> </w:t>
      </w:r>
      <w:r>
        <w:rPr>
          <w:lang w:val="en-US"/>
        </w:rPr>
        <w:t>To be updated.</w:t>
      </w:r>
    </w:p>
  </w:footnote>
  <w:footnote w:id="4">
    <w:p w14:paraId="748D3467" w14:textId="77777777" w:rsidR="003D4C90" w:rsidRPr="00BE24D6" w:rsidRDefault="003D4C90" w:rsidP="00141BCC">
      <w:pPr>
        <w:pStyle w:val="FootnoteText"/>
      </w:pPr>
      <w:r w:rsidRPr="00BE24D6">
        <w:tab/>
      </w:r>
      <w:r w:rsidRPr="00123481">
        <w:rPr>
          <w:rStyle w:val="FootnoteReference"/>
        </w:rPr>
        <w:footnoteRef/>
      </w:r>
      <w:r w:rsidRPr="00123481">
        <w:rPr>
          <w:rStyle w:val="FootnoteReference"/>
        </w:rPr>
        <w:tab/>
      </w:r>
      <w:r w:rsidRPr="00BE24D6">
        <w:t>Years in parentheses indicate the expiry of the terms of office (terms of office end on 30 September).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6093" w14:textId="77777777" w:rsidR="003D4C90" w:rsidRDefault="003D4C90" w:rsidP="00141BCC">
    <w:pPr>
      <w:pStyle w:val="Header"/>
    </w:pPr>
    <w:r>
      <w:t>A/HRC/AC/24/2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DCF2" w14:textId="59D93283" w:rsidR="003D4C90" w:rsidRDefault="003D4C90" w:rsidP="00DB7BB1">
    <w:pPr>
      <w:pStyle w:val="Header"/>
      <w:jc w:val="right"/>
    </w:pPr>
    <w:r>
      <w:t>A/HRC/AC/2</w:t>
    </w:r>
    <w:r w:rsidR="00DB7BB1">
      <w:t>5</w:t>
    </w:r>
    <w: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5C1A" w14:textId="3360AEC4" w:rsidR="003D4C90" w:rsidRPr="00335468" w:rsidRDefault="00D849B3" w:rsidP="0095384B">
    <w:pPr>
      <w:pStyle w:val="Header"/>
    </w:pPr>
    <w:r>
      <w:fldChar w:fldCharType="begin"/>
    </w:r>
    <w:r>
      <w:instrText xml:space="preserve"> TITLE  \* MERGEFORMAT </w:instrText>
    </w:r>
    <w:r>
      <w:fldChar w:fldCharType="separate"/>
    </w:r>
    <w:r w:rsidR="003D4C90">
      <w:t>A/HRC/AC/2</w:t>
    </w:r>
    <w:r w:rsidR="0095384B">
      <w:t>5</w:t>
    </w:r>
    <w:r w:rsidR="003D4C90">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13591" w14:textId="4EE3CA95" w:rsidR="003D4C90" w:rsidRPr="00335468" w:rsidRDefault="00D849B3" w:rsidP="0095384B">
    <w:pPr>
      <w:pStyle w:val="Header"/>
      <w:jc w:val="right"/>
    </w:pPr>
    <w:r>
      <w:fldChar w:fldCharType="begin"/>
    </w:r>
    <w:r>
      <w:instrText xml:space="preserve"> TITLE  \* MERGEFORMAT </w:instrText>
    </w:r>
    <w:r>
      <w:fldChar w:fldCharType="separate"/>
    </w:r>
    <w:r w:rsidR="003D4C90">
      <w:t>A/HRC/AC/2</w:t>
    </w:r>
    <w:r w:rsidR="0095384B">
      <w:t>5</w:t>
    </w:r>
    <w:r w:rsidR="003D4C90">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719D5"/>
    <w:multiLevelType w:val="hybridMultilevel"/>
    <w:tmpl w:val="105873C6"/>
    <w:lvl w:ilvl="0" w:tplc="F49E0E7C">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0A440F72"/>
    <w:multiLevelType w:val="hybridMultilevel"/>
    <w:tmpl w:val="6E7C05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17B6B"/>
    <w:multiLevelType w:val="hybridMultilevel"/>
    <w:tmpl w:val="E0B62FA2"/>
    <w:lvl w:ilvl="0" w:tplc="84BA3D38">
      <w:start w:val="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50BCA"/>
    <w:multiLevelType w:val="hybridMultilevel"/>
    <w:tmpl w:val="35546692"/>
    <w:lvl w:ilvl="0" w:tplc="53845DC2">
      <w:start w:val="8"/>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8B5184"/>
    <w:multiLevelType w:val="hybridMultilevel"/>
    <w:tmpl w:val="F6664D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9"/>
  </w:num>
  <w:num w:numId="5">
    <w:abstractNumId w:val="10"/>
  </w:num>
  <w:num w:numId="6">
    <w:abstractNumId w:val="14"/>
  </w:num>
  <w:num w:numId="7">
    <w:abstractNumId w:val="4"/>
  </w:num>
  <w:num w:numId="8">
    <w:abstractNumId w:val="1"/>
  </w:num>
  <w:num w:numId="9">
    <w:abstractNumId w:val="12"/>
  </w:num>
  <w:num w:numId="10">
    <w:abstractNumId w:val="1"/>
  </w:num>
  <w:num w:numId="11">
    <w:abstractNumId w:val="12"/>
  </w:num>
  <w:num w:numId="12">
    <w:abstractNumId w:val="8"/>
  </w:num>
  <w:num w:numId="13">
    <w:abstractNumId w:val="5"/>
  </w:num>
  <w:num w:numId="14">
    <w:abstractNumId w:val="0"/>
  </w:num>
  <w:num w:numId="15">
    <w:abstractNumId w:val="11"/>
  </w:num>
  <w:num w:numId="16">
    <w:abstractNumId w:val="14"/>
  </w:num>
  <w:num w:numId="17">
    <w:abstractNumId w:val="13"/>
  </w:num>
  <w:num w:numId="18">
    <w:abstractNumId w:val="2"/>
  </w:num>
  <w:num w:numId="19">
    <w:abstractNumId w:val="6"/>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567"/>
  <w:evenAndOddHeaders/>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07"/>
    <w:rsid w:val="00030DA2"/>
    <w:rsid w:val="00046E92"/>
    <w:rsid w:val="000558F5"/>
    <w:rsid w:val="00063C90"/>
    <w:rsid w:val="00064FED"/>
    <w:rsid w:val="00072607"/>
    <w:rsid w:val="0007672A"/>
    <w:rsid w:val="000846EB"/>
    <w:rsid w:val="000B0D87"/>
    <w:rsid w:val="000C15AC"/>
    <w:rsid w:val="000C45B2"/>
    <w:rsid w:val="000D12E0"/>
    <w:rsid w:val="000F19B4"/>
    <w:rsid w:val="00101B98"/>
    <w:rsid w:val="00123481"/>
    <w:rsid w:val="001269D9"/>
    <w:rsid w:val="00141BCC"/>
    <w:rsid w:val="0014726E"/>
    <w:rsid w:val="00164872"/>
    <w:rsid w:val="001A5ECA"/>
    <w:rsid w:val="001A6850"/>
    <w:rsid w:val="001C17F0"/>
    <w:rsid w:val="001D142B"/>
    <w:rsid w:val="001F6E52"/>
    <w:rsid w:val="00212DA2"/>
    <w:rsid w:val="00232BCD"/>
    <w:rsid w:val="00247E2C"/>
    <w:rsid w:val="00256978"/>
    <w:rsid w:val="00257E94"/>
    <w:rsid w:val="002757BC"/>
    <w:rsid w:val="002A0B0D"/>
    <w:rsid w:val="002A32CB"/>
    <w:rsid w:val="002B41E1"/>
    <w:rsid w:val="002D6C53"/>
    <w:rsid w:val="002F392C"/>
    <w:rsid w:val="002F5595"/>
    <w:rsid w:val="00334F6A"/>
    <w:rsid w:val="00335468"/>
    <w:rsid w:val="00342AC8"/>
    <w:rsid w:val="003518AE"/>
    <w:rsid w:val="003826CE"/>
    <w:rsid w:val="003869DF"/>
    <w:rsid w:val="003B062B"/>
    <w:rsid w:val="003B4550"/>
    <w:rsid w:val="003D4C90"/>
    <w:rsid w:val="003E6A66"/>
    <w:rsid w:val="003F6687"/>
    <w:rsid w:val="0040017C"/>
    <w:rsid w:val="00403656"/>
    <w:rsid w:val="00461253"/>
    <w:rsid w:val="004679F4"/>
    <w:rsid w:val="00497530"/>
    <w:rsid w:val="004A2814"/>
    <w:rsid w:val="004A3B32"/>
    <w:rsid w:val="004C0622"/>
    <w:rsid w:val="004C6848"/>
    <w:rsid w:val="004D10F9"/>
    <w:rsid w:val="005042C2"/>
    <w:rsid w:val="0050477D"/>
    <w:rsid w:val="00506D37"/>
    <w:rsid w:val="0051599C"/>
    <w:rsid w:val="005241FA"/>
    <w:rsid w:val="00532383"/>
    <w:rsid w:val="00545888"/>
    <w:rsid w:val="00553CCF"/>
    <w:rsid w:val="00565555"/>
    <w:rsid w:val="005A049C"/>
    <w:rsid w:val="005B21CE"/>
    <w:rsid w:val="005B719B"/>
    <w:rsid w:val="005E716E"/>
    <w:rsid w:val="00607C32"/>
    <w:rsid w:val="00624909"/>
    <w:rsid w:val="00632D6C"/>
    <w:rsid w:val="00642AB7"/>
    <w:rsid w:val="00657E07"/>
    <w:rsid w:val="00671529"/>
    <w:rsid w:val="00671F7F"/>
    <w:rsid w:val="0067219F"/>
    <w:rsid w:val="00673DBE"/>
    <w:rsid w:val="00676CE4"/>
    <w:rsid w:val="00687323"/>
    <w:rsid w:val="006908B0"/>
    <w:rsid w:val="006C25ED"/>
    <w:rsid w:val="006C72E2"/>
    <w:rsid w:val="0070489D"/>
    <w:rsid w:val="007268F9"/>
    <w:rsid w:val="00764C08"/>
    <w:rsid w:val="007C0467"/>
    <w:rsid w:val="007C52B0"/>
    <w:rsid w:val="007D3616"/>
    <w:rsid w:val="00816222"/>
    <w:rsid w:val="00821A3A"/>
    <w:rsid w:val="00830F3C"/>
    <w:rsid w:val="00861B4E"/>
    <w:rsid w:val="008846C9"/>
    <w:rsid w:val="008B5BA5"/>
    <w:rsid w:val="008C3390"/>
    <w:rsid w:val="008C3C99"/>
    <w:rsid w:val="008F216A"/>
    <w:rsid w:val="008F597F"/>
    <w:rsid w:val="00916DE2"/>
    <w:rsid w:val="0092216C"/>
    <w:rsid w:val="009411B4"/>
    <w:rsid w:val="00951207"/>
    <w:rsid w:val="009532F0"/>
    <w:rsid w:val="0095384B"/>
    <w:rsid w:val="00962A56"/>
    <w:rsid w:val="009664DE"/>
    <w:rsid w:val="0096671D"/>
    <w:rsid w:val="00987198"/>
    <w:rsid w:val="009A4A6D"/>
    <w:rsid w:val="009B2787"/>
    <w:rsid w:val="009D0139"/>
    <w:rsid w:val="009D717D"/>
    <w:rsid w:val="009F5CDC"/>
    <w:rsid w:val="00A26167"/>
    <w:rsid w:val="00A377EC"/>
    <w:rsid w:val="00A61A95"/>
    <w:rsid w:val="00A62ACB"/>
    <w:rsid w:val="00A652FF"/>
    <w:rsid w:val="00A74448"/>
    <w:rsid w:val="00A775CF"/>
    <w:rsid w:val="00A92E46"/>
    <w:rsid w:val="00A964A2"/>
    <w:rsid w:val="00AC03C2"/>
    <w:rsid w:val="00AD741C"/>
    <w:rsid w:val="00AE1D33"/>
    <w:rsid w:val="00AE211F"/>
    <w:rsid w:val="00AE76EC"/>
    <w:rsid w:val="00AF0E2A"/>
    <w:rsid w:val="00B06045"/>
    <w:rsid w:val="00B130BE"/>
    <w:rsid w:val="00B264D7"/>
    <w:rsid w:val="00B3271B"/>
    <w:rsid w:val="00B41069"/>
    <w:rsid w:val="00B52EF4"/>
    <w:rsid w:val="00B77F90"/>
    <w:rsid w:val="00B8149D"/>
    <w:rsid w:val="00B9480B"/>
    <w:rsid w:val="00BC56ED"/>
    <w:rsid w:val="00BC6EE7"/>
    <w:rsid w:val="00BE6CC2"/>
    <w:rsid w:val="00C03015"/>
    <w:rsid w:val="00C0358D"/>
    <w:rsid w:val="00C35A27"/>
    <w:rsid w:val="00C431AD"/>
    <w:rsid w:val="00C47B2E"/>
    <w:rsid w:val="00C96D6C"/>
    <w:rsid w:val="00CA0CC0"/>
    <w:rsid w:val="00CA1B04"/>
    <w:rsid w:val="00CB54A5"/>
    <w:rsid w:val="00CC12E6"/>
    <w:rsid w:val="00CD75C5"/>
    <w:rsid w:val="00CF075A"/>
    <w:rsid w:val="00CF2930"/>
    <w:rsid w:val="00CF351C"/>
    <w:rsid w:val="00D1013C"/>
    <w:rsid w:val="00D103FC"/>
    <w:rsid w:val="00D849B3"/>
    <w:rsid w:val="00D85E89"/>
    <w:rsid w:val="00D9439E"/>
    <w:rsid w:val="00DB7BB1"/>
    <w:rsid w:val="00DC776C"/>
    <w:rsid w:val="00E02C2B"/>
    <w:rsid w:val="00E109D7"/>
    <w:rsid w:val="00E16ACF"/>
    <w:rsid w:val="00E52109"/>
    <w:rsid w:val="00E5615E"/>
    <w:rsid w:val="00E70E08"/>
    <w:rsid w:val="00E75317"/>
    <w:rsid w:val="00E75DB4"/>
    <w:rsid w:val="00E91197"/>
    <w:rsid w:val="00E92F5C"/>
    <w:rsid w:val="00EA1408"/>
    <w:rsid w:val="00EA5CB9"/>
    <w:rsid w:val="00EB0210"/>
    <w:rsid w:val="00ED6C48"/>
    <w:rsid w:val="00EF46E4"/>
    <w:rsid w:val="00F65F5D"/>
    <w:rsid w:val="00F86A3A"/>
    <w:rsid w:val="00FA228E"/>
    <w:rsid w:val="00FD6126"/>
    <w:rsid w:val="00FE10BE"/>
    <w:rsid w:val="00FE3A6C"/>
    <w:rsid w:val="00FE5E59"/>
    <w:rsid w:val="00FF3969"/>
    <w:rsid w:val="00FF6069"/>
    <w:rsid w:val="00FF623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CD615D"/>
  <w15:docId w15:val="{2EFA8C06-8726-4018-A158-78164272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6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35468"/>
    <w:pPr>
      <w:spacing w:after="0"/>
      <w:ind w:right="0"/>
      <w:jc w:val="left"/>
      <w:outlineLvl w:val="0"/>
    </w:pPr>
  </w:style>
  <w:style w:type="paragraph" w:styleId="Heading2">
    <w:name w:val="heading 2"/>
    <w:basedOn w:val="Normal"/>
    <w:next w:val="Normal"/>
    <w:link w:val="Heading2Char"/>
    <w:semiHidden/>
    <w:rsid w:val="00335468"/>
    <w:pPr>
      <w:outlineLvl w:val="1"/>
    </w:pPr>
  </w:style>
  <w:style w:type="paragraph" w:styleId="Heading3">
    <w:name w:val="heading 3"/>
    <w:basedOn w:val="Normal"/>
    <w:next w:val="Normal"/>
    <w:link w:val="Heading3Char"/>
    <w:semiHidden/>
    <w:rsid w:val="00335468"/>
    <w:pPr>
      <w:outlineLvl w:val="2"/>
    </w:pPr>
  </w:style>
  <w:style w:type="paragraph" w:styleId="Heading4">
    <w:name w:val="heading 4"/>
    <w:basedOn w:val="Normal"/>
    <w:next w:val="Normal"/>
    <w:link w:val="Heading4Char"/>
    <w:semiHidden/>
    <w:rsid w:val="00335468"/>
    <w:pPr>
      <w:outlineLvl w:val="3"/>
    </w:pPr>
  </w:style>
  <w:style w:type="paragraph" w:styleId="Heading5">
    <w:name w:val="heading 5"/>
    <w:basedOn w:val="Normal"/>
    <w:next w:val="Normal"/>
    <w:link w:val="Heading5Char"/>
    <w:semiHidden/>
    <w:rsid w:val="00335468"/>
    <w:pPr>
      <w:outlineLvl w:val="4"/>
    </w:pPr>
  </w:style>
  <w:style w:type="paragraph" w:styleId="Heading6">
    <w:name w:val="heading 6"/>
    <w:basedOn w:val="Normal"/>
    <w:next w:val="Normal"/>
    <w:link w:val="Heading6Char"/>
    <w:semiHidden/>
    <w:rsid w:val="00335468"/>
    <w:pPr>
      <w:outlineLvl w:val="5"/>
    </w:pPr>
  </w:style>
  <w:style w:type="paragraph" w:styleId="Heading7">
    <w:name w:val="heading 7"/>
    <w:basedOn w:val="Normal"/>
    <w:next w:val="Normal"/>
    <w:link w:val="Heading7Char"/>
    <w:semiHidden/>
    <w:rsid w:val="00335468"/>
    <w:pPr>
      <w:outlineLvl w:val="6"/>
    </w:pPr>
  </w:style>
  <w:style w:type="paragraph" w:styleId="Heading8">
    <w:name w:val="heading 8"/>
    <w:basedOn w:val="Normal"/>
    <w:next w:val="Normal"/>
    <w:link w:val="Heading8Char"/>
    <w:semiHidden/>
    <w:rsid w:val="00335468"/>
    <w:pPr>
      <w:outlineLvl w:val="7"/>
    </w:pPr>
  </w:style>
  <w:style w:type="paragraph" w:styleId="Heading9">
    <w:name w:val="heading 9"/>
    <w:basedOn w:val="Normal"/>
    <w:next w:val="Normal"/>
    <w:link w:val="Heading9Char"/>
    <w:semiHidden/>
    <w:rsid w:val="003354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35468"/>
    <w:pPr>
      <w:pBdr>
        <w:bottom w:val="single" w:sz="4" w:space="4" w:color="auto"/>
      </w:pBdr>
    </w:pPr>
    <w:rPr>
      <w:b/>
      <w:sz w:val="18"/>
    </w:rPr>
  </w:style>
  <w:style w:type="character" w:customStyle="1" w:styleId="HeaderChar">
    <w:name w:val="Header Char"/>
    <w:aliases w:val="6_G Char"/>
    <w:basedOn w:val="DefaultParagraphFont"/>
    <w:link w:val="Header"/>
    <w:rsid w:val="00335468"/>
    <w:rPr>
      <w:rFonts w:ascii="Times New Roman" w:hAnsi="Times New Roman" w:cs="Times New Roman"/>
      <w:b/>
      <w:sz w:val="18"/>
      <w:szCs w:val="20"/>
    </w:rPr>
  </w:style>
  <w:style w:type="paragraph" w:styleId="Footer">
    <w:name w:val="footer"/>
    <w:aliases w:val="3_G"/>
    <w:basedOn w:val="Normal"/>
    <w:link w:val="FooterChar"/>
    <w:rsid w:val="00335468"/>
    <w:rPr>
      <w:sz w:val="16"/>
    </w:rPr>
  </w:style>
  <w:style w:type="character" w:customStyle="1" w:styleId="FooterChar">
    <w:name w:val="Footer Char"/>
    <w:aliases w:val="3_G Char"/>
    <w:basedOn w:val="DefaultParagraphFont"/>
    <w:link w:val="Footer"/>
    <w:rsid w:val="00335468"/>
    <w:rPr>
      <w:rFonts w:ascii="Times New Roman" w:hAnsi="Times New Roman" w:cs="Times New Roman"/>
      <w:sz w:val="16"/>
      <w:szCs w:val="20"/>
    </w:rPr>
  </w:style>
  <w:style w:type="paragraph" w:customStyle="1" w:styleId="HMG">
    <w:name w:val="_ H __M_G"/>
    <w:basedOn w:val="Normal"/>
    <w:next w:val="Normal"/>
    <w:rsid w:val="003354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354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354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354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354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3546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35468"/>
    <w:pPr>
      <w:spacing w:after="120"/>
      <w:ind w:left="1134" w:right="1134"/>
      <w:jc w:val="both"/>
    </w:pPr>
  </w:style>
  <w:style w:type="paragraph" w:customStyle="1" w:styleId="SLG">
    <w:name w:val="__S_L_G"/>
    <w:basedOn w:val="Normal"/>
    <w:next w:val="Normal"/>
    <w:rsid w:val="00335468"/>
    <w:pPr>
      <w:keepNext/>
      <w:keepLines/>
      <w:spacing w:before="240" w:after="240" w:line="580" w:lineRule="exact"/>
      <w:ind w:left="1134" w:right="1134"/>
    </w:pPr>
    <w:rPr>
      <w:b/>
      <w:sz w:val="56"/>
    </w:rPr>
  </w:style>
  <w:style w:type="paragraph" w:customStyle="1" w:styleId="SMG">
    <w:name w:val="__S_M_G"/>
    <w:basedOn w:val="Normal"/>
    <w:next w:val="Normal"/>
    <w:rsid w:val="00335468"/>
    <w:pPr>
      <w:keepNext/>
      <w:keepLines/>
      <w:spacing w:before="240" w:after="240" w:line="420" w:lineRule="exact"/>
      <w:ind w:left="1134" w:right="1134"/>
    </w:pPr>
    <w:rPr>
      <w:b/>
      <w:sz w:val="40"/>
    </w:rPr>
  </w:style>
  <w:style w:type="paragraph" w:customStyle="1" w:styleId="SSG">
    <w:name w:val="__S_S_G"/>
    <w:basedOn w:val="Normal"/>
    <w:next w:val="Normal"/>
    <w:rsid w:val="00335468"/>
    <w:pPr>
      <w:keepNext/>
      <w:keepLines/>
      <w:spacing w:before="240" w:after="240" w:line="300" w:lineRule="exact"/>
      <w:ind w:left="1134" w:right="1134"/>
    </w:pPr>
    <w:rPr>
      <w:b/>
      <w:sz w:val="28"/>
    </w:rPr>
  </w:style>
  <w:style w:type="paragraph" w:customStyle="1" w:styleId="XLargeG">
    <w:name w:val="__XLarge_G"/>
    <w:basedOn w:val="Normal"/>
    <w:next w:val="Normal"/>
    <w:rsid w:val="00335468"/>
    <w:pPr>
      <w:keepNext/>
      <w:keepLines/>
      <w:spacing w:before="240" w:after="240" w:line="420" w:lineRule="exact"/>
      <w:ind w:left="1134" w:right="1134"/>
    </w:pPr>
    <w:rPr>
      <w:b/>
      <w:sz w:val="40"/>
    </w:rPr>
  </w:style>
  <w:style w:type="paragraph" w:customStyle="1" w:styleId="Bullet1G">
    <w:name w:val="_Bullet 1_G"/>
    <w:basedOn w:val="Normal"/>
    <w:rsid w:val="00335468"/>
    <w:pPr>
      <w:numPr>
        <w:numId w:val="12"/>
      </w:numPr>
      <w:spacing w:after="120"/>
      <w:ind w:right="1134"/>
      <w:jc w:val="both"/>
    </w:pPr>
  </w:style>
  <w:style w:type="paragraph" w:customStyle="1" w:styleId="Bullet2G">
    <w:name w:val="_Bullet 2_G"/>
    <w:basedOn w:val="Normal"/>
    <w:rsid w:val="00335468"/>
    <w:pPr>
      <w:numPr>
        <w:numId w:val="13"/>
      </w:numPr>
      <w:spacing w:after="120"/>
      <w:ind w:right="1134"/>
      <w:jc w:val="both"/>
    </w:pPr>
  </w:style>
  <w:style w:type="paragraph" w:customStyle="1" w:styleId="ParaNoG">
    <w:name w:val="_ParaNo._G"/>
    <w:basedOn w:val="SingleTxtG"/>
    <w:rsid w:val="00335468"/>
    <w:pPr>
      <w:numPr>
        <w:numId w:val="14"/>
      </w:numPr>
    </w:pPr>
  </w:style>
  <w:style w:type="numbering" w:styleId="111111">
    <w:name w:val="Outline List 2"/>
    <w:basedOn w:val="NoList"/>
    <w:semiHidden/>
    <w:rsid w:val="00335468"/>
    <w:pPr>
      <w:numPr>
        <w:numId w:val="15"/>
      </w:numPr>
    </w:pPr>
  </w:style>
  <w:style w:type="numbering" w:styleId="1ai">
    <w:name w:val="Outline List 1"/>
    <w:basedOn w:val="NoList"/>
    <w:semiHidden/>
    <w:rsid w:val="00335468"/>
    <w:pPr>
      <w:numPr>
        <w:numId w:val="6"/>
      </w:numPr>
    </w:pPr>
  </w:style>
  <w:style w:type="character" w:styleId="EndnoteReference">
    <w:name w:val="endnote reference"/>
    <w:aliases w:val="1_G"/>
    <w:rsid w:val="00335468"/>
    <w:rPr>
      <w:rFonts w:ascii="Times New Roman" w:hAnsi="Times New Roman"/>
      <w:sz w:val="18"/>
      <w:vertAlign w:val="superscript"/>
    </w:rPr>
  </w:style>
  <w:style w:type="paragraph" w:styleId="FootnoteText">
    <w:name w:val="footnote text"/>
    <w:aliases w:val="5_G"/>
    <w:basedOn w:val="Normal"/>
    <w:link w:val="FootnoteTextChar"/>
    <w:uiPriority w:val="99"/>
    <w:qFormat/>
    <w:rsid w:val="0033546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335468"/>
    <w:rPr>
      <w:rFonts w:ascii="Times New Roman" w:hAnsi="Times New Roman" w:cs="Times New Roman"/>
      <w:sz w:val="18"/>
      <w:szCs w:val="20"/>
    </w:rPr>
  </w:style>
  <w:style w:type="paragraph" w:styleId="EndnoteText">
    <w:name w:val="endnote text"/>
    <w:aliases w:val="2_G"/>
    <w:basedOn w:val="FootnoteText"/>
    <w:link w:val="EndnoteTextChar"/>
    <w:rsid w:val="00335468"/>
  </w:style>
  <w:style w:type="character" w:customStyle="1" w:styleId="EndnoteTextChar">
    <w:name w:val="Endnote Text Char"/>
    <w:aliases w:val="2_G Char"/>
    <w:basedOn w:val="DefaultParagraphFont"/>
    <w:link w:val="EndnoteText"/>
    <w:rsid w:val="00335468"/>
    <w:rPr>
      <w:rFonts w:ascii="Times New Roman" w:hAnsi="Times New Roman" w:cs="Times New Roman"/>
      <w:sz w:val="18"/>
      <w:szCs w:val="20"/>
    </w:rPr>
  </w:style>
  <w:style w:type="character" w:styleId="FootnoteReference">
    <w:name w:val="footnote reference"/>
    <w:aliases w:val="4_G"/>
    <w:uiPriority w:val="99"/>
    <w:qFormat/>
    <w:rsid w:val="0033546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35468"/>
    <w:rPr>
      <w:rFonts w:ascii="Times New Roman" w:hAnsi="Times New Roman" w:cs="Times New Roman"/>
      <w:sz w:val="20"/>
      <w:szCs w:val="20"/>
    </w:rPr>
  </w:style>
  <w:style w:type="character" w:customStyle="1" w:styleId="Heading2Char">
    <w:name w:val="Heading 2 Char"/>
    <w:basedOn w:val="DefaultParagraphFont"/>
    <w:link w:val="Heading2"/>
    <w:semiHidden/>
    <w:rsid w:val="00335468"/>
    <w:rPr>
      <w:rFonts w:ascii="Times New Roman" w:hAnsi="Times New Roman" w:cs="Times New Roman"/>
      <w:sz w:val="20"/>
      <w:szCs w:val="20"/>
    </w:rPr>
  </w:style>
  <w:style w:type="character" w:customStyle="1" w:styleId="Heading3Char">
    <w:name w:val="Heading 3 Char"/>
    <w:basedOn w:val="DefaultParagraphFont"/>
    <w:link w:val="Heading3"/>
    <w:semiHidden/>
    <w:rsid w:val="00335468"/>
    <w:rPr>
      <w:rFonts w:ascii="Times New Roman" w:hAnsi="Times New Roman" w:cs="Times New Roman"/>
      <w:sz w:val="20"/>
      <w:szCs w:val="20"/>
    </w:rPr>
  </w:style>
  <w:style w:type="character" w:customStyle="1" w:styleId="Heading4Char">
    <w:name w:val="Heading 4 Char"/>
    <w:basedOn w:val="DefaultParagraphFont"/>
    <w:link w:val="Heading4"/>
    <w:semiHidden/>
    <w:rsid w:val="00335468"/>
    <w:rPr>
      <w:rFonts w:ascii="Times New Roman" w:hAnsi="Times New Roman" w:cs="Times New Roman"/>
      <w:sz w:val="20"/>
      <w:szCs w:val="20"/>
    </w:rPr>
  </w:style>
  <w:style w:type="character" w:customStyle="1" w:styleId="Heading5Char">
    <w:name w:val="Heading 5 Char"/>
    <w:basedOn w:val="DefaultParagraphFont"/>
    <w:link w:val="Heading5"/>
    <w:semiHidden/>
    <w:rsid w:val="00335468"/>
    <w:rPr>
      <w:rFonts w:ascii="Times New Roman" w:hAnsi="Times New Roman" w:cs="Times New Roman"/>
      <w:sz w:val="20"/>
      <w:szCs w:val="20"/>
    </w:rPr>
  </w:style>
  <w:style w:type="character" w:customStyle="1" w:styleId="Heading6Char">
    <w:name w:val="Heading 6 Char"/>
    <w:basedOn w:val="DefaultParagraphFont"/>
    <w:link w:val="Heading6"/>
    <w:semiHidden/>
    <w:rsid w:val="00335468"/>
    <w:rPr>
      <w:rFonts w:ascii="Times New Roman" w:hAnsi="Times New Roman" w:cs="Times New Roman"/>
      <w:sz w:val="20"/>
      <w:szCs w:val="20"/>
    </w:rPr>
  </w:style>
  <w:style w:type="character" w:customStyle="1" w:styleId="Heading7Char">
    <w:name w:val="Heading 7 Char"/>
    <w:basedOn w:val="DefaultParagraphFont"/>
    <w:link w:val="Heading7"/>
    <w:semiHidden/>
    <w:rsid w:val="00335468"/>
    <w:rPr>
      <w:rFonts w:ascii="Times New Roman" w:hAnsi="Times New Roman" w:cs="Times New Roman"/>
      <w:sz w:val="20"/>
      <w:szCs w:val="20"/>
    </w:rPr>
  </w:style>
  <w:style w:type="character" w:customStyle="1" w:styleId="Heading8Char">
    <w:name w:val="Heading 8 Char"/>
    <w:basedOn w:val="DefaultParagraphFont"/>
    <w:link w:val="Heading8"/>
    <w:semiHidden/>
    <w:rsid w:val="00335468"/>
    <w:rPr>
      <w:rFonts w:ascii="Times New Roman" w:hAnsi="Times New Roman" w:cs="Times New Roman"/>
      <w:sz w:val="20"/>
      <w:szCs w:val="20"/>
    </w:rPr>
  </w:style>
  <w:style w:type="character" w:customStyle="1" w:styleId="Heading9Char">
    <w:name w:val="Heading 9 Char"/>
    <w:basedOn w:val="DefaultParagraphFont"/>
    <w:link w:val="Heading9"/>
    <w:semiHidden/>
    <w:rsid w:val="00335468"/>
    <w:rPr>
      <w:rFonts w:ascii="Times New Roman" w:hAnsi="Times New Roman" w:cs="Times New Roman"/>
      <w:sz w:val="20"/>
      <w:szCs w:val="20"/>
    </w:rPr>
  </w:style>
  <w:style w:type="character" w:styleId="PageNumber">
    <w:name w:val="page number"/>
    <w:aliases w:val="7_G"/>
    <w:rsid w:val="0033546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335468"/>
    <w:rPr>
      <w:rFonts w:ascii="Tahoma" w:hAnsi="Tahoma" w:cs="Tahoma"/>
      <w:sz w:val="16"/>
      <w:szCs w:val="16"/>
    </w:rPr>
  </w:style>
  <w:style w:type="character" w:customStyle="1" w:styleId="BalloonTextChar">
    <w:name w:val="Balloon Text Char"/>
    <w:basedOn w:val="DefaultParagraphFont"/>
    <w:link w:val="BalloonText"/>
    <w:uiPriority w:val="99"/>
    <w:semiHidden/>
    <w:rsid w:val="00335468"/>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33546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rsid w:val="00A652FF"/>
    <w:rPr>
      <w:rFonts w:eastAsia="SimSun"/>
      <w:sz w:val="18"/>
    </w:rPr>
  </w:style>
  <w:style w:type="character" w:styleId="CommentReference">
    <w:name w:val="annotation reference"/>
    <w:basedOn w:val="DefaultParagraphFont"/>
    <w:uiPriority w:val="99"/>
    <w:semiHidden/>
    <w:unhideWhenUsed/>
    <w:rsid w:val="00B130BE"/>
    <w:rPr>
      <w:sz w:val="16"/>
      <w:szCs w:val="16"/>
    </w:rPr>
  </w:style>
  <w:style w:type="paragraph" w:styleId="CommentText">
    <w:name w:val="annotation text"/>
    <w:basedOn w:val="Normal"/>
    <w:link w:val="CommentTextChar"/>
    <w:uiPriority w:val="99"/>
    <w:semiHidden/>
    <w:unhideWhenUsed/>
    <w:rsid w:val="00B130BE"/>
  </w:style>
  <w:style w:type="character" w:customStyle="1" w:styleId="CommentTextChar">
    <w:name w:val="Comment Text Char"/>
    <w:basedOn w:val="DefaultParagraphFont"/>
    <w:link w:val="CommentText"/>
    <w:uiPriority w:val="99"/>
    <w:semiHidden/>
    <w:rsid w:val="00B130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30BE"/>
    <w:rPr>
      <w:b/>
      <w:bCs/>
    </w:rPr>
  </w:style>
  <w:style w:type="character" w:customStyle="1" w:styleId="CommentSubjectChar">
    <w:name w:val="Comment Subject Char"/>
    <w:basedOn w:val="CommentTextChar"/>
    <w:link w:val="CommentSubject"/>
    <w:uiPriority w:val="99"/>
    <w:semiHidden/>
    <w:rsid w:val="00B130BE"/>
    <w:rPr>
      <w:rFonts w:ascii="Times New Roman" w:hAnsi="Times New Roman" w:cs="Times New Roman"/>
      <w:b/>
      <w:bCs/>
      <w:sz w:val="20"/>
      <w:szCs w:val="20"/>
    </w:rPr>
  </w:style>
  <w:style w:type="paragraph" w:styleId="TOC1">
    <w:name w:val="toc 1"/>
    <w:basedOn w:val="Normal"/>
    <w:next w:val="Normal"/>
    <w:autoRedefine/>
    <w:uiPriority w:val="39"/>
    <w:unhideWhenUsed/>
    <w:rsid w:val="00B3271B"/>
    <w:pPr>
      <w:spacing w:after="100"/>
    </w:pPr>
  </w:style>
  <w:style w:type="paragraph" w:styleId="TOC2">
    <w:name w:val="toc 2"/>
    <w:basedOn w:val="Normal"/>
    <w:next w:val="Normal"/>
    <w:autoRedefine/>
    <w:uiPriority w:val="39"/>
    <w:unhideWhenUsed/>
    <w:rsid w:val="00B3271B"/>
    <w:pPr>
      <w:spacing w:after="100"/>
      <w:ind w:left="200"/>
    </w:pPr>
  </w:style>
  <w:style w:type="paragraph" w:styleId="TOC3">
    <w:name w:val="toc 3"/>
    <w:basedOn w:val="Normal"/>
    <w:next w:val="Normal"/>
    <w:autoRedefine/>
    <w:uiPriority w:val="39"/>
    <w:unhideWhenUsed/>
    <w:rsid w:val="00B3271B"/>
    <w:pPr>
      <w:spacing w:after="100"/>
      <w:ind w:left="400"/>
    </w:pPr>
  </w:style>
  <w:style w:type="paragraph" w:styleId="ListParagraph">
    <w:name w:val="List Paragraph"/>
    <w:basedOn w:val="Normal"/>
    <w:uiPriority w:val="34"/>
    <w:rsid w:val="0046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781264728">
      <w:bodyDiv w:val="1"/>
      <w:marLeft w:val="0"/>
      <w:marRight w:val="0"/>
      <w:marTop w:val="0"/>
      <w:marBottom w:val="0"/>
      <w:divBdr>
        <w:top w:val="none" w:sz="0" w:space="0" w:color="auto"/>
        <w:left w:val="none" w:sz="0" w:space="0" w:color="auto"/>
        <w:bottom w:val="none" w:sz="0" w:space="0" w:color="auto"/>
        <w:right w:val="none" w:sz="0" w:space="0" w:color="auto"/>
      </w:divBdr>
    </w:div>
    <w:div w:id="8430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CB5DE3-EDA3-4506-AF63-2BF1BF452EFC}">
  <ds:schemaRefs>
    <ds:schemaRef ds:uri="http://schemas.openxmlformats.org/officeDocument/2006/bibliography"/>
  </ds:schemaRefs>
</ds:datastoreItem>
</file>

<file path=customXml/itemProps2.xml><?xml version="1.0" encoding="utf-8"?>
<ds:datastoreItem xmlns:ds="http://schemas.openxmlformats.org/officeDocument/2006/customXml" ds:itemID="{AB5EA204-461E-4034-8001-D2EF09A957E2}"/>
</file>

<file path=customXml/itemProps3.xml><?xml version="1.0" encoding="utf-8"?>
<ds:datastoreItem xmlns:ds="http://schemas.openxmlformats.org/officeDocument/2006/customXml" ds:itemID="{5B828B67-B9FA-4CCE-8F11-A669A9A25160}"/>
</file>

<file path=customXml/itemProps4.xml><?xml version="1.0" encoding="utf-8"?>
<ds:datastoreItem xmlns:ds="http://schemas.openxmlformats.org/officeDocument/2006/customXml" ds:itemID="{42A84A0F-43B7-4F5D-AE09-C61CE9D9BE9D}"/>
</file>

<file path=docProps/app.xml><?xml version="1.0" encoding="utf-8"?>
<Properties xmlns="http://schemas.openxmlformats.org/officeDocument/2006/extended-properties" xmlns:vt="http://schemas.openxmlformats.org/officeDocument/2006/docPropsVTypes">
  <Template>A.dotm</Template>
  <TotalTime>8</TotalTime>
  <Pages>8</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A/HRC/AC/24/2</vt:lpstr>
    </vt:vector>
  </TitlesOfParts>
  <Company>DCM</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A/HRC/AC/24/2</dc:title>
  <dc:subject>2005111</dc:subject>
  <dc:creator>AVT</dc:creator>
  <cp:keywords/>
  <dc:description/>
  <cp:lastModifiedBy>RAMKAUN Meena</cp:lastModifiedBy>
  <cp:revision>6</cp:revision>
  <dcterms:created xsi:type="dcterms:W3CDTF">2021-02-18T14:25:00Z</dcterms:created>
  <dcterms:modified xsi:type="dcterms:W3CDTF">2021-02-19T11:17:00Z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