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A8353" w14:textId="77777777" w:rsidR="003D035B" w:rsidRPr="000C4768" w:rsidRDefault="003D035B" w:rsidP="003D035B">
      <w:pPr>
        <w:rPr>
          <w:rFonts w:ascii="Arial" w:hAnsi="Arial" w:cs="Arial"/>
        </w:rPr>
      </w:pPr>
      <w:bookmarkStart w:id="0" w:name="_GoBack"/>
      <w:bookmarkEnd w:id="0"/>
      <w:r w:rsidRPr="000C4768">
        <w:rPr>
          <w:rFonts w:ascii="Arial" w:hAnsi="Arial" w:cs="Arial"/>
          <w:noProof/>
          <w:lang w:val="en-GB" w:eastAsia="en-GB"/>
        </w:rPr>
        <w:drawing>
          <wp:anchor distT="0" distB="0" distL="114300" distR="114300" simplePos="0" relativeHeight="251659264" behindDoc="0" locked="0" layoutInCell="1" allowOverlap="1" wp14:anchorId="22200D2B" wp14:editId="42A60210">
            <wp:simplePos x="0" y="0"/>
            <wp:positionH relativeFrom="margin">
              <wp:align>center</wp:align>
            </wp:positionH>
            <wp:positionV relativeFrom="paragraph">
              <wp:posOffset>9525</wp:posOffset>
            </wp:positionV>
            <wp:extent cx="1543050" cy="1543050"/>
            <wp:effectExtent l="0" t="0" r="0" b="0"/>
            <wp:wrapSquare wrapText="bothSides"/>
            <wp:docPr id="1" name="Picture 1" descr="C:\Users\CHR62\Desktop\CHR - Seal - Full Color -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62\Desktop\CHR - Seal - Full Color - Engli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CE7E3" w14:textId="77777777" w:rsidR="003D035B" w:rsidRPr="000C4768" w:rsidRDefault="003D035B" w:rsidP="003D035B">
      <w:pPr>
        <w:ind w:left="0" w:firstLine="0"/>
        <w:rPr>
          <w:rFonts w:ascii="Arial" w:hAnsi="Arial" w:cs="Arial"/>
        </w:rPr>
      </w:pPr>
    </w:p>
    <w:p w14:paraId="3138B60C" w14:textId="77777777" w:rsidR="003D035B" w:rsidRPr="000C4768" w:rsidRDefault="003D035B" w:rsidP="003D035B">
      <w:pPr>
        <w:ind w:left="0" w:firstLine="0"/>
        <w:rPr>
          <w:rFonts w:ascii="Arial" w:hAnsi="Arial" w:cs="Arial"/>
        </w:rPr>
      </w:pPr>
    </w:p>
    <w:p w14:paraId="67ACC83E" w14:textId="77777777" w:rsidR="000C4768" w:rsidRPr="000C4768" w:rsidRDefault="000C4768" w:rsidP="000C4768">
      <w:pPr>
        <w:spacing w:after="0" w:line="240" w:lineRule="auto"/>
        <w:jc w:val="center"/>
        <w:rPr>
          <w:rFonts w:ascii="Arial" w:hAnsi="Arial" w:cs="Arial"/>
          <w:b/>
        </w:rPr>
      </w:pPr>
      <w:r w:rsidRPr="000C4768">
        <w:rPr>
          <w:rFonts w:ascii="Arial" w:hAnsi="Arial" w:cs="Arial"/>
          <w:b/>
        </w:rPr>
        <w:t>Commission on Human Rights of the Philippines</w:t>
      </w:r>
    </w:p>
    <w:p w14:paraId="6A8AE337" w14:textId="77777777" w:rsidR="000C4768" w:rsidRPr="000C4768" w:rsidRDefault="000C4768" w:rsidP="000C4768">
      <w:pPr>
        <w:spacing w:after="0" w:line="240" w:lineRule="auto"/>
        <w:jc w:val="center"/>
        <w:rPr>
          <w:rFonts w:ascii="Arial" w:hAnsi="Arial" w:cs="Arial"/>
          <w:b/>
        </w:rPr>
      </w:pPr>
    </w:p>
    <w:p w14:paraId="6D3B9603" w14:textId="29E64D16" w:rsidR="00064B2C" w:rsidRDefault="000C4768" w:rsidP="000C4768">
      <w:pPr>
        <w:spacing w:after="0" w:line="240" w:lineRule="auto"/>
        <w:jc w:val="center"/>
        <w:rPr>
          <w:rFonts w:ascii="Arial" w:hAnsi="Arial" w:cs="Arial"/>
          <w:b/>
        </w:rPr>
      </w:pPr>
      <w:r w:rsidRPr="000C4768">
        <w:rPr>
          <w:rFonts w:ascii="Arial" w:hAnsi="Arial" w:cs="Arial"/>
          <w:b/>
        </w:rPr>
        <w:t xml:space="preserve">Inputs to the </w:t>
      </w:r>
      <w:r w:rsidR="00995BBC">
        <w:rPr>
          <w:rFonts w:ascii="Arial" w:hAnsi="Arial" w:cs="Arial"/>
          <w:b/>
        </w:rPr>
        <w:t xml:space="preserve">Report of the </w:t>
      </w:r>
      <w:r w:rsidRPr="000C4768">
        <w:rPr>
          <w:rFonts w:ascii="Arial" w:hAnsi="Arial" w:cs="Arial"/>
          <w:b/>
        </w:rPr>
        <w:t xml:space="preserve">Office of the United Nations High Commissioner for Human Rights (OHCHR) on </w:t>
      </w:r>
      <w:r w:rsidR="00656F96" w:rsidRPr="00656F96">
        <w:rPr>
          <w:rFonts w:ascii="Arial" w:hAnsi="Arial" w:cs="Arial"/>
          <w:b/>
        </w:rPr>
        <w:t xml:space="preserve">the implementation of the </w:t>
      </w:r>
      <w:r w:rsidR="00E81A3A">
        <w:rPr>
          <w:rFonts w:ascii="Arial" w:hAnsi="Arial" w:cs="Arial"/>
          <w:b/>
        </w:rPr>
        <w:t>UN General Assembly Special Session on Drugs (</w:t>
      </w:r>
      <w:r w:rsidR="00656F96" w:rsidRPr="00656F96">
        <w:rPr>
          <w:rFonts w:ascii="Arial" w:hAnsi="Arial" w:cs="Arial"/>
          <w:b/>
        </w:rPr>
        <w:t>UNGASS</w:t>
      </w:r>
      <w:r w:rsidR="00E81A3A">
        <w:rPr>
          <w:rFonts w:ascii="Arial" w:hAnsi="Arial" w:cs="Arial"/>
          <w:b/>
        </w:rPr>
        <w:t>)</w:t>
      </w:r>
      <w:r w:rsidR="00656F96" w:rsidRPr="00656F96">
        <w:rPr>
          <w:rFonts w:ascii="Arial" w:hAnsi="Arial" w:cs="Arial"/>
          <w:b/>
        </w:rPr>
        <w:t xml:space="preserve"> joint commitment to effectively addressing and countering the world drug problem with regard to human rights</w:t>
      </w:r>
    </w:p>
    <w:p w14:paraId="21F6D38C" w14:textId="77777777" w:rsidR="000C4768" w:rsidRDefault="000C4768" w:rsidP="000C4768">
      <w:pPr>
        <w:spacing w:after="0" w:line="240" w:lineRule="auto"/>
        <w:jc w:val="center"/>
        <w:rPr>
          <w:rFonts w:ascii="Arial" w:hAnsi="Arial" w:cs="Arial"/>
          <w:b/>
        </w:rPr>
      </w:pPr>
    </w:p>
    <w:p w14:paraId="151E6F6A" w14:textId="3C1104B5" w:rsidR="000C4768" w:rsidRPr="000C4768" w:rsidRDefault="00FB7651" w:rsidP="000C4768">
      <w:pPr>
        <w:spacing w:after="0" w:line="240" w:lineRule="auto"/>
        <w:jc w:val="center"/>
        <w:rPr>
          <w:rFonts w:ascii="Arial" w:hAnsi="Arial" w:cs="Arial"/>
          <w:b/>
        </w:rPr>
      </w:pPr>
      <w:r>
        <w:rPr>
          <w:rFonts w:ascii="Arial" w:hAnsi="Arial" w:cs="Arial"/>
          <w:b/>
        </w:rPr>
        <w:t>21</w:t>
      </w:r>
      <w:r w:rsidR="00DC549B">
        <w:rPr>
          <w:rFonts w:ascii="Arial" w:hAnsi="Arial" w:cs="Arial"/>
          <w:b/>
        </w:rPr>
        <w:t xml:space="preserve"> May</w:t>
      </w:r>
      <w:r w:rsidR="000C4768">
        <w:rPr>
          <w:rFonts w:ascii="Arial" w:hAnsi="Arial" w:cs="Arial"/>
          <w:b/>
        </w:rPr>
        <w:t xml:space="preserve"> 2018</w:t>
      </w:r>
    </w:p>
    <w:p w14:paraId="4BA4E8E9" w14:textId="77777777" w:rsidR="003D035B" w:rsidRPr="000C4768" w:rsidRDefault="003D035B" w:rsidP="003D035B">
      <w:pPr>
        <w:spacing w:after="0" w:line="240" w:lineRule="auto"/>
        <w:rPr>
          <w:rFonts w:ascii="Arial" w:hAnsi="Arial" w:cs="Arial"/>
          <w:b/>
        </w:rPr>
      </w:pPr>
    </w:p>
    <w:p w14:paraId="0FAC065B" w14:textId="77777777" w:rsidR="00CB1C43" w:rsidRPr="000C4768" w:rsidRDefault="00CB1C43" w:rsidP="00E81A3A">
      <w:pPr>
        <w:spacing w:after="0" w:line="240" w:lineRule="auto"/>
        <w:ind w:left="0" w:firstLine="0"/>
        <w:rPr>
          <w:rFonts w:ascii="Arial" w:hAnsi="Arial" w:cs="Arial"/>
          <w:b/>
        </w:rPr>
      </w:pPr>
    </w:p>
    <w:p w14:paraId="4C0F1CD8" w14:textId="619208D4" w:rsidR="003D035B" w:rsidRDefault="003D035B" w:rsidP="00F169F4">
      <w:pPr>
        <w:pStyle w:val="ListParagraph"/>
        <w:numPr>
          <w:ilvl w:val="0"/>
          <w:numId w:val="2"/>
        </w:numPr>
        <w:spacing w:after="0" w:line="240" w:lineRule="auto"/>
        <w:rPr>
          <w:rFonts w:ascii="Arial" w:hAnsi="Arial" w:cs="Arial"/>
        </w:rPr>
      </w:pPr>
      <w:r w:rsidRPr="000C4768">
        <w:rPr>
          <w:rFonts w:ascii="Arial" w:hAnsi="Arial" w:cs="Arial"/>
        </w:rPr>
        <w:t>The Commission on Human Rights of the Philippines (herewith the Commission)</w:t>
      </w:r>
      <w:r w:rsidRPr="000C4768">
        <w:rPr>
          <w:rStyle w:val="FootnoteReference"/>
          <w:rFonts w:ascii="Arial" w:hAnsi="Arial" w:cs="Arial"/>
        </w:rPr>
        <w:footnoteReference w:id="1"/>
      </w:r>
      <w:r w:rsidRPr="000C4768">
        <w:rPr>
          <w:rFonts w:ascii="Arial" w:hAnsi="Arial" w:cs="Arial"/>
        </w:rPr>
        <w:t xml:space="preserve"> </w:t>
      </w:r>
      <w:r w:rsidR="00C839AF">
        <w:rPr>
          <w:rFonts w:ascii="Arial" w:hAnsi="Arial" w:cs="Arial"/>
        </w:rPr>
        <w:t xml:space="preserve">welcomes the efforts of the </w:t>
      </w:r>
      <w:r w:rsidRPr="000C4768">
        <w:rPr>
          <w:rFonts w:ascii="Arial" w:hAnsi="Arial" w:cs="Arial"/>
        </w:rPr>
        <w:t xml:space="preserve">Office of the High Commissioner for Human Rights (OHCHR), </w:t>
      </w:r>
      <w:r w:rsidR="00C839AF">
        <w:rPr>
          <w:rFonts w:ascii="Arial" w:hAnsi="Arial" w:cs="Arial"/>
        </w:rPr>
        <w:t>to highlight the nexus between drug policies and human rights promotion and protection in its r</w:t>
      </w:r>
      <w:r w:rsidR="00656F96" w:rsidRPr="00656F96">
        <w:rPr>
          <w:rFonts w:ascii="Arial" w:hAnsi="Arial" w:cs="Arial"/>
        </w:rPr>
        <w:t>eport on the implementation of the UNGASS joint commitment to effectively address and counter the world drug problem with regard to human rights</w:t>
      </w:r>
      <w:r w:rsidR="00C839AF">
        <w:rPr>
          <w:rFonts w:ascii="Arial" w:hAnsi="Arial" w:cs="Arial"/>
        </w:rPr>
        <w:t>.</w:t>
      </w:r>
      <w:r w:rsidR="00D17AB5">
        <w:rPr>
          <w:rFonts w:ascii="Arial" w:hAnsi="Arial" w:cs="Arial"/>
        </w:rPr>
        <w:t xml:space="preserve"> The Philippines voted against HRC Resolution </w:t>
      </w:r>
      <w:r w:rsidR="00D17AB5" w:rsidRPr="00D17AB5">
        <w:rPr>
          <w:rFonts w:ascii="Arial" w:hAnsi="Arial" w:cs="Arial"/>
        </w:rPr>
        <w:t>37/42</w:t>
      </w:r>
      <w:r w:rsidR="00F169F4">
        <w:rPr>
          <w:rFonts w:ascii="Arial" w:hAnsi="Arial" w:cs="Arial"/>
        </w:rPr>
        <w:t xml:space="preserve">, </w:t>
      </w:r>
      <w:r w:rsidR="00D17AB5" w:rsidRPr="00F169F4">
        <w:rPr>
          <w:rFonts w:ascii="Arial" w:hAnsi="Arial" w:cs="Arial"/>
          <w:i/>
        </w:rPr>
        <w:t>Contribution to the implementation of the joint commitment to effectively addressing and countering the world drug problem with regard to human rights</w:t>
      </w:r>
      <w:r w:rsidR="00F169F4">
        <w:rPr>
          <w:rFonts w:ascii="Arial" w:hAnsi="Arial" w:cs="Arial"/>
          <w:i/>
        </w:rPr>
        <w:t>,</w:t>
      </w:r>
      <w:r w:rsidR="00D17AB5">
        <w:rPr>
          <w:rFonts w:ascii="Arial" w:hAnsi="Arial" w:cs="Arial"/>
        </w:rPr>
        <w:t xml:space="preserve"> at the 37</w:t>
      </w:r>
      <w:r w:rsidR="00D17AB5" w:rsidRPr="00D17AB5">
        <w:rPr>
          <w:rFonts w:ascii="Arial" w:hAnsi="Arial" w:cs="Arial"/>
          <w:vertAlign w:val="superscript"/>
        </w:rPr>
        <w:t>th</w:t>
      </w:r>
      <w:r w:rsidR="00D17AB5">
        <w:rPr>
          <w:rFonts w:ascii="Arial" w:hAnsi="Arial" w:cs="Arial"/>
        </w:rPr>
        <w:t xml:space="preserve"> </w:t>
      </w:r>
      <w:r w:rsidR="00F169F4">
        <w:rPr>
          <w:rFonts w:ascii="Arial" w:hAnsi="Arial" w:cs="Arial"/>
        </w:rPr>
        <w:t>S</w:t>
      </w:r>
      <w:r w:rsidR="00D17AB5">
        <w:rPr>
          <w:rFonts w:ascii="Arial" w:hAnsi="Arial" w:cs="Arial"/>
        </w:rPr>
        <w:t>ession of the Human Rights Council</w:t>
      </w:r>
      <w:r w:rsidR="00F169F4">
        <w:rPr>
          <w:rFonts w:ascii="Arial" w:hAnsi="Arial" w:cs="Arial"/>
        </w:rPr>
        <w:t xml:space="preserve"> but was a co-sponsor of HRC Resolution 28/28 of 2015 </w:t>
      </w:r>
      <w:r w:rsidR="00F169F4" w:rsidRPr="00F169F4">
        <w:rPr>
          <w:rFonts w:ascii="Arial" w:hAnsi="Arial" w:cs="Arial"/>
          <w:i/>
        </w:rPr>
        <w:t xml:space="preserve">Contribution of the Human Rights Council to the special session of the General Assembly on the world drug problem </w:t>
      </w:r>
      <w:r w:rsidR="00F169F4">
        <w:rPr>
          <w:rFonts w:ascii="Arial" w:hAnsi="Arial" w:cs="Arial"/>
        </w:rPr>
        <w:t>at the 28</w:t>
      </w:r>
      <w:r w:rsidR="00F169F4" w:rsidRPr="00F169F4">
        <w:rPr>
          <w:rFonts w:ascii="Arial" w:hAnsi="Arial" w:cs="Arial"/>
          <w:vertAlign w:val="superscript"/>
        </w:rPr>
        <w:t>th</w:t>
      </w:r>
      <w:r w:rsidR="00F169F4">
        <w:rPr>
          <w:rFonts w:ascii="Arial" w:hAnsi="Arial" w:cs="Arial"/>
        </w:rPr>
        <w:t xml:space="preserve"> Session of the Council in</w:t>
      </w:r>
      <w:r w:rsidR="00F169F4" w:rsidRPr="00F169F4">
        <w:rPr>
          <w:rFonts w:ascii="Arial" w:hAnsi="Arial" w:cs="Arial"/>
        </w:rPr>
        <w:t xml:space="preserve"> 2016</w:t>
      </w:r>
      <w:r w:rsidR="00F169F4">
        <w:rPr>
          <w:rFonts w:ascii="Arial" w:hAnsi="Arial" w:cs="Arial"/>
        </w:rPr>
        <w:t>.</w:t>
      </w:r>
      <w:r w:rsidR="00F169F4">
        <w:rPr>
          <w:rStyle w:val="FootnoteReference"/>
          <w:rFonts w:ascii="Arial" w:hAnsi="Arial" w:cs="Arial"/>
        </w:rPr>
        <w:footnoteReference w:id="2"/>
      </w:r>
    </w:p>
    <w:p w14:paraId="3BAAF71A" w14:textId="3A1B1E84" w:rsidR="00C02BAB" w:rsidRDefault="00C02BAB" w:rsidP="00C02BAB">
      <w:pPr>
        <w:pStyle w:val="ListParagraph"/>
        <w:spacing w:after="0" w:line="240" w:lineRule="auto"/>
        <w:ind w:left="717" w:firstLine="0"/>
        <w:rPr>
          <w:rFonts w:ascii="Arial" w:hAnsi="Arial" w:cs="Arial"/>
        </w:rPr>
      </w:pPr>
    </w:p>
    <w:p w14:paraId="31C74AD9" w14:textId="31C486DB" w:rsidR="00115F41" w:rsidRDefault="00C02BAB" w:rsidP="00C02BAB">
      <w:pPr>
        <w:pStyle w:val="ListParagraph"/>
        <w:numPr>
          <w:ilvl w:val="0"/>
          <w:numId w:val="2"/>
        </w:numPr>
        <w:spacing w:after="160"/>
        <w:rPr>
          <w:rFonts w:ascii="Arial" w:hAnsi="Arial" w:cs="Arial"/>
        </w:rPr>
      </w:pPr>
      <w:r w:rsidRPr="00C02BAB">
        <w:rPr>
          <w:rFonts w:ascii="Arial" w:hAnsi="Arial" w:cs="Arial"/>
        </w:rPr>
        <w:t xml:space="preserve">The inputs from the Commission took into consideration the Commission’s own documentation of independent monitoring activities and statements which were subjected to the internal deliberations of the Commission En Banc. This submission also referred to local </w:t>
      </w:r>
      <w:r w:rsidRPr="00C02BAB">
        <w:rPr>
          <w:rFonts w:ascii="Arial" w:hAnsi="Arial" w:cs="Arial"/>
        </w:rPr>
        <w:lastRenderedPageBreak/>
        <w:t xml:space="preserve">and international reports from government, civil society, the media, and international non-government organizations. </w:t>
      </w:r>
    </w:p>
    <w:p w14:paraId="4FB3C3AB" w14:textId="77777777" w:rsidR="00CF2D4C" w:rsidRDefault="00CF2D4C" w:rsidP="00A63EC6">
      <w:pPr>
        <w:spacing w:after="0" w:line="240" w:lineRule="auto"/>
        <w:ind w:left="357" w:firstLine="0"/>
        <w:rPr>
          <w:rFonts w:ascii="Arial" w:hAnsi="Arial" w:cs="Arial"/>
          <w:b/>
          <w:i/>
        </w:rPr>
      </w:pPr>
    </w:p>
    <w:p w14:paraId="07FD82B3" w14:textId="37DA6079" w:rsidR="00CF2D4C" w:rsidRPr="00A63EC6" w:rsidRDefault="00CF2D4C" w:rsidP="00A63EC6">
      <w:pPr>
        <w:spacing w:after="0" w:line="240" w:lineRule="auto"/>
        <w:ind w:left="357" w:firstLine="0"/>
        <w:rPr>
          <w:rFonts w:ascii="Arial" w:hAnsi="Arial" w:cs="Arial"/>
          <w:b/>
        </w:rPr>
      </w:pPr>
      <w:r w:rsidRPr="00A63EC6">
        <w:rPr>
          <w:rFonts w:ascii="Arial" w:hAnsi="Arial" w:cs="Arial"/>
          <w:b/>
        </w:rPr>
        <w:t>Legal and policy frameworks related to addressing and countering the drug issue in the Philippines</w:t>
      </w:r>
      <w:r w:rsidRPr="00A63EC6">
        <w:rPr>
          <w:rStyle w:val="FootnoteReference"/>
          <w:rFonts w:ascii="Arial" w:hAnsi="Arial" w:cs="Arial"/>
          <w:b/>
        </w:rPr>
        <w:footnoteReference w:id="3"/>
      </w:r>
    </w:p>
    <w:p w14:paraId="5B765354" w14:textId="77777777" w:rsidR="00C02BAB" w:rsidRPr="00C02BAB" w:rsidRDefault="00C02BAB" w:rsidP="00A63EC6">
      <w:pPr>
        <w:spacing w:after="0" w:line="240" w:lineRule="auto"/>
        <w:ind w:left="357" w:firstLine="0"/>
        <w:rPr>
          <w:rFonts w:ascii="Arial" w:hAnsi="Arial" w:cs="Arial"/>
        </w:rPr>
      </w:pPr>
    </w:p>
    <w:p w14:paraId="2306A624" w14:textId="6F591FC9" w:rsidR="003810C2" w:rsidRDefault="00737ACC" w:rsidP="00DF3597">
      <w:pPr>
        <w:pStyle w:val="ListParagraph"/>
        <w:numPr>
          <w:ilvl w:val="0"/>
          <w:numId w:val="2"/>
        </w:numPr>
        <w:spacing w:after="0" w:line="240" w:lineRule="auto"/>
        <w:rPr>
          <w:rFonts w:ascii="Arial" w:hAnsi="Arial" w:cs="Arial"/>
        </w:rPr>
      </w:pPr>
      <w:r w:rsidRPr="00703A9D">
        <w:rPr>
          <w:rFonts w:ascii="Arial" w:hAnsi="Arial" w:cs="Arial"/>
          <w:i/>
        </w:rPr>
        <w:t>Republic Act No. 9165</w:t>
      </w:r>
      <w:r w:rsidR="00210A4C" w:rsidRPr="00703A9D">
        <w:rPr>
          <w:rFonts w:ascii="Arial" w:hAnsi="Arial" w:cs="Arial"/>
          <w:i/>
        </w:rPr>
        <w:t>,</w:t>
      </w:r>
      <w:r w:rsidRPr="00703A9D">
        <w:rPr>
          <w:rFonts w:ascii="Arial" w:hAnsi="Arial" w:cs="Arial"/>
          <w:i/>
        </w:rPr>
        <w:t xml:space="preserve"> “An Act Instituting the Comprehensive Dangerous Drugs Act of 2002, Repealing Republic Act No. 6425, Otherwise Known as the Dangerous Drugs Act of 1972, as Amended, Providing Funds Therefor, And for Other Purposes</w:t>
      </w:r>
      <w:r w:rsidR="001F153D" w:rsidRPr="00703A9D">
        <w:rPr>
          <w:rFonts w:ascii="Arial" w:hAnsi="Arial" w:cs="Arial"/>
          <w:i/>
        </w:rPr>
        <w:t>,</w:t>
      </w:r>
      <w:r w:rsidRPr="00703A9D">
        <w:rPr>
          <w:rFonts w:ascii="Arial" w:hAnsi="Arial" w:cs="Arial"/>
          <w:i/>
        </w:rPr>
        <w:t>”</w:t>
      </w:r>
      <w:r w:rsidR="003810C2" w:rsidRPr="00703A9D">
        <w:rPr>
          <w:rFonts w:ascii="Arial" w:hAnsi="Arial" w:cs="Arial"/>
          <w:i/>
        </w:rPr>
        <w:t xml:space="preserve"> (known as the Comprehensive Dangerous Drugs Act of 2002)</w:t>
      </w:r>
      <w:r w:rsidRPr="00703A9D">
        <w:rPr>
          <w:rFonts w:ascii="Arial" w:hAnsi="Arial" w:cs="Arial"/>
          <w:i/>
        </w:rPr>
        <w:t xml:space="preserve"> and </w:t>
      </w:r>
      <w:r w:rsidR="00703A9D" w:rsidRPr="00703A9D">
        <w:rPr>
          <w:rFonts w:ascii="Arial" w:hAnsi="Arial" w:cs="Arial"/>
          <w:i/>
        </w:rPr>
        <w:t xml:space="preserve">the </w:t>
      </w:r>
      <w:r w:rsidR="003810C2" w:rsidRPr="00703A9D">
        <w:rPr>
          <w:rFonts w:ascii="Arial" w:hAnsi="Arial" w:cs="Arial"/>
          <w:i/>
        </w:rPr>
        <w:t>subsequent</w:t>
      </w:r>
      <w:r w:rsidRPr="00703A9D">
        <w:rPr>
          <w:rFonts w:ascii="Arial" w:hAnsi="Arial" w:cs="Arial"/>
          <w:i/>
        </w:rPr>
        <w:t xml:space="preserve"> amendment</w:t>
      </w:r>
      <w:r w:rsidR="00703A9D" w:rsidRPr="00703A9D">
        <w:rPr>
          <w:rFonts w:ascii="Arial" w:hAnsi="Arial" w:cs="Arial"/>
          <w:i/>
        </w:rPr>
        <w:t xml:space="preserve"> of Section 21 of the said Act</w:t>
      </w:r>
      <w:r w:rsidRPr="00703A9D">
        <w:rPr>
          <w:rFonts w:ascii="Arial" w:hAnsi="Arial" w:cs="Arial"/>
          <w:i/>
        </w:rPr>
        <w:t xml:space="preserve"> through Republic Act </w:t>
      </w:r>
      <w:r w:rsidR="003810C2" w:rsidRPr="00703A9D">
        <w:rPr>
          <w:rFonts w:ascii="Arial" w:hAnsi="Arial" w:cs="Arial"/>
          <w:i/>
        </w:rPr>
        <w:t>No.</w:t>
      </w:r>
      <w:r w:rsidR="00210A4C" w:rsidRPr="00703A9D">
        <w:rPr>
          <w:rFonts w:ascii="Arial" w:hAnsi="Arial" w:cs="Arial"/>
          <w:i/>
        </w:rPr>
        <w:t xml:space="preserve"> </w:t>
      </w:r>
      <w:r w:rsidR="003810C2" w:rsidRPr="00703A9D">
        <w:rPr>
          <w:rFonts w:ascii="Arial" w:hAnsi="Arial" w:cs="Arial"/>
          <w:i/>
        </w:rPr>
        <w:t>10640</w:t>
      </w:r>
      <w:r w:rsidR="00210A4C" w:rsidRPr="00703A9D">
        <w:rPr>
          <w:rFonts w:ascii="Arial" w:hAnsi="Arial" w:cs="Arial"/>
          <w:i/>
        </w:rPr>
        <w:t xml:space="preserve"> of 2014,</w:t>
      </w:r>
      <w:r w:rsidR="003810C2" w:rsidRPr="00703A9D">
        <w:rPr>
          <w:rFonts w:ascii="Arial" w:hAnsi="Arial" w:cs="Arial"/>
          <w:i/>
        </w:rPr>
        <w:t xml:space="preserve"> </w:t>
      </w:r>
      <w:r w:rsidR="00210A4C" w:rsidRPr="00703A9D">
        <w:rPr>
          <w:rFonts w:ascii="Arial" w:hAnsi="Arial" w:cs="Arial"/>
          <w:i/>
        </w:rPr>
        <w:t>“An Act to Further Strengthen the Anti-Drug Campaign of The Government, Amending for the Purpose Section 21 of Republic Act No. 9165, Otherwise Known as the “Comprehensive Dangerous Drugs Act Of 2002.”</w:t>
      </w:r>
      <w:r w:rsidR="00703A9D">
        <w:rPr>
          <w:rStyle w:val="FootnoteReference"/>
          <w:rFonts w:ascii="Arial" w:hAnsi="Arial" w:cs="Arial"/>
          <w:i/>
        </w:rPr>
        <w:footnoteReference w:id="4"/>
      </w:r>
      <w:r w:rsidR="00210A4C">
        <w:rPr>
          <w:rFonts w:ascii="Arial" w:hAnsi="Arial" w:cs="Arial"/>
        </w:rPr>
        <w:t xml:space="preserve"> RA 9165 and RA 10640 mandate </w:t>
      </w:r>
      <w:r w:rsidR="00210A4C" w:rsidRPr="00210A4C">
        <w:rPr>
          <w:rFonts w:ascii="Arial" w:hAnsi="Arial" w:cs="Arial"/>
        </w:rPr>
        <w:t xml:space="preserve">the government </w:t>
      </w:r>
      <w:r w:rsidR="00210A4C">
        <w:rPr>
          <w:rFonts w:ascii="Arial" w:hAnsi="Arial" w:cs="Arial"/>
        </w:rPr>
        <w:t>to “</w:t>
      </w:r>
      <w:r w:rsidR="00210A4C" w:rsidRPr="00210A4C">
        <w:rPr>
          <w:rFonts w:ascii="Arial" w:hAnsi="Arial" w:cs="Arial"/>
        </w:rPr>
        <w:t>pursue an intensive and unrelenting campaign against the trafficking and use of dangerous drugs and other similar substances through an integrated system of planning, implementation and enforcement of anti-drug abuse policies, programs, and projects. The government shall however aim to achieve a balance in the national drug control program so that people with legitimate medical needs are not prevented from being treated with adequate amounts of appropriate medications, which include the use of dangerous drugs.</w:t>
      </w:r>
      <w:r w:rsidR="00703A9D">
        <w:rPr>
          <w:rFonts w:ascii="Arial" w:hAnsi="Arial" w:cs="Arial"/>
        </w:rPr>
        <w:t xml:space="preserve"> </w:t>
      </w:r>
      <w:r w:rsidR="00703A9D" w:rsidRPr="001F153D">
        <w:rPr>
          <w:rFonts w:ascii="Arial" w:hAnsi="Arial" w:cs="Arial"/>
        </w:rPr>
        <w:t>It is further declared the policy of the State to provide effective mechanisms or measures to re-integrate into society individuals who have fallen victims to drug abuse or dangerous drug dependence through sustainable programs of treatment and rehabilitation</w:t>
      </w:r>
      <w:r w:rsidR="00703A9D">
        <w:rPr>
          <w:rFonts w:ascii="Arial" w:hAnsi="Arial" w:cs="Arial"/>
        </w:rPr>
        <w:t>.”</w:t>
      </w:r>
      <w:r w:rsidR="00703A9D">
        <w:rPr>
          <w:rStyle w:val="FootnoteReference"/>
          <w:rFonts w:ascii="Arial" w:hAnsi="Arial" w:cs="Arial"/>
        </w:rPr>
        <w:footnoteReference w:id="5"/>
      </w:r>
      <w:r w:rsidR="00703A9D">
        <w:rPr>
          <w:rFonts w:ascii="Arial" w:hAnsi="Arial" w:cs="Arial"/>
        </w:rPr>
        <w:t xml:space="preserve"> The amendment to Section 21 of RA 9165 by RA 10640 </w:t>
      </w:r>
      <w:r w:rsidR="00057C32">
        <w:rPr>
          <w:rFonts w:ascii="Arial" w:hAnsi="Arial" w:cs="Arial"/>
        </w:rPr>
        <w:t>states that “</w:t>
      </w:r>
      <w:r w:rsidR="00DF3597" w:rsidRPr="00DF3597">
        <w:rPr>
          <w:rFonts w:ascii="Arial" w:hAnsi="Arial" w:cs="Arial"/>
        </w:rPr>
        <w:t>Custody and Disposition of Confiscated, Seized, and/or Surrendered Dangerous Drugs, Plant Sources of Dangerous Drugs, Controlled Precursors and Essential Chemicals, Instruments/Paraphernalia and/or Laboratory Equipment. – The</w:t>
      </w:r>
      <w:r w:rsidR="00DF3597">
        <w:rPr>
          <w:rFonts w:ascii="Arial" w:hAnsi="Arial" w:cs="Arial"/>
        </w:rPr>
        <w:t xml:space="preserve"> </w:t>
      </w:r>
      <w:r w:rsidR="00DF3597" w:rsidRPr="00DF3597">
        <w:rPr>
          <w:rFonts w:ascii="Arial" w:hAnsi="Arial" w:cs="Arial"/>
        </w:rPr>
        <w:t>PDEA</w:t>
      </w:r>
      <w:r w:rsidR="00DF3597">
        <w:rPr>
          <w:rFonts w:ascii="Arial" w:hAnsi="Arial" w:cs="Arial"/>
        </w:rPr>
        <w:t xml:space="preserve"> [</w:t>
      </w:r>
      <w:r w:rsidR="00DF3597" w:rsidRPr="00DF3597">
        <w:rPr>
          <w:rFonts w:ascii="Arial" w:hAnsi="Arial" w:cs="Arial"/>
        </w:rPr>
        <w:t>Philippine Drug Enforcement Agency</w:t>
      </w:r>
      <w:r w:rsidR="00DF3597">
        <w:rPr>
          <w:rFonts w:ascii="Arial" w:hAnsi="Arial" w:cs="Arial"/>
        </w:rPr>
        <w:t>]</w:t>
      </w:r>
      <w:r w:rsidR="00DF3597" w:rsidRPr="00DF3597">
        <w:rPr>
          <w:rFonts w:ascii="Arial" w:hAnsi="Arial" w:cs="Arial"/>
        </w:rPr>
        <w:t xml:space="preserve"> shall take charge and have custody of all dangerous drugs, plant sources of dangerous drugs, controlled precursors and essential chemicals, as well as instruments/paraphernalia and/or laboratory equipment so confiscated, seized and/or surrendered, for proper disposition</w:t>
      </w:r>
      <w:r w:rsidR="00DF3597">
        <w:rPr>
          <w:rFonts w:ascii="Arial" w:hAnsi="Arial" w:cs="Arial"/>
        </w:rPr>
        <w:t>…” RA 10640 also directs PDEA to</w:t>
      </w:r>
      <w:r w:rsidR="00DF3597" w:rsidRPr="00DF3597">
        <w:rPr>
          <w:rFonts w:ascii="Arial" w:hAnsi="Arial" w:cs="Arial"/>
        </w:rPr>
        <w:t xml:space="preserve"> </w:t>
      </w:r>
      <w:r w:rsidR="00DF3597">
        <w:rPr>
          <w:rFonts w:ascii="Arial" w:hAnsi="Arial" w:cs="Arial"/>
        </w:rPr>
        <w:t>“</w:t>
      </w:r>
      <w:r w:rsidR="00DF3597" w:rsidRPr="00DF3597">
        <w:rPr>
          <w:rFonts w:ascii="Arial" w:hAnsi="Arial" w:cs="Arial"/>
        </w:rPr>
        <w:t>implement effectively the provisions of Section 21, the</w:t>
      </w:r>
      <w:r w:rsidR="00DF3597">
        <w:rPr>
          <w:rFonts w:ascii="Arial" w:hAnsi="Arial" w:cs="Arial"/>
        </w:rPr>
        <w:t xml:space="preserve"> </w:t>
      </w:r>
      <w:r w:rsidR="00DF3597" w:rsidRPr="00DF3597">
        <w:rPr>
          <w:rFonts w:ascii="Arial" w:hAnsi="Arial" w:cs="Arial"/>
        </w:rPr>
        <w:t>Philippine Drug Enforcement Agency</w:t>
      </w:r>
      <w:r w:rsidR="00DF3597">
        <w:rPr>
          <w:rFonts w:ascii="Arial" w:hAnsi="Arial" w:cs="Arial"/>
        </w:rPr>
        <w:t xml:space="preserve"> (</w:t>
      </w:r>
      <w:r w:rsidR="00DF3597" w:rsidRPr="00DF3597">
        <w:rPr>
          <w:rFonts w:ascii="Arial" w:hAnsi="Arial" w:cs="Arial"/>
        </w:rPr>
        <w:t>PDEA</w:t>
      </w:r>
      <w:r w:rsidR="00DF3597">
        <w:rPr>
          <w:rFonts w:ascii="Arial" w:hAnsi="Arial" w:cs="Arial"/>
        </w:rPr>
        <w:t>)</w:t>
      </w:r>
      <w:r w:rsidR="00DF3597" w:rsidRPr="00DF3597">
        <w:rPr>
          <w:rFonts w:ascii="Arial" w:hAnsi="Arial" w:cs="Arial"/>
        </w:rPr>
        <w:t xml:space="preserve"> shall issue the necessary guidelines on the IRR for the purpose in consultation with the Department of Justice </w:t>
      </w:r>
      <w:r w:rsidR="00DF3597" w:rsidRPr="00DF3597">
        <w:rPr>
          <w:rFonts w:ascii="Arial" w:hAnsi="Arial" w:cs="Arial"/>
        </w:rPr>
        <w:lastRenderedPageBreak/>
        <w:t>(DOJ) and relevant sectors to curb increasing drug cases.</w:t>
      </w:r>
      <w:r w:rsidR="00DF3597">
        <w:rPr>
          <w:rFonts w:ascii="Arial" w:hAnsi="Arial" w:cs="Arial"/>
        </w:rPr>
        <w:t>”</w:t>
      </w:r>
      <w:r w:rsidR="00C02BAB">
        <w:rPr>
          <w:rStyle w:val="FootnoteReference"/>
          <w:rFonts w:ascii="Arial" w:hAnsi="Arial" w:cs="Arial"/>
        </w:rPr>
        <w:footnoteReference w:id="6"/>
      </w:r>
    </w:p>
    <w:p w14:paraId="0B80CA42" w14:textId="77777777" w:rsidR="00703A9D" w:rsidRDefault="00703A9D" w:rsidP="00703A9D">
      <w:pPr>
        <w:pStyle w:val="ListParagraph"/>
        <w:spacing w:after="0" w:line="240" w:lineRule="auto"/>
        <w:ind w:left="717" w:firstLine="0"/>
        <w:rPr>
          <w:rFonts w:ascii="Arial" w:hAnsi="Arial" w:cs="Arial"/>
        </w:rPr>
      </w:pPr>
    </w:p>
    <w:p w14:paraId="194DB876" w14:textId="295E4C06" w:rsidR="00041C89" w:rsidRDefault="0083360B" w:rsidP="0083360B">
      <w:pPr>
        <w:pStyle w:val="ListParagraph"/>
        <w:numPr>
          <w:ilvl w:val="0"/>
          <w:numId w:val="2"/>
        </w:numPr>
        <w:spacing w:after="0" w:line="240" w:lineRule="auto"/>
        <w:rPr>
          <w:rFonts w:ascii="Arial" w:hAnsi="Arial" w:cs="Arial"/>
        </w:rPr>
      </w:pPr>
      <w:r>
        <w:rPr>
          <w:rFonts w:ascii="Arial" w:hAnsi="Arial" w:cs="Arial"/>
        </w:rPr>
        <w:t>The Dangerous Drugs Board</w:t>
      </w:r>
      <w:r w:rsidR="000A0117">
        <w:rPr>
          <w:rFonts w:ascii="Arial" w:hAnsi="Arial" w:cs="Arial"/>
        </w:rPr>
        <w:t xml:space="preserve"> (DDB)</w:t>
      </w:r>
      <w:r w:rsidR="00041C89">
        <w:rPr>
          <w:rFonts w:ascii="Arial" w:hAnsi="Arial" w:cs="Arial"/>
        </w:rPr>
        <w:t xml:space="preserve"> created by RA 9165 is </w:t>
      </w:r>
      <w:r w:rsidR="00041C89" w:rsidRPr="00BA77CF">
        <w:rPr>
          <w:rFonts w:ascii="Arial" w:hAnsi="Arial" w:cs="Arial"/>
        </w:rPr>
        <w:t xml:space="preserve">the policy making and strategy-formulating body in the planning and formulation of policies and programs on drug prevention and control. </w:t>
      </w:r>
      <w:r>
        <w:rPr>
          <w:rFonts w:ascii="Arial" w:hAnsi="Arial" w:cs="Arial"/>
        </w:rPr>
        <w:t xml:space="preserve">The </w:t>
      </w:r>
      <w:r w:rsidR="000A0117">
        <w:rPr>
          <w:rFonts w:ascii="Arial" w:hAnsi="Arial" w:cs="Arial"/>
        </w:rPr>
        <w:t>DDB</w:t>
      </w:r>
      <w:r>
        <w:rPr>
          <w:rFonts w:ascii="Arial" w:hAnsi="Arial" w:cs="Arial"/>
        </w:rPr>
        <w:t xml:space="preserve">, under the Office of the President, </w:t>
      </w:r>
      <w:r w:rsidR="00041C89" w:rsidRPr="00BA77CF">
        <w:rPr>
          <w:rFonts w:ascii="Arial" w:hAnsi="Arial" w:cs="Arial"/>
        </w:rPr>
        <w:t>develop</w:t>
      </w:r>
      <w:r>
        <w:rPr>
          <w:rFonts w:ascii="Arial" w:hAnsi="Arial" w:cs="Arial"/>
        </w:rPr>
        <w:t>s</w:t>
      </w:r>
      <w:r w:rsidR="00041C89" w:rsidRPr="00BA77CF">
        <w:rPr>
          <w:rFonts w:ascii="Arial" w:hAnsi="Arial" w:cs="Arial"/>
        </w:rPr>
        <w:t xml:space="preserve"> and adopt</w:t>
      </w:r>
      <w:r>
        <w:rPr>
          <w:rFonts w:ascii="Arial" w:hAnsi="Arial" w:cs="Arial"/>
        </w:rPr>
        <w:t>s</w:t>
      </w:r>
      <w:r w:rsidR="00041C89" w:rsidRPr="00BA77CF">
        <w:rPr>
          <w:rFonts w:ascii="Arial" w:hAnsi="Arial" w:cs="Arial"/>
        </w:rPr>
        <w:t xml:space="preserve"> comprehensive, integrated, unified and balanced national drug abuse prevention and control strategy.</w:t>
      </w:r>
      <w:r w:rsidR="00041C89">
        <w:rPr>
          <w:rStyle w:val="FootnoteReference"/>
          <w:rFonts w:ascii="Arial" w:hAnsi="Arial" w:cs="Arial"/>
        </w:rPr>
        <w:footnoteReference w:id="7"/>
      </w:r>
      <w:r>
        <w:rPr>
          <w:rFonts w:ascii="Arial" w:hAnsi="Arial" w:cs="Arial"/>
        </w:rPr>
        <w:t xml:space="preserve"> The Board “shall </w:t>
      </w:r>
      <w:r w:rsidRPr="0083360B">
        <w:rPr>
          <w:rFonts w:ascii="Arial" w:hAnsi="Arial" w:cs="Arial"/>
        </w:rPr>
        <w:t>take into accord the obligations and commitments to international treaties, conventions and agreements to which the Philippines is a signatory.</w:t>
      </w:r>
      <w:r>
        <w:rPr>
          <w:rFonts w:ascii="Arial" w:hAnsi="Arial" w:cs="Arial"/>
        </w:rPr>
        <w:t>”</w:t>
      </w:r>
      <w:r>
        <w:rPr>
          <w:rStyle w:val="FootnoteReference"/>
          <w:rFonts w:ascii="Arial" w:hAnsi="Arial" w:cs="Arial"/>
        </w:rPr>
        <w:footnoteReference w:id="8"/>
      </w:r>
    </w:p>
    <w:p w14:paraId="15FAA72A" w14:textId="39C01761" w:rsidR="00041C89" w:rsidRDefault="00041C89" w:rsidP="0083360B">
      <w:pPr>
        <w:pStyle w:val="ListParagraph"/>
        <w:spacing w:after="0" w:line="240" w:lineRule="auto"/>
        <w:ind w:left="717" w:firstLine="0"/>
        <w:rPr>
          <w:rFonts w:ascii="Arial" w:hAnsi="Arial" w:cs="Arial"/>
        </w:rPr>
      </w:pPr>
    </w:p>
    <w:p w14:paraId="108D484D" w14:textId="7B9D19B0" w:rsidR="00BA77CF" w:rsidRDefault="00C02BAB" w:rsidP="0083360B">
      <w:pPr>
        <w:pStyle w:val="ListParagraph"/>
        <w:numPr>
          <w:ilvl w:val="0"/>
          <w:numId w:val="2"/>
        </w:numPr>
        <w:spacing w:after="0" w:line="240" w:lineRule="auto"/>
        <w:rPr>
          <w:rFonts w:ascii="Arial" w:hAnsi="Arial" w:cs="Arial"/>
        </w:rPr>
      </w:pPr>
      <w:r w:rsidRPr="00C02BAB">
        <w:rPr>
          <w:rFonts w:ascii="Arial" w:hAnsi="Arial" w:cs="Arial"/>
        </w:rPr>
        <w:t>The Philippine Drug Enforcement Agency (PDEA)</w:t>
      </w:r>
      <w:r>
        <w:rPr>
          <w:rFonts w:ascii="Arial" w:hAnsi="Arial" w:cs="Arial"/>
        </w:rPr>
        <w:t xml:space="preserve">, </w:t>
      </w:r>
      <w:r w:rsidR="0083360B">
        <w:rPr>
          <w:rFonts w:ascii="Arial" w:hAnsi="Arial" w:cs="Arial"/>
        </w:rPr>
        <w:t xml:space="preserve">also </w:t>
      </w:r>
      <w:r>
        <w:rPr>
          <w:rFonts w:ascii="Arial" w:hAnsi="Arial" w:cs="Arial"/>
        </w:rPr>
        <w:t>created by RA 9165</w:t>
      </w:r>
      <w:r w:rsidR="0083360B">
        <w:rPr>
          <w:rFonts w:ascii="Arial" w:hAnsi="Arial" w:cs="Arial"/>
        </w:rPr>
        <w:t xml:space="preserve"> </w:t>
      </w:r>
      <w:r>
        <w:rPr>
          <w:rFonts w:ascii="Arial" w:hAnsi="Arial" w:cs="Arial"/>
        </w:rPr>
        <w:t xml:space="preserve">is the </w:t>
      </w:r>
      <w:r w:rsidR="0083360B">
        <w:rPr>
          <w:rFonts w:ascii="Arial" w:hAnsi="Arial" w:cs="Arial"/>
        </w:rPr>
        <w:t>implementing arm of the Dangerous Drugs Board</w:t>
      </w:r>
      <w:r>
        <w:rPr>
          <w:rFonts w:ascii="Arial" w:hAnsi="Arial" w:cs="Arial"/>
        </w:rPr>
        <w:t xml:space="preserve"> tasked to efficiently enforce</w:t>
      </w:r>
      <w:r w:rsidRPr="00C02BAB">
        <w:rPr>
          <w:rFonts w:ascii="Arial" w:hAnsi="Arial" w:cs="Arial"/>
        </w:rPr>
        <w:t xml:space="preserve"> all provisions on any dangerous drugs and/or precursors and essential chemicals.</w:t>
      </w:r>
      <w:r>
        <w:rPr>
          <w:rStyle w:val="FootnoteReference"/>
          <w:rFonts w:ascii="Arial" w:hAnsi="Arial" w:cs="Arial"/>
        </w:rPr>
        <w:footnoteReference w:id="9"/>
      </w:r>
    </w:p>
    <w:p w14:paraId="54EF5D3D" w14:textId="77777777" w:rsidR="00B45799" w:rsidRDefault="00B45799" w:rsidP="00B45799">
      <w:pPr>
        <w:pStyle w:val="ListParagraph"/>
        <w:spacing w:after="0" w:line="240" w:lineRule="auto"/>
        <w:ind w:left="717" w:firstLine="0"/>
        <w:rPr>
          <w:rFonts w:ascii="Arial" w:hAnsi="Arial" w:cs="Arial"/>
        </w:rPr>
      </w:pPr>
    </w:p>
    <w:p w14:paraId="15FC42E0" w14:textId="50F0DFC2" w:rsidR="00F154CC" w:rsidRPr="000A0117" w:rsidRDefault="00B45799" w:rsidP="000A0117">
      <w:pPr>
        <w:pStyle w:val="ListParagraph"/>
        <w:numPr>
          <w:ilvl w:val="0"/>
          <w:numId w:val="2"/>
        </w:numPr>
        <w:spacing w:after="0" w:line="240" w:lineRule="auto"/>
        <w:rPr>
          <w:rFonts w:ascii="Arial" w:hAnsi="Arial" w:cs="Arial"/>
        </w:rPr>
      </w:pPr>
      <w:r>
        <w:rPr>
          <w:rFonts w:ascii="Arial" w:hAnsi="Arial" w:cs="Arial"/>
        </w:rPr>
        <w:t xml:space="preserve">The National Bureau of Investigation (NBI) of the Department of Justice (DOJ) and the Philippine National Police (PNP) have respective mandates to enforce laws concerning investigation and curtailing of dangerous drugs, </w:t>
      </w:r>
      <w:r w:rsidR="00D352A5">
        <w:rPr>
          <w:rFonts w:ascii="Arial" w:hAnsi="Arial" w:cs="Arial"/>
        </w:rPr>
        <w:t>and RA</w:t>
      </w:r>
      <w:r w:rsidR="00EA7780">
        <w:rPr>
          <w:rFonts w:ascii="Arial" w:hAnsi="Arial" w:cs="Arial"/>
        </w:rPr>
        <w:t xml:space="preserve"> 9165 provides that “</w:t>
      </w:r>
      <w:r w:rsidR="00EA7780" w:rsidRPr="00EA7780">
        <w:rPr>
          <w:rFonts w:ascii="Arial" w:hAnsi="Arial" w:cs="Arial"/>
        </w:rPr>
        <w:t>Nothing in this Act shall mean a diminution of the investigative powers of the NBI and the PNP on all other crimes as provided for in their respective organic laws: Provided, however, That when the investigation being conducted by the NBI, PNP or any ad hoc anti-drug task force is found to be a violation of any of the provisions of this Act, the PDEA shall be the lead agency. The NBI, PNP or any of the task force shall immediately transfer the same to the PDEA: Provided, further, That the NBI, PNP and the Bureau of Customs shall maintain close coordination with the PDEA on all drug related matters.</w:t>
      </w:r>
      <w:r w:rsidR="00EA7780">
        <w:rPr>
          <w:rFonts w:ascii="Arial" w:hAnsi="Arial" w:cs="Arial"/>
        </w:rPr>
        <w:t>”</w:t>
      </w:r>
      <w:r w:rsidR="00EA7780">
        <w:rPr>
          <w:rStyle w:val="FootnoteReference"/>
          <w:rFonts w:ascii="Arial" w:hAnsi="Arial" w:cs="Arial"/>
        </w:rPr>
        <w:footnoteReference w:id="10"/>
      </w:r>
    </w:p>
    <w:p w14:paraId="4FAFBC3D" w14:textId="77777777" w:rsidR="00BA77CF" w:rsidRPr="00BA77CF" w:rsidRDefault="00BA77CF" w:rsidP="00BA77CF">
      <w:pPr>
        <w:pStyle w:val="ListParagraph"/>
        <w:rPr>
          <w:rFonts w:ascii="Arial" w:hAnsi="Arial" w:cs="Arial"/>
        </w:rPr>
      </w:pPr>
    </w:p>
    <w:p w14:paraId="6CD3DC9D" w14:textId="16C36E12" w:rsidR="00771C4E" w:rsidRDefault="00771C4E" w:rsidP="00771C4E">
      <w:pPr>
        <w:pStyle w:val="ListParagraph"/>
        <w:numPr>
          <w:ilvl w:val="0"/>
          <w:numId w:val="2"/>
        </w:numPr>
        <w:spacing w:after="0" w:line="240" w:lineRule="auto"/>
        <w:rPr>
          <w:rFonts w:ascii="Arial" w:hAnsi="Arial" w:cs="Arial"/>
        </w:rPr>
      </w:pPr>
      <w:r w:rsidRPr="00771C4E">
        <w:rPr>
          <w:rFonts w:ascii="Arial" w:hAnsi="Arial" w:cs="Arial"/>
        </w:rPr>
        <w:t>“The Dangerous Drugs Board adopts the five-pillar global drug control approach instituted during the UN General Assembly Special Session on Drugs (UNGASS) in July 1998 by the ASEAN and China Cooperative Operations in Response to Dangerous Drugs (ACCORD), in which the Philippines is a member in all of its major programs and projects.”</w:t>
      </w:r>
      <w:r>
        <w:rPr>
          <w:rStyle w:val="FootnoteReference"/>
          <w:rFonts w:ascii="Arial" w:hAnsi="Arial" w:cs="Arial"/>
        </w:rPr>
        <w:footnoteReference w:id="11"/>
      </w:r>
      <w:r w:rsidRPr="00771C4E">
        <w:rPr>
          <w:rFonts w:ascii="Arial" w:hAnsi="Arial" w:cs="Arial"/>
        </w:rPr>
        <w:t xml:space="preserve">   </w:t>
      </w:r>
    </w:p>
    <w:p w14:paraId="626265E7" w14:textId="77777777" w:rsidR="00771C4E" w:rsidRDefault="00771C4E" w:rsidP="00771C4E">
      <w:pPr>
        <w:pStyle w:val="ListParagraph"/>
        <w:spacing w:after="0" w:line="240" w:lineRule="auto"/>
        <w:ind w:left="717" w:firstLine="0"/>
        <w:rPr>
          <w:rFonts w:ascii="Arial" w:hAnsi="Arial" w:cs="Arial"/>
        </w:rPr>
      </w:pPr>
    </w:p>
    <w:p w14:paraId="6285EFA5" w14:textId="055018CB" w:rsidR="000A0117" w:rsidRPr="00771C4E" w:rsidRDefault="00771C4E" w:rsidP="00771C4E">
      <w:pPr>
        <w:pStyle w:val="ListParagraph"/>
        <w:numPr>
          <w:ilvl w:val="0"/>
          <w:numId w:val="2"/>
        </w:numPr>
        <w:spacing w:after="0" w:line="240" w:lineRule="auto"/>
        <w:rPr>
          <w:rFonts w:ascii="Arial" w:hAnsi="Arial" w:cs="Arial"/>
        </w:rPr>
      </w:pPr>
      <w:r w:rsidRPr="00771C4E">
        <w:rPr>
          <w:rFonts w:ascii="Arial" w:hAnsi="Arial" w:cs="Arial"/>
        </w:rPr>
        <w:t xml:space="preserve">PNP Oplan-Double Barrel / Project Tokhang is the policy ordered by President Duterte in his fight against illegal drugs and other forms of criminality in the country. Oplan Double Barrel popularly known as “Tokhang” was first implemented in Davao City where President </w:t>
      </w:r>
      <w:r w:rsidRPr="00771C4E">
        <w:rPr>
          <w:rFonts w:ascii="Arial" w:hAnsi="Arial" w:cs="Arial"/>
        </w:rPr>
        <w:lastRenderedPageBreak/>
        <w:t>Duterte served as Mayor for several years. Upon assumption to the presidency in July 2016, it is being implemented all over the Philippines along with the PNP. “Tokhang” is a Visayan word which means Tok-tok Hangyo, where police personnel knocks at the doors of alleged drug users or pushers, asking them that they should surrender to the police and they will be monitored for further assessment.</w:t>
      </w:r>
      <w:r>
        <w:rPr>
          <w:rStyle w:val="FootnoteReference"/>
          <w:rFonts w:ascii="Arial" w:hAnsi="Arial" w:cs="Arial"/>
        </w:rPr>
        <w:footnoteReference w:id="12"/>
      </w:r>
      <w:r w:rsidRPr="00771C4E">
        <w:rPr>
          <w:rFonts w:ascii="Arial" w:hAnsi="Arial" w:cs="Arial"/>
        </w:rPr>
        <w:t xml:space="preserve"> </w:t>
      </w:r>
    </w:p>
    <w:p w14:paraId="31AFA124" w14:textId="77777777" w:rsidR="00771C4E" w:rsidRDefault="00771C4E" w:rsidP="00771C4E">
      <w:pPr>
        <w:spacing w:after="0" w:line="240" w:lineRule="auto"/>
        <w:rPr>
          <w:rFonts w:ascii="Arial" w:hAnsi="Arial" w:cs="Arial"/>
        </w:rPr>
      </w:pPr>
    </w:p>
    <w:p w14:paraId="36CBA602" w14:textId="1B6A898F" w:rsidR="00771C4E" w:rsidRDefault="00771C4E" w:rsidP="00771C4E">
      <w:pPr>
        <w:pStyle w:val="ListParagraph"/>
        <w:numPr>
          <w:ilvl w:val="0"/>
          <w:numId w:val="2"/>
        </w:numPr>
        <w:spacing w:after="0" w:line="240" w:lineRule="auto"/>
        <w:rPr>
          <w:rFonts w:ascii="Arial" w:hAnsi="Arial" w:cs="Arial"/>
        </w:rPr>
      </w:pPr>
      <w:r w:rsidRPr="00771C4E">
        <w:rPr>
          <w:rFonts w:ascii="Arial" w:hAnsi="Arial" w:cs="Arial"/>
        </w:rPr>
        <w:t>The Office of the President on March 2017 issued Executive Order No. 15, “Creation of An Inter-Agency Committee on Anti-Illegal Drugs (ICAD) and Anti-Illegal Drug Task Force to Suppress the Drug Problem in the Country.” ICAD shall ensure that each member agency shall implement and comply with all policies, laws and issuances pertaining to the government's anti-illegal drug campaign in an integrated and synchronized manner (Section 2) while the Anti-Illegal Drug Task Force shall undertake sustained anti-illegal drug operations (Section 4).</w:t>
      </w:r>
      <w:r>
        <w:rPr>
          <w:rStyle w:val="FootnoteReference"/>
          <w:rFonts w:ascii="Arial" w:hAnsi="Arial" w:cs="Arial"/>
        </w:rPr>
        <w:footnoteReference w:id="13"/>
      </w:r>
      <w:r w:rsidRPr="00771C4E">
        <w:rPr>
          <w:rFonts w:ascii="Arial" w:hAnsi="Arial" w:cs="Arial"/>
        </w:rPr>
        <w:t xml:space="preserve"> </w:t>
      </w:r>
    </w:p>
    <w:p w14:paraId="612BE573" w14:textId="77777777" w:rsidR="00771C4E" w:rsidRPr="00771C4E" w:rsidRDefault="00771C4E" w:rsidP="00771C4E">
      <w:pPr>
        <w:pStyle w:val="ListParagraph"/>
        <w:spacing w:after="0" w:line="240" w:lineRule="auto"/>
        <w:ind w:left="717" w:firstLine="0"/>
        <w:rPr>
          <w:rFonts w:ascii="Arial" w:hAnsi="Arial" w:cs="Arial"/>
        </w:rPr>
      </w:pPr>
    </w:p>
    <w:p w14:paraId="1AF75B36" w14:textId="7853B077" w:rsidR="00771C4E" w:rsidRPr="00CA7FCB" w:rsidRDefault="00771C4E" w:rsidP="00CA7FCB">
      <w:pPr>
        <w:pStyle w:val="ListParagraph"/>
        <w:numPr>
          <w:ilvl w:val="0"/>
          <w:numId w:val="2"/>
        </w:numPr>
        <w:spacing w:after="0" w:line="240" w:lineRule="auto"/>
        <w:rPr>
          <w:rFonts w:ascii="Arial" w:hAnsi="Arial" w:cs="Arial"/>
        </w:rPr>
      </w:pPr>
      <w:r w:rsidRPr="00771C4E">
        <w:rPr>
          <w:rFonts w:ascii="Arial" w:hAnsi="Arial" w:cs="Arial"/>
        </w:rPr>
        <w:t>In the implementation of Oplan Tokhang, "suspected drug users and pushers who surrender voluntarily when police pay them a house visit avoid criminal charges if they agree to stop their illegal drug activities."</w:t>
      </w:r>
      <w:r>
        <w:rPr>
          <w:rStyle w:val="FootnoteReference"/>
          <w:rFonts w:ascii="Arial" w:hAnsi="Arial" w:cs="Arial"/>
        </w:rPr>
        <w:footnoteReference w:id="14"/>
      </w:r>
      <w:r w:rsidRPr="00771C4E">
        <w:rPr>
          <w:rFonts w:ascii="Arial" w:hAnsi="Arial" w:cs="Arial"/>
        </w:rPr>
        <w:t xml:space="preserve"> The Department of Health (DOH) strives to support the current administration's anti-drug campaign through its program on dangerous drugs and abuse prevention and treatment. "Under the National Drug Rehabilitation Program, drug surrenderers are provided with Department of Health-led medical and psycho-social treatment before they are referred to other government agencies in the “aftercare” portion of the program for educational assistance, skills training and livelihood opportunities to help in their reintegration into society."</w:t>
      </w:r>
      <w:r w:rsidRPr="00771C4E">
        <w:rPr>
          <w:rStyle w:val="FootnoteReference"/>
          <w:rFonts w:ascii="Arial" w:hAnsi="Arial" w:cs="Arial"/>
        </w:rPr>
        <w:t xml:space="preserve"> </w:t>
      </w:r>
      <w:r>
        <w:rPr>
          <w:rStyle w:val="FootnoteReference"/>
          <w:rFonts w:ascii="Arial" w:hAnsi="Arial" w:cs="Arial"/>
        </w:rPr>
        <w:footnoteReference w:id="15"/>
      </w:r>
      <w:r w:rsidRPr="00771C4E">
        <w:rPr>
          <w:rFonts w:ascii="Arial" w:hAnsi="Arial" w:cs="Arial"/>
        </w:rPr>
        <w:t xml:space="preserve"> </w:t>
      </w:r>
    </w:p>
    <w:p w14:paraId="2D1CF334" w14:textId="77777777" w:rsidR="006427C7" w:rsidRPr="00CA7FCB" w:rsidRDefault="006427C7" w:rsidP="00CA7FCB">
      <w:pPr>
        <w:spacing w:after="0" w:line="240" w:lineRule="auto"/>
        <w:ind w:left="0" w:firstLine="0"/>
        <w:rPr>
          <w:rFonts w:ascii="Arial" w:hAnsi="Arial" w:cs="Arial"/>
        </w:rPr>
      </w:pPr>
    </w:p>
    <w:p w14:paraId="5D02196F" w14:textId="3FE60F05" w:rsidR="00E76DE5" w:rsidRPr="00C6484E" w:rsidRDefault="006427C7" w:rsidP="00C6484E">
      <w:pPr>
        <w:pStyle w:val="ListParagraph"/>
        <w:numPr>
          <w:ilvl w:val="0"/>
          <w:numId w:val="2"/>
        </w:numPr>
        <w:spacing w:after="0" w:line="240" w:lineRule="auto"/>
        <w:rPr>
          <w:rFonts w:ascii="Arial" w:hAnsi="Arial" w:cs="Arial"/>
        </w:rPr>
      </w:pPr>
      <w:r>
        <w:rPr>
          <w:rFonts w:ascii="Arial" w:hAnsi="Arial" w:cs="Arial"/>
        </w:rPr>
        <w:t xml:space="preserve">The Department of Social Welfare and Development through aims to </w:t>
      </w:r>
      <w:r w:rsidRPr="006427C7">
        <w:rPr>
          <w:rFonts w:ascii="Arial" w:hAnsi="Arial" w:cs="Arial"/>
        </w:rPr>
        <w:t>capacitate former drug dependents into productive community leaders, advocates, and volunteers through the “Yakap Bayan” program, an inter-</w:t>
      </w:r>
      <w:r w:rsidRPr="006427C7">
        <w:rPr>
          <w:rFonts w:ascii="Arial" w:hAnsi="Arial" w:cs="Arial"/>
        </w:rPr>
        <w:lastRenderedPageBreak/>
        <w:t>agency collaborative framework that provides rehabilitation, aftercare, transformation, and reintegration support for</w:t>
      </w:r>
      <w:r w:rsidR="006F4196">
        <w:rPr>
          <w:rFonts w:ascii="Arial" w:hAnsi="Arial" w:cs="Arial"/>
        </w:rPr>
        <w:t xml:space="preserve"> recovering drug surrenderers.</w:t>
      </w:r>
      <w:r w:rsidR="0080544F" w:rsidRPr="0080544F">
        <w:rPr>
          <w:rStyle w:val="FootnoteReference"/>
          <w:rFonts w:ascii="Arial" w:hAnsi="Arial" w:cs="Arial"/>
        </w:rPr>
        <w:t xml:space="preserve"> </w:t>
      </w:r>
      <w:r w:rsidR="0080544F">
        <w:rPr>
          <w:rStyle w:val="FootnoteReference"/>
          <w:rFonts w:ascii="Arial" w:hAnsi="Arial" w:cs="Arial"/>
        </w:rPr>
        <w:footnoteReference w:id="16"/>
      </w:r>
    </w:p>
    <w:p w14:paraId="2E967658" w14:textId="5D46C9AF" w:rsidR="0080544F" w:rsidRDefault="0080544F" w:rsidP="0080544F">
      <w:pPr>
        <w:spacing w:after="0" w:line="240" w:lineRule="auto"/>
        <w:rPr>
          <w:rFonts w:ascii="Arial" w:hAnsi="Arial" w:cs="Arial"/>
        </w:rPr>
      </w:pPr>
    </w:p>
    <w:p w14:paraId="0854B445" w14:textId="34946E65" w:rsidR="00125FFA" w:rsidRDefault="00125FFA" w:rsidP="0080544F">
      <w:pPr>
        <w:spacing w:after="0" w:line="240" w:lineRule="auto"/>
        <w:rPr>
          <w:rFonts w:ascii="Arial" w:hAnsi="Arial" w:cs="Arial"/>
        </w:rPr>
      </w:pPr>
    </w:p>
    <w:p w14:paraId="3D5BDC6D" w14:textId="49BB9BBC" w:rsidR="00125FFA" w:rsidRPr="00125FFA" w:rsidRDefault="00125FFA" w:rsidP="0080544F">
      <w:pPr>
        <w:spacing w:after="0" w:line="240" w:lineRule="auto"/>
        <w:rPr>
          <w:rFonts w:ascii="Arial" w:hAnsi="Arial" w:cs="Arial"/>
          <w:b/>
        </w:rPr>
      </w:pPr>
      <w:r w:rsidRPr="00125FFA">
        <w:rPr>
          <w:rFonts w:ascii="Arial" w:hAnsi="Arial" w:cs="Arial"/>
          <w:b/>
        </w:rPr>
        <w:t>The Campaign Against Illegal Drugs</w:t>
      </w:r>
      <w:r>
        <w:rPr>
          <w:rStyle w:val="FootnoteReference"/>
          <w:rFonts w:ascii="Arial" w:hAnsi="Arial" w:cs="Arial"/>
          <w:b/>
        </w:rPr>
        <w:footnoteReference w:id="17"/>
      </w:r>
    </w:p>
    <w:p w14:paraId="2D047CA4" w14:textId="77777777" w:rsidR="0080544F" w:rsidRPr="0080544F" w:rsidRDefault="0080544F" w:rsidP="0080544F">
      <w:pPr>
        <w:spacing w:after="0" w:line="240" w:lineRule="auto"/>
        <w:rPr>
          <w:rFonts w:ascii="Arial" w:hAnsi="Arial" w:cs="Arial"/>
        </w:rPr>
      </w:pPr>
    </w:p>
    <w:p w14:paraId="08D0ECB4" w14:textId="52157BAC" w:rsidR="00125FFA" w:rsidRDefault="00125FFA" w:rsidP="00125FFA">
      <w:pPr>
        <w:pStyle w:val="ListParagraph"/>
        <w:numPr>
          <w:ilvl w:val="0"/>
          <w:numId w:val="2"/>
        </w:numPr>
        <w:spacing w:after="0" w:line="240" w:lineRule="auto"/>
        <w:rPr>
          <w:rFonts w:ascii="Arial" w:hAnsi="Arial" w:cs="Arial"/>
        </w:rPr>
      </w:pPr>
      <w:r w:rsidRPr="00125FFA">
        <w:rPr>
          <w:rFonts w:ascii="Arial" w:hAnsi="Arial" w:cs="Arial"/>
        </w:rPr>
        <w:t xml:space="preserve">Almost two years ago, </w:t>
      </w:r>
      <w:r>
        <w:rPr>
          <w:rFonts w:ascii="Arial" w:hAnsi="Arial" w:cs="Arial"/>
        </w:rPr>
        <w:t>the Philippines</w:t>
      </w:r>
      <w:r w:rsidRPr="00125FFA">
        <w:rPr>
          <w:rFonts w:ascii="Arial" w:hAnsi="Arial" w:cs="Arial"/>
        </w:rPr>
        <w:t xml:space="preserve"> elected a President who </w:t>
      </w:r>
      <w:r w:rsidRPr="00125FFA">
        <w:rPr>
          <w:rFonts w:ascii="Arial" w:hAnsi="Arial" w:cs="Arial"/>
          <w:color w:val="000000"/>
        </w:rPr>
        <w:t>ran a campaign that centered on solving the country’s problem on illegal drugs, seemingly, at all cost. Since then the very essence of</w:t>
      </w:r>
      <w:r w:rsidRPr="00125FFA">
        <w:rPr>
          <w:rFonts w:ascii="Arial" w:hAnsi="Arial" w:cs="Arial"/>
        </w:rPr>
        <w:t xml:space="preserve"> human rights – is the subject of constant attack amidst the present administration’s bloody and relentless “war on drugs.” This so-called war has since been the centerpiece policy of the Duterte Administration, and it is being executed at all costs at the expense of the lives of the marginalized, disadvantaged and the vulnerable.</w:t>
      </w:r>
    </w:p>
    <w:p w14:paraId="1D365DDD" w14:textId="77777777" w:rsidR="00125FFA" w:rsidRDefault="00125FFA" w:rsidP="00125FFA">
      <w:pPr>
        <w:pStyle w:val="ListParagraph"/>
        <w:spacing w:after="0" w:line="240" w:lineRule="auto"/>
        <w:ind w:left="717" w:firstLine="0"/>
        <w:rPr>
          <w:rFonts w:ascii="Arial" w:hAnsi="Arial" w:cs="Arial"/>
        </w:rPr>
      </w:pPr>
    </w:p>
    <w:p w14:paraId="20F3ABE2" w14:textId="3F15CD33" w:rsidR="00E76DE5" w:rsidRDefault="00125FFA" w:rsidP="00125FFA">
      <w:pPr>
        <w:pStyle w:val="ListParagraph"/>
        <w:numPr>
          <w:ilvl w:val="0"/>
          <w:numId w:val="2"/>
        </w:numPr>
        <w:spacing w:after="0" w:line="240" w:lineRule="auto"/>
        <w:rPr>
          <w:rFonts w:ascii="Arial" w:hAnsi="Arial" w:cs="Arial"/>
        </w:rPr>
      </w:pPr>
      <w:r w:rsidRPr="00125FFA">
        <w:rPr>
          <w:rFonts w:ascii="Arial" w:hAnsi="Arial" w:cs="Arial"/>
        </w:rPr>
        <w:t>There is no debate that the issues of drugs and criminality are genuine issues that must be addressed not only by the government, but by all stakeholders in our society and strategies to address this goes beyond law enforcement. It should adopt a multidisciplinary approach, a human rights based approach that ensures respect for the rule of law.</w:t>
      </w:r>
    </w:p>
    <w:p w14:paraId="426DFE09" w14:textId="77777777" w:rsidR="00E76DE5" w:rsidRDefault="00E76DE5" w:rsidP="00E76DE5">
      <w:pPr>
        <w:pStyle w:val="ListParagraph"/>
        <w:spacing w:after="0" w:line="240" w:lineRule="auto"/>
        <w:ind w:left="717" w:firstLine="0"/>
        <w:rPr>
          <w:rFonts w:ascii="Arial" w:hAnsi="Arial" w:cs="Arial"/>
        </w:rPr>
      </w:pPr>
    </w:p>
    <w:p w14:paraId="2AA522E5" w14:textId="1C3871DA" w:rsidR="006A5257" w:rsidRDefault="00125FFA" w:rsidP="00125FFA">
      <w:pPr>
        <w:pStyle w:val="ListParagraph"/>
        <w:numPr>
          <w:ilvl w:val="0"/>
          <w:numId w:val="2"/>
        </w:numPr>
        <w:spacing w:after="0" w:line="240" w:lineRule="auto"/>
        <w:rPr>
          <w:rFonts w:ascii="Arial" w:hAnsi="Arial" w:cs="Arial"/>
        </w:rPr>
      </w:pPr>
      <w:r w:rsidRPr="00E76DE5">
        <w:rPr>
          <w:rFonts w:ascii="Arial" w:hAnsi="Arial" w:cs="Arial"/>
        </w:rPr>
        <w:t>Current reports approximate somewhere between</w:t>
      </w:r>
      <w:r w:rsidR="00E76DE5" w:rsidRPr="00E76DE5">
        <w:rPr>
          <w:rFonts w:ascii="Arial" w:hAnsi="Arial" w:cs="Arial"/>
        </w:rPr>
        <w:t xml:space="preserve"> </w:t>
      </w:r>
      <w:r w:rsidRPr="00E76DE5">
        <w:rPr>
          <w:rFonts w:ascii="Arial" w:hAnsi="Arial" w:cs="Arial"/>
        </w:rPr>
        <w:t>8,000 - 12,000 or even 20,000 extrajudicial killings of people supposedly involved in drugs, nearly one-third of which were allegedly perpetrated by members of the PNP,</w:t>
      </w:r>
      <w:r w:rsidRPr="00125FFA">
        <w:rPr>
          <w:rStyle w:val="FootnoteReference"/>
          <w:rFonts w:ascii="Arial" w:hAnsi="Arial" w:cs="Arial"/>
        </w:rPr>
        <w:footnoteReference w:id="18"/>
      </w:r>
      <w:r w:rsidRPr="00E76DE5">
        <w:rPr>
          <w:rFonts w:ascii="Arial" w:hAnsi="Arial" w:cs="Arial"/>
        </w:rPr>
        <w:t xml:space="preserve"> who invariably claim that these killings resulted in the course of legitimate police operations and were therefore lawful. Interestingly, the PNP claims that no extrajudicial killing has occurred and if at all, these are isolated cases. Just within the first </w:t>
      </w:r>
      <w:r w:rsidR="006A5257">
        <w:rPr>
          <w:rFonts w:ascii="Arial" w:hAnsi="Arial" w:cs="Arial"/>
        </w:rPr>
        <w:t>few</w:t>
      </w:r>
      <w:r w:rsidRPr="00E76DE5">
        <w:rPr>
          <w:rFonts w:ascii="Arial" w:hAnsi="Arial" w:cs="Arial"/>
        </w:rPr>
        <w:t xml:space="preserve"> months of this administration, the number of casualties already exceeded those of the first years of martial law.</w:t>
      </w:r>
      <w:r w:rsidR="00E76DE5">
        <w:rPr>
          <w:rStyle w:val="FootnoteReference"/>
          <w:rFonts w:ascii="Arial" w:hAnsi="Arial" w:cs="Arial"/>
        </w:rPr>
        <w:footnoteReference w:id="19"/>
      </w:r>
    </w:p>
    <w:p w14:paraId="3C7476B0" w14:textId="77777777" w:rsidR="006A5257" w:rsidRDefault="006A5257" w:rsidP="006A5257">
      <w:pPr>
        <w:pStyle w:val="ListParagraph"/>
        <w:spacing w:after="0" w:line="240" w:lineRule="auto"/>
        <w:ind w:left="717" w:firstLine="0"/>
        <w:rPr>
          <w:rFonts w:ascii="Arial" w:hAnsi="Arial" w:cs="Arial"/>
        </w:rPr>
      </w:pPr>
    </w:p>
    <w:p w14:paraId="20D6E73C" w14:textId="77777777" w:rsidR="006A5257" w:rsidRDefault="00125FFA" w:rsidP="00125FFA">
      <w:pPr>
        <w:pStyle w:val="ListParagraph"/>
        <w:numPr>
          <w:ilvl w:val="0"/>
          <w:numId w:val="2"/>
        </w:numPr>
        <w:spacing w:after="0" w:line="240" w:lineRule="auto"/>
        <w:rPr>
          <w:rFonts w:ascii="Arial" w:hAnsi="Arial" w:cs="Arial"/>
        </w:rPr>
      </w:pPr>
      <w:r w:rsidRPr="006A5257">
        <w:rPr>
          <w:rFonts w:ascii="Arial" w:hAnsi="Arial" w:cs="Arial"/>
        </w:rPr>
        <w:lastRenderedPageBreak/>
        <w:t>Among the victims of this “war on drugs” are children who, unfortunately, have been considered as “collateral damage.” Anecdotal data state that at least 51 children have been affected so far and now being brought to light as among the thousands of faceless victims in this un-winnable war.</w:t>
      </w:r>
    </w:p>
    <w:p w14:paraId="5C15905A" w14:textId="38654AA7" w:rsidR="006A5257" w:rsidRDefault="006A5257" w:rsidP="006A5257">
      <w:pPr>
        <w:pStyle w:val="ListParagraph"/>
        <w:spacing w:after="0" w:line="240" w:lineRule="auto"/>
        <w:ind w:left="717" w:firstLine="0"/>
        <w:rPr>
          <w:rFonts w:ascii="Arial" w:hAnsi="Arial" w:cs="Arial"/>
        </w:rPr>
      </w:pPr>
    </w:p>
    <w:p w14:paraId="0E6FF7E3" w14:textId="78856B12" w:rsidR="006A5257" w:rsidRDefault="00125FFA" w:rsidP="00125FFA">
      <w:pPr>
        <w:pStyle w:val="ListParagraph"/>
        <w:numPr>
          <w:ilvl w:val="0"/>
          <w:numId w:val="2"/>
        </w:numPr>
        <w:spacing w:after="0" w:line="240" w:lineRule="auto"/>
        <w:rPr>
          <w:rFonts w:ascii="Arial" w:hAnsi="Arial" w:cs="Arial"/>
        </w:rPr>
      </w:pPr>
      <w:r w:rsidRPr="006A5257">
        <w:rPr>
          <w:rFonts w:ascii="Arial" w:hAnsi="Arial" w:cs="Arial"/>
        </w:rPr>
        <w:t>Impunity has been guaranteed through as the President’s openly pronouncements that police officers responsible for the killing of individuals suspected of involvement in the drug trade will not face prosecution during his tenure, and if ever prosecuted, will be pardoned. The President’s constant blanket protection to the security sector tips the scale further against human rights. This problem is reminiscent of the martial law experience of the Philippines when thousands of lives were lost, only this time, instead of political opponents, the perceived enemies of the State are drug dependents, who should be rehabilitated and reformed instead of being killed.</w:t>
      </w:r>
    </w:p>
    <w:p w14:paraId="316986CE" w14:textId="77777777" w:rsidR="006A5257" w:rsidRDefault="006A5257" w:rsidP="006A5257">
      <w:pPr>
        <w:pStyle w:val="ListParagraph"/>
        <w:spacing w:after="0" w:line="240" w:lineRule="auto"/>
        <w:ind w:left="717" w:firstLine="0"/>
        <w:rPr>
          <w:rFonts w:ascii="Arial" w:hAnsi="Arial" w:cs="Arial"/>
        </w:rPr>
      </w:pPr>
    </w:p>
    <w:p w14:paraId="32639428" w14:textId="31379541" w:rsidR="00F21FF6" w:rsidRDefault="00125FFA" w:rsidP="00F21FF6">
      <w:pPr>
        <w:pStyle w:val="ListParagraph"/>
        <w:numPr>
          <w:ilvl w:val="0"/>
          <w:numId w:val="2"/>
        </w:numPr>
        <w:spacing w:after="0" w:line="240" w:lineRule="auto"/>
        <w:rPr>
          <w:rFonts w:ascii="Arial" w:hAnsi="Arial" w:cs="Arial"/>
        </w:rPr>
      </w:pPr>
      <w:r w:rsidRPr="006A5257">
        <w:rPr>
          <w:rFonts w:ascii="Arial" w:hAnsi="Arial" w:cs="Arial"/>
        </w:rPr>
        <w:t>It is important to highlight that long-term solutions to these problems, and many other social problems, will not be achieved if the root causes are not addressed. Shortsightedness and the want for instant solutions are highlighted in this “war on drugs.” Killing a person suspected of being involved in illegal drugs not only reeks of human rights violations, but it also neglects the fact that addiction is a serious health issue. Needless to say, the supply must also be curtailed.</w:t>
      </w:r>
    </w:p>
    <w:p w14:paraId="3C65A678" w14:textId="77777777" w:rsidR="00F21FF6" w:rsidRDefault="00F21FF6" w:rsidP="00F21FF6">
      <w:pPr>
        <w:pStyle w:val="ListParagraph"/>
        <w:spacing w:after="0" w:line="240" w:lineRule="auto"/>
        <w:ind w:left="717" w:firstLine="0"/>
        <w:rPr>
          <w:rFonts w:ascii="Arial" w:hAnsi="Arial" w:cs="Arial"/>
        </w:rPr>
      </w:pPr>
    </w:p>
    <w:p w14:paraId="7745FA60" w14:textId="52A31ED3" w:rsidR="00F21FF6" w:rsidRDefault="00F21FF6" w:rsidP="00F21FF6">
      <w:pPr>
        <w:pStyle w:val="ListParagraph"/>
        <w:numPr>
          <w:ilvl w:val="0"/>
          <w:numId w:val="2"/>
        </w:numPr>
        <w:spacing w:after="0" w:line="240" w:lineRule="auto"/>
        <w:rPr>
          <w:rFonts w:ascii="Arial" w:hAnsi="Arial" w:cs="Arial"/>
        </w:rPr>
      </w:pPr>
      <w:r>
        <w:rPr>
          <w:rFonts w:ascii="Arial" w:hAnsi="Arial" w:cs="Arial"/>
        </w:rPr>
        <w:t xml:space="preserve">The current </w:t>
      </w:r>
      <w:r w:rsidRPr="00F21FF6">
        <w:rPr>
          <w:rFonts w:ascii="Arial" w:hAnsi="Arial" w:cs="Arial"/>
        </w:rPr>
        <w:t>administration is trying hard to silence oppositors, even to the extent of exploiting and abusing democratic institutions and</w:t>
      </w:r>
      <w:r w:rsidRPr="00F21FF6">
        <w:rPr>
          <w:rFonts w:ascii="Arial" w:hAnsi="Arial" w:cs="Arial"/>
          <w:color w:val="FF0000"/>
        </w:rPr>
        <w:t xml:space="preserve"> </w:t>
      </w:r>
      <w:r w:rsidRPr="00F21FF6">
        <w:rPr>
          <w:rFonts w:ascii="Arial" w:hAnsi="Arial" w:cs="Arial"/>
        </w:rPr>
        <w:t>processes.</w:t>
      </w:r>
      <w:r w:rsidRPr="00F21FF6">
        <w:rPr>
          <w:rFonts w:ascii="Arial" w:hAnsi="Arial" w:cs="Arial"/>
          <w:color w:val="FF0000"/>
        </w:rPr>
        <w:t xml:space="preserve"> </w:t>
      </w:r>
      <w:r w:rsidRPr="00F21FF6">
        <w:rPr>
          <w:rFonts w:ascii="Arial" w:hAnsi="Arial" w:cs="Arial"/>
        </w:rPr>
        <w:t>Staunchest</w:t>
      </w:r>
      <w:r w:rsidRPr="00F21FF6">
        <w:rPr>
          <w:rFonts w:ascii="Arial" w:hAnsi="Arial" w:cs="Arial"/>
          <w:color w:val="FF0000"/>
        </w:rPr>
        <w:t xml:space="preserve"> </w:t>
      </w:r>
      <w:r w:rsidRPr="00F21FF6">
        <w:rPr>
          <w:rFonts w:ascii="Arial" w:hAnsi="Arial" w:cs="Arial"/>
        </w:rPr>
        <w:t>critic Senator Leila de Lima is still detained for alleged illegal drug trading.</w:t>
      </w:r>
      <w:r w:rsidRPr="00F21FF6">
        <w:rPr>
          <w:rFonts w:ascii="Arial" w:hAnsi="Arial" w:cs="Arial"/>
          <w:color w:val="FF0000"/>
        </w:rPr>
        <w:t xml:space="preserve"> </w:t>
      </w:r>
      <w:r w:rsidRPr="00F21FF6">
        <w:rPr>
          <w:rFonts w:ascii="Arial" w:hAnsi="Arial" w:cs="Arial"/>
        </w:rPr>
        <w:t>It must be remembered that Senator De Lima, during her time as</w:t>
      </w:r>
      <w:r>
        <w:rPr>
          <w:rFonts w:ascii="Arial" w:hAnsi="Arial" w:cs="Arial"/>
        </w:rPr>
        <w:t xml:space="preserve"> the</w:t>
      </w:r>
      <w:r w:rsidRPr="00F21FF6">
        <w:rPr>
          <w:rFonts w:ascii="Arial" w:hAnsi="Arial" w:cs="Arial"/>
        </w:rPr>
        <w:t xml:space="preserve"> Chairperson</w:t>
      </w:r>
      <w:r>
        <w:rPr>
          <w:rFonts w:ascii="Arial" w:hAnsi="Arial" w:cs="Arial"/>
        </w:rPr>
        <w:t xml:space="preserve"> of the Commission on Human Rights of the Philippines</w:t>
      </w:r>
      <w:r w:rsidRPr="00F21FF6">
        <w:rPr>
          <w:rFonts w:ascii="Arial" w:hAnsi="Arial" w:cs="Arial"/>
        </w:rPr>
        <w:t>, initiated an investigation into the so-called Davao Death Squad. This death squad is reported to be behind the thousands of killings of drug suspects in Davao during Duterte’s incumbency as city mayor. As early as 2008, then UN Special Rapporteur on extrajudicial, summary or arbitrary killings Prof. Philip Alston has already reported on the killings perpetrated by the infamous Davao Death Squad.</w:t>
      </w:r>
    </w:p>
    <w:p w14:paraId="56E2587F" w14:textId="77777777" w:rsidR="00F21FF6" w:rsidRDefault="00F21FF6" w:rsidP="00F21FF6">
      <w:pPr>
        <w:pStyle w:val="ListParagraph"/>
        <w:spacing w:after="0" w:line="240" w:lineRule="auto"/>
        <w:ind w:left="717" w:firstLine="0"/>
        <w:rPr>
          <w:rFonts w:ascii="Arial" w:hAnsi="Arial" w:cs="Arial"/>
        </w:rPr>
      </w:pPr>
    </w:p>
    <w:p w14:paraId="0DEFBFA3" w14:textId="536BD450" w:rsidR="00F21FF6" w:rsidRDefault="00F21FF6" w:rsidP="00F21FF6">
      <w:pPr>
        <w:pStyle w:val="ListParagraph"/>
        <w:numPr>
          <w:ilvl w:val="0"/>
          <w:numId w:val="2"/>
        </w:numPr>
        <w:spacing w:after="0" w:line="240" w:lineRule="auto"/>
        <w:rPr>
          <w:rFonts w:ascii="Arial" w:hAnsi="Arial" w:cs="Arial"/>
        </w:rPr>
      </w:pPr>
      <w:r w:rsidRPr="00F21FF6">
        <w:rPr>
          <w:rFonts w:ascii="Arial" w:hAnsi="Arial" w:cs="Arial"/>
        </w:rPr>
        <w:t>The Commission on Human Rights was not spared. After continuously registering dissents on major policies of the allies of the President in the Lower House moved to effectively abolish the Commission. Towards the end of last year, the supermajority in the House of Representatives proposed a 2</w:t>
      </w:r>
      <w:r>
        <w:rPr>
          <w:rFonts w:ascii="Arial" w:hAnsi="Arial" w:cs="Arial"/>
        </w:rPr>
        <w:t>0 US dollar</w:t>
      </w:r>
      <w:r w:rsidRPr="00F21FF6">
        <w:rPr>
          <w:rFonts w:ascii="Arial" w:hAnsi="Arial" w:cs="Arial"/>
        </w:rPr>
        <w:t xml:space="preserve"> budget for the Commission. Thanks to public outrage a viral post #GiveMyTaxesToCHR a relatively more sober Senate, the C</w:t>
      </w:r>
      <w:r>
        <w:rPr>
          <w:rFonts w:ascii="Arial" w:hAnsi="Arial" w:cs="Arial"/>
        </w:rPr>
        <w:t>ommission’</w:t>
      </w:r>
      <w:r w:rsidRPr="00F21FF6">
        <w:rPr>
          <w:rFonts w:ascii="Arial" w:hAnsi="Arial" w:cs="Arial"/>
        </w:rPr>
        <w:t>s budget was restored.</w:t>
      </w:r>
    </w:p>
    <w:p w14:paraId="3C4A8A92" w14:textId="2918071C" w:rsidR="00267751" w:rsidRDefault="00267751" w:rsidP="00267751">
      <w:pPr>
        <w:spacing w:after="0" w:line="240" w:lineRule="auto"/>
        <w:ind w:left="0" w:firstLine="0"/>
        <w:rPr>
          <w:rFonts w:ascii="Arial" w:hAnsi="Arial" w:cs="Arial"/>
          <w:b/>
        </w:rPr>
      </w:pPr>
    </w:p>
    <w:p w14:paraId="19D579B8" w14:textId="77777777" w:rsidR="00492E71" w:rsidRDefault="00492E71" w:rsidP="00267751">
      <w:pPr>
        <w:spacing w:after="0" w:line="240" w:lineRule="auto"/>
        <w:ind w:left="0" w:firstLine="0"/>
        <w:rPr>
          <w:rFonts w:ascii="Arial" w:hAnsi="Arial" w:cs="Arial"/>
          <w:b/>
        </w:rPr>
      </w:pPr>
    </w:p>
    <w:p w14:paraId="39DD4A38" w14:textId="5CA836C8" w:rsidR="00267751" w:rsidRPr="00267751" w:rsidRDefault="00267751" w:rsidP="00267751">
      <w:pPr>
        <w:spacing w:after="0" w:line="240" w:lineRule="auto"/>
        <w:ind w:left="0" w:firstLine="0"/>
        <w:rPr>
          <w:rFonts w:ascii="Arial" w:hAnsi="Arial" w:cs="Arial"/>
          <w:b/>
        </w:rPr>
      </w:pPr>
      <w:r w:rsidRPr="00267751">
        <w:rPr>
          <w:rFonts w:ascii="Arial" w:hAnsi="Arial" w:cs="Arial"/>
          <w:b/>
        </w:rPr>
        <w:t>Places of detention</w:t>
      </w:r>
    </w:p>
    <w:p w14:paraId="18777557" w14:textId="77777777" w:rsidR="00267751" w:rsidRPr="00267751" w:rsidRDefault="00267751" w:rsidP="00267751">
      <w:pPr>
        <w:spacing w:after="0" w:line="240" w:lineRule="auto"/>
        <w:ind w:left="0" w:firstLine="0"/>
        <w:rPr>
          <w:rFonts w:ascii="Arial" w:hAnsi="Arial" w:cs="Arial"/>
        </w:rPr>
      </w:pPr>
    </w:p>
    <w:p w14:paraId="6E009400" w14:textId="7EBBBC6C" w:rsidR="00267751" w:rsidRDefault="00267751" w:rsidP="00492E71">
      <w:pPr>
        <w:pStyle w:val="ListParagraph"/>
        <w:numPr>
          <w:ilvl w:val="0"/>
          <w:numId w:val="2"/>
        </w:numPr>
        <w:spacing w:after="0" w:line="240" w:lineRule="auto"/>
        <w:rPr>
          <w:rFonts w:ascii="Arial" w:hAnsi="Arial" w:cs="Arial"/>
        </w:rPr>
      </w:pPr>
      <w:r w:rsidRPr="00532B7E">
        <w:rPr>
          <w:rFonts w:ascii="Arial" w:hAnsi="Arial" w:cs="Arial"/>
        </w:rPr>
        <w:t>Besides the alarming s</w:t>
      </w:r>
      <w:r w:rsidR="00107C08" w:rsidRPr="00532B7E">
        <w:rPr>
          <w:rFonts w:ascii="Arial" w:hAnsi="Arial" w:cs="Arial"/>
        </w:rPr>
        <w:t>tatistics of killings, t</w:t>
      </w:r>
      <w:r w:rsidRPr="00532B7E">
        <w:rPr>
          <w:rFonts w:ascii="Arial" w:hAnsi="Arial" w:cs="Arial"/>
        </w:rPr>
        <w:t xml:space="preserve">he relentless police operations </w:t>
      </w:r>
      <w:r w:rsidR="00107C08" w:rsidRPr="00532B7E">
        <w:rPr>
          <w:rFonts w:ascii="Arial" w:hAnsi="Arial" w:cs="Arial"/>
        </w:rPr>
        <w:t xml:space="preserve">amid the </w:t>
      </w:r>
      <w:r w:rsidR="00532B7E" w:rsidRPr="00532B7E">
        <w:rPr>
          <w:rFonts w:ascii="Arial" w:hAnsi="Arial" w:cs="Arial"/>
        </w:rPr>
        <w:t>“</w:t>
      </w:r>
      <w:r w:rsidR="00107C08" w:rsidRPr="00532B7E">
        <w:rPr>
          <w:rFonts w:ascii="Arial" w:hAnsi="Arial" w:cs="Arial"/>
        </w:rPr>
        <w:t>war on drugs</w:t>
      </w:r>
      <w:r w:rsidR="00532B7E" w:rsidRPr="00532B7E">
        <w:rPr>
          <w:rFonts w:ascii="Arial" w:hAnsi="Arial" w:cs="Arial"/>
        </w:rPr>
        <w:t>” also</w:t>
      </w:r>
      <w:r w:rsidR="00107C08" w:rsidRPr="00532B7E">
        <w:rPr>
          <w:rFonts w:ascii="Arial" w:hAnsi="Arial" w:cs="Arial"/>
        </w:rPr>
        <w:t xml:space="preserve"> </w:t>
      </w:r>
      <w:r w:rsidRPr="00532B7E">
        <w:rPr>
          <w:rFonts w:ascii="Arial" w:hAnsi="Arial" w:cs="Arial"/>
        </w:rPr>
        <w:t xml:space="preserve">resulted </w:t>
      </w:r>
      <w:r w:rsidRPr="00532B7E">
        <w:rPr>
          <w:rFonts w:ascii="Arial" w:hAnsi="Arial" w:cs="Arial"/>
        </w:rPr>
        <w:lastRenderedPageBreak/>
        <w:t>in</w:t>
      </w:r>
      <w:r w:rsidR="00107C08" w:rsidRPr="00532B7E">
        <w:rPr>
          <w:rFonts w:ascii="Arial" w:hAnsi="Arial" w:cs="Arial"/>
        </w:rPr>
        <w:t xml:space="preserve"> the arrests and </w:t>
      </w:r>
      <w:r w:rsidRPr="00532B7E">
        <w:rPr>
          <w:rFonts w:ascii="Arial" w:hAnsi="Arial" w:cs="Arial"/>
        </w:rPr>
        <w:t xml:space="preserve">imprisonment of </w:t>
      </w:r>
      <w:r w:rsidR="00107C08" w:rsidRPr="00532B7E">
        <w:rPr>
          <w:rFonts w:ascii="Arial" w:hAnsi="Arial" w:cs="Arial"/>
        </w:rPr>
        <w:t xml:space="preserve">thousands of </w:t>
      </w:r>
      <w:r w:rsidRPr="00532B7E">
        <w:rPr>
          <w:rFonts w:ascii="Arial" w:hAnsi="Arial" w:cs="Arial"/>
        </w:rPr>
        <w:t xml:space="preserve">alleged drug pushers and addicts, </w:t>
      </w:r>
      <w:r w:rsidR="00107C08" w:rsidRPr="00532B7E">
        <w:rPr>
          <w:rFonts w:ascii="Arial" w:hAnsi="Arial" w:cs="Arial"/>
        </w:rPr>
        <w:t>further exacerbating the</w:t>
      </w:r>
      <w:r w:rsidRPr="00532B7E">
        <w:rPr>
          <w:rFonts w:ascii="Arial" w:hAnsi="Arial" w:cs="Arial"/>
        </w:rPr>
        <w:t xml:space="preserve"> congestion </w:t>
      </w:r>
      <w:r w:rsidR="00107C08" w:rsidRPr="00532B7E">
        <w:rPr>
          <w:rFonts w:ascii="Arial" w:hAnsi="Arial" w:cs="Arial"/>
        </w:rPr>
        <w:t>and overcrowding of places of detention and the</w:t>
      </w:r>
      <w:r w:rsidR="00492E71">
        <w:rPr>
          <w:rFonts w:ascii="Arial" w:hAnsi="Arial" w:cs="Arial"/>
        </w:rPr>
        <w:t xml:space="preserve"> </w:t>
      </w:r>
      <w:r w:rsidR="00107C08" w:rsidRPr="00532B7E">
        <w:rPr>
          <w:rFonts w:ascii="Arial" w:hAnsi="Arial" w:cs="Arial"/>
        </w:rPr>
        <w:t>impact on the right to health, right to humane conditions of detention, and freedom from torture and cruel or inhumane punishment.</w:t>
      </w:r>
      <w:r w:rsidR="00492E71">
        <w:rPr>
          <w:rStyle w:val="FootnoteReference"/>
          <w:rFonts w:ascii="Arial" w:hAnsi="Arial" w:cs="Arial"/>
        </w:rPr>
        <w:footnoteReference w:id="20"/>
      </w:r>
      <w:r w:rsidR="00107C08" w:rsidRPr="00532B7E">
        <w:rPr>
          <w:rFonts w:ascii="Arial" w:hAnsi="Arial" w:cs="Arial"/>
        </w:rPr>
        <w:t xml:space="preserve"> The secret </w:t>
      </w:r>
      <w:r w:rsidR="00532B7E" w:rsidRPr="00532B7E">
        <w:rPr>
          <w:rFonts w:ascii="Arial" w:hAnsi="Arial" w:cs="Arial"/>
        </w:rPr>
        <w:t>places of detention</w:t>
      </w:r>
      <w:r w:rsidR="00107C08" w:rsidRPr="00532B7E">
        <w:rPr>
          <w:rStyle w:val="FootnoteReference"/>
          <w:rFonts w:ascii="Arial" w:hAnsi="Arial" w:cs="Arial"/>
        </w:rPr>
        <w:footnoteReference w:id="21"/>
      </w:r>
      <w:r w:rsidR="00107C08" w:rsidRPr="00532B7E">
        <w:rPr>
          <w:rFonts w:ascii="Arial" w:hAnsi="Arial" w:cs="Arial"/>
        </w:rPr>
        <w:t xml:space="preserve"> and the </w:t>
      </w:r>
      <w:r w:rsidR="00532B7E" w:rsidRPr="00532B7E">
        <w:rPr>
          <w:rFonts w:ascii="Arial" w:hAnsi="Arial" w:cs="Arial"/>
        </w:rPr>
        <w:t>reported</w:t>
      </w:r>
      <w:r w:rsidR="00107C08" w:rsidRPr="00532B7E">
        <w:rPr>
          <w:rFonts w:ascii="Arial" w:hAnsi="Arial" w:cs="Arial"/>
        </w:rPr>
        <w:t xml:space="preserve"> 5</w:t>
      </w:r>
      <w:r w:rsidR="00492E71">
        <w:rPr>
          <w:rFonts w:ascii="Arial" w:hAnsi="Arial" w:cs="Arial"/>
        </w:rPr>
        <w:t>95</w:t>
      </w:r>
      <w:r w:rsidR="00107C08" w:rsidRPr="00532B7E">
        <w:rPr>
          <w:rFonts w:ascii="Arial" w:hAnsi="Arial" w:cs="Arial"/>
        </w:rPr>
        <w:t>% congestion rate of detention places</w:t>
      </w:r>
      <w:r w:rsidR="00107C08" w:rsidRPr="00532B7E">
        <w:rPr>
          <w:rStyle w:val="FootnoteReference"/>
          <w:rFonts w:ascii="Arial" w:hAnsi="Arial" w:cs="Arial"/>
        </w:rPr>
        <w:footnoteReference w:id="22"/>
      </w:r>
      <w:r w:rsidR="00107C08" w:rsidRPr="00532B7E">
        <w:rPr>
          <w:rFonts w:ascii="Arial" w:hAnsi="Arial" w:cs="Arial"/>
        </w:rPr>
        <w:t xml:space="preserve"> contravene and violate </w:t>
      </w:r>
      <w:r w:rsidR="00532B7E" w:rsidRPr="00532B7E">
        <w:rPr>
          <w:rFonts w:ascii="Arial" w:hAnsi="Arial" w:cs="Arial"/>
        </w:rPr>
        <w:t>the 1987 Philippine Constitution</w:t>
      </w:r>
      <w:r w:rsidR="00532B7E" w:rsidRPr="00532B7E">
        <w:rPr>
          <w:rStyle w:val="FootnoteReference"/>
          <w:rFonts w:ascii="Arial" w:hAnsi="Arial" w:cs="Arial"/>
        </w:rPr>
        <w:footnoteReference w:id="23"/>
      </w:r>
      <w:r w:rsidR="00532B7E" w:rsidRPr="00532B7E">
        <w:rPr>
          <w:rFonts w:ascii="Arial" w:hAnsi="Arial" w:cs="Arial"/>
        </w:rPr>
        <w:t xml:space="preserve">, the International Covenant on Civil and Political Rights, Convention Against Torture and the United Nations Standard Minimum Rules for the Treatment of Prisoners (the Nelson Mandela Rules”) among other laws and international human rights treaties. </w:t>
      </w:r>
    </w:p>
    <w:p w14:paraId="03387CCA" w14:textId="77777777" w:rsidR="00492E71" w:rsidRPr="00492E71" w:rsidRDefault="00492E71" w:rsidP="00492E71">
      <w:pPr>
        <w:pStyle w:val="ListParagraph"/>
        <w:spacing w:after="0" w:line="240" w:lineRule="auto"/>
        <w:ind w:left="717" w:firstLine="0"/>
        <w:rPr>
          <w:rFonts w:ascii="Arial" w:hAnsi="Arial" w:cs="Arial"/>
        </w:rPr>
      </w:pPr>
    </w:p>
    <w:p w14:paraId="6C1FA230" w14:textId="761EA8CC" w:rsidR="00F21FF6" w:rsidRDefault="00F21FF6" w:rsidP="00492E71">
      <w:pPr>
        <w:pStyle w:val="NoSpacing"/>
        <w:jc w:val="both"/>
        <w:rPr>
          <w:rFonts w:ascii="Arial" w:hAnsi="Arial" w:cs="Arial"/>
          <w:sz w:val="22"/>
          <w:szCs w:val="22"/>
        </w:rPr>
      </w:pPr>
    </w:p>
    <w:p w14:paraId="5600256B" w14:textId="4743C814" w:rsidR="00F21FF6" w:rsidRPr="00F21FF6" w:rsidRDefault="00F21FF6" w:rsidP="00F21FF6">
      <w:pPr>
        <w:spacing w:after="0" w:line="240" w:lineRule="auto"/>
        <w:ind w:left="0" w:firstLine="0"/>
        <w:rPr>
          <w:rFonts w:ascii="Arial" w:hAnsi="Arial" w:cs="Arial"/>
          <w:b/>
        </w:rPr>
      </w:pPr>
      <w:r w:rsidRPr="00F21FF6">
        <w:rPr>
          <w:rFonts w:ascii="Arial" w:eastAsiaTheme="minorEastAsia" w:hAnsi="Arial" w:cs="Arial"/>
          <w:b/>
          <w:lang w:val="en-US"/>
        </w:rPr>
        <w:t>Drugs and the death penalty</w:t>
      </w:r>
    </w:p>
    <w:p w14:paraId="06DBA346" w14:textId="77777777" w:rsidR="006A5257" w:rsidRDefault="006A5257" w:rsidP="006A5257">
      <w:pPr>
        <w:pStyle w:val="ListParagraph"/>
        <w:spacing w:after="0" w:line="240" w:lineRule="auto"/>
        <w:ind w:left="717" w:firstLine="0"/>
        <w:rPr>
          <w:rFonts w:ascii="Arial" w:hAnsi="Arial" w:cs="Arial"/>
        </w:rPr>
      </w:pPr>
    </w:p>
    <w:p w14:paraId="21991022" w14:textId="5DC7C39C" w:rsidR="00F21FF6" w:rsidRPr="00F21FF6" w:rsidRDefault="00125FFA" w:rsidP="00F21FF6">
      <w:pPr>
        <w:pStyle w:val="ListParagraph"/>
        <w:numPr>
          <w:ilvl w:val="0"/>
          <w:numId w:val="2"/>
        </w:numPr>
        <w:spacing w:after="0" w:line="240" w:lineRule="auto"/>
        <w:rPr>
          <w:rFonts w:ascii="Arial" w:hAnsi="Arial" w:cs="Arial"/>
        </w:rPr>
      </w:pPr>
      <w:r w:rsidRPr="006A5257">
        <w:rPr>
          <w:rFonts w:ascii="Arial" w:hAnsi="Arial" w:cs="Arial"/>
        </w:rPr>
        <w:t>The Duterte Administration also pushed for the reinstatement of death penalty in the Philippines. Death penalty was abolished by law in the country in 2006 and in the 1987 Constitution. The Philippines also ratified the Second Optional Protocol of the International Covenant on Civil and Political Rights.  In March 2017, the House of Representatives (lower chamber of Congress) passed, a Bill re-imposing death penalty.</w:t>
      </w:r>
      <w:r w:rsidR="006A5257">
        <w:rPr>
          <w:rStyle w:val="FootnoteReference"/>
          <w:rFonts w:ascii="Arial" w:hAnsi="Arial" w:cs="Arial"/>
        </w:rPr>
        <w:footnoteReference w:id="24"/>
      </w:r>
      <w:r w:rsidRPr="006A5257">
        <w:rPr>
          <w:rFonts w:ascii="Arial" w:hAnsi="Arial" w:cs="Arial"/>
        </w:rPr>
        <w:t xml:space="preserve"> Despite opposition from civil society</w:t>
      </w:r>
      <w:r w:rsidR="00F21FF6">
        <w:rPr>
          <w:rFonts w:ascii="Arial" w:hAnsi="Arial" w:cs="Arial"/>
        </w:rPr>
        <w:t xml:space="preserve"> and the Commission</w:t>
      </w:r>
      <w:r w:rsidRPr="006A5257">
        <w:rPr>
          <w:rFonts w:ascii="Arial" w:hAnsi="Arial" w:cs="Arial"/>
        </w:rPr>
        <w:t xml:space="preserve">, an overwhelming 216 of 291 members voted in favor of the bill. The reinstatement of death penalty was being pushed as the solution to the rising criminality. Somehow, the opposition to this legislative measure was felt. To seemingly satisfy the President, the super majority in the House passed a watered down version </w:t>
      </w:r>
      <w:r w:rsidRPr="006A5257">
        <w:rPr>
          <w:rFonts w:ascii="Arial" w:hAnsi="Arial" w:cs="Arial"/>
        </w:rPr>
        <w:lastRenderedPageBreak/>
        <w:t>of the death penalty bill. And as expected, the only offenses that were left in the final version of the bill were drug-related offenses.</w:t>
      </w:r>
    </w:p>
    <w:p w14:paraId="140657DB" w14:textId="77777777" w:rsidR="00F21FF6" w:rsidRDefault="00F21FF6" w:rsidP="00F21FF6">
      <w:pPr>
        <w:pStyle w:val="ListParagraph"/>
        <w:spacing w:after="0" w:line="240" w:lineRule="auto"/>
        <w:ind w:left="717" w:firstLine="0"/>
        <w:rPr>
          <w:rFonts w:ascii="Arial" w:hAnsi="Arial" w:cs="Arial"/>
        </w:rPr>
      </w:pPr>
    </w:p>
    <w:p w14:paraId="3E01512B" w14:textId="09BE63BC" w:rsidR="00F21FF6" w:rsidRDefault="00125FFA" w:rsidP="00125FFA">
      <w:pPr>
        <w:pStyle w:val="ListParagraph"/>
        <w:numPr>
          <w:ilvl w:val="0"/>
          <w:numId w:val="2"/>
        </w:numPr>
        <w:spacing w:after="0" w:line="240" w:lineRule="auto"/>
        <w:rPr>
          <w:rFonts w:ascii="Arial" w:hAnsi="Arial" w:cs="Arial"/>
        </w:rPr>
      </w:pPr>
      <w:r w:rsidRPr="00F21FF6">
        <w:rPr>
          <w:rFonts w:ascii="Arial" w:hAnsi="Arial" w:cs="Arial"/>
        </w:rPr>
        <w:t xml:space="preserve">The Commission strongly opposes the re-imposition of the death penalty. At the height of </w:t>
      </w:r>
      <w:r w:rsidR="00F21FF6">
        <w:rPr>
          <w:rFonts w:ascii="Arial" w:hAnsi="Arial" w:cs="Arial"/>
        </w:rPr>
        <w:t>its</w:t>
      </w:r>
      <w:r w:rsidRPr="00F21FF6">
        <w:rPr>
          <w:rFonts w:ascii="Arial" w:hAnsi="Arial" w:cs="Arial"/>
        </w:rPr>
        <w:t xml:space="preserve"> campaign to oppose the reinstatement of death penalty in the Philippines, the Commission and Dr. Christopher Ward of the Australian National University undertook a study to examine the effect of reinstating death penalty on the country’s international human rights obligations.</w:t>
      </w:r>
      <w:r w:rsidR="00722B47">
        <w:rPr>
          <w:rStyle w:val="FootnoteReference"/>
          <w:rFonts w:ascii="Arial" w:hAnsi="Arial" w:cs="Arial"/>
        </w:rPr>
        <w:footnoteReference w:id="25"/>
      </w:r>
      <w:r w:rsidRPr="00F21FF6">
        <w:rPr>
          <w:rFonts w:ascii="Arial" w:hAnsi="Arial" w:cs="Arial"/>
        </w:rPr>
        <w:t xml:space="preserve"> The study posits that the Philippines will violate its international legal obligations if it re-imposes the death penalty and may be forward to commit as internationally wrong act in accordance to the State responsibility articles. The ratification of the Second Optional Protocol by the Philippines in 2007, twenty years after the passage of the Constitution, is a valid sovereign act of the Philippines as a matter of international law. The Philippines may not withdraw from the Second Optional Protocol as this treaty unambiguously prohibits, permanently, the imposition of the death penalty in the Philippines for all crimes.</w:t>
      </w:r>
    </w:p>
    <w:p w14:paraId="62D3B2A9" w14:textId="77777777" w:rsidR="00F21FF6" w:rsidRDefault="00F21FF6" w:rsidP="00F21FF6">
      <w:pPr>
        <w:pStyle w:val="ListParagraph"/>
        <w:spacing w:after="0" w:line="240" w:lineRule="auto"/>
        <w:ind w:left="717" w:firstLine="0"/>
        <w:rPr>
          <w:rFonts w:ascii="Arial" w:hAnsi="Arial" w:cs="Arial"/>
        </w:rPr>
      </w:pPr>
    </w:p>
    <w:p w14:paraId="6645E76E" w14:textId="6AE0F76C" w:rsidR="00A75226" w:rsidRPr="00492E71" w:rsidRDefault="00125FFA" w:rsidP="00492E71">
      <w:pPr>
        <w:pStyle w:val="ListParagraph"/>
        <w:numPr>
          <w:ilvl w:val="0"/>
          <w:numId w:val="2"/>
        </w:numPr>
        <w:spacing w:after="0" w:line="240" w:lineRule="auto"/>
        <w:rPr>
          <w:rFonts w:ascii="Arial" w:hAnsi="Arial" w:cs="Arial"/>
        </w:rPr>
      </w:pPr>
      <w:r w:rsidRPr="00F21FF6">
        <w:rPr>
          <w:rFonts w:ascii="Arial" w:hAnsi="Arial" w:cs="Arial"/>
        </w:rPr>
        <w:t>Fortunately, the Senate did not pass its counterpart bill; thus, the death penalty bill has not become a law. And despite President Duterte still pushing for the reinstatement of death penalty in his 2017 State of the Nation Address, the same was dropped from the list of priority bills in the second regular session of the 17</w:t>
      </w:r>
      <w:r w:rsidRPr="00F21FF6">
        <w:rPr>
          <w:rFonts w:ascii="Arial" w:hAnsi="Arial" w:cs="Arial"/>
          <w:vertAlign w:val="superscript"/>
        </w:rPr>
        <w:t>th</w:t>
      </w:r>
      <w:r w:rsidRPr="00F21FF6">
        <w:rPr>
          <w:rFonts w:ascii="Arial" w:hAnsi="Arial" w:cs="Arial"/>
        </w:rPr>
        <w:t xml:space="preserve"> Congress. </w:t>
      </w:r>
      <w:r w:rsidR="00F21FF6">
        <w:rPr>
          <w:rFonts w:ascii="Arial" w:hAnsi="Arial" w:cs="Arial"/>
        </w:rPr>
        <w:t>However, there are still moves in the Senate to revive the proposed bills on the death penalty.</w:t>
      </w:r>
      <w:r w:rsidR="00F21FF6">
        <w:rPr>
          <w:rStyle w:val="FootnoteReference"/>
          <w:rFonts w:ascii="Arial" w:hAnsi="Arial" w:cs="Arial"/>
        </w:rPr>
        <w:footnoteReference w:id="26"/>
      </w:r>
    </w:p>
    <w:p w14:paraId="1FAAB82E" w14:textId="31812E5A" w:rsidR="00A75226" w:rsidRPr="00A75226" w:rsidRDefault="00A75226" w:rsidP="00A75226">
      <w:pPr>
        <w:spacing w:after="0" w:line="240" w:lineRule="auto"/>
        <w:rPr>
          <w:rFonts w:ascii="Arial" w:hAnsi="Arial" w:cs="Arial"/>
          <w:b/>
        </w:rPr>
      </w:pPr>
      <w:r w:rsidRPr="00A75226">
        <w:rPr>
          <w:rFonts w:ascii="Arial" w:hAnsi="Arial" w:cs="Arial"/>
          <w:b/>
        </w:rPr>
        <w:t>International Criminal Court</w:t>
      </w:r>
    </w:p>
    <w:p w14:paraId="19C0BA54" w14:textId="77777777" w:rsidR="00A75226" w:rsidRDefault="00A75226" w:rsidP="00A75226">
      <w:pPr>
        <w:pStyle w:val="ListParagraph"/>
        <w:spacing w:after="0" w:line="240" w:lineRule="auto"/>
        <w:ind w:left="717" w:firstLine="0"/>
        <w:rPr>
          <w:rFonts w:ascii="Arial" w:hAnsi="Arial" w:cs="Arial"/>
        </w:rPr>
      </w:pPr>
    </w:p>
    <w:p w14:paraId="12D38B61" w14:textId="54A0B9B2" w:rsidR="00E006BF" w:rsidRDefault="00A75226" w:rsidP="00125FFA">
      <w:pPr>
        <w:pStyle w:val="ListParagraph"/>
        <w:numPr>
          <w:ilvl w:val="0"/>
          <w:numId w:val="2"/>
        </w:numPr>
        <w:spacing w:after="0" w:line="240" w:lineRule="auto"/>
        <w:rPr>
          <w:rFonts w:ascii="Arial" w:hAnsi="Arial" w:cs="Arial"/>
        </w:rPr>
      </w:pPr>
      <w:r w:rsidRPr="00A75226">
        <w:rPr>
          <w:rFonts w:ascii="Arial" w:hAnsi="Arial" w:cs="Arial"/>
        </w:rPr>
        <w:t>Philippine President submitted its written notification on 19 March 2018 to the United Nations, stating his intention to withdraw the Philippines as a State Party from the Rome Statute of the International Criminal Court (ICC).</w:t>
      </w:r>
      <w:r w:rsidRPr="00A75226">
        <w:rPr>
          <w:rStyle w:val="FootnoteReference"/>
          <w:rFonts w:ascii="Arial" w:hAnsi="Arial" w:cs="Arial"/>
        </w:rPr>
        <w:footnoteReference w:id="27"/>
      </w:r>
      <w:r w:rsidRPr="00A75226">
        <w:rPr>
          <w:rFonts w:ascii="Arial" w:hAnsi="Arial" w:cs="Arial"/>
        </w:rPr>
        <w:t xml:space="preserve"> The notification of withdrawal from the ICC by the Philippine President stemmed from, among other conflated rationale,</w:t>
      </w:r>
      <w:r w:rsidRPr="00A75226">
        <w:rPr>
          <w:rStyle w:val="FootnoteReference"/>
          <w:rFonts w:ascii="Arial" w:hAnsi="Arial" w:cs="Arial"/>
        </w:rPr>
        <w:footnoteReference w:id="28"/>
      </w:r>
      <w:r w:rsidRPr="00A75226">
        <w:rPr>
          <w:rFonts w:ascii="Arial" w:hAnsi="Arial" w:cs="Arial"/>
        </w:rPr>
        <w:t xml:space="preserve"> the 8 February 2018 announcement of the ICC that it will conduct a preliminary examination of crimes against humanity</w:t>
      </w:r>
      <w:r w:rsidRPr="00A75226">
        <w:rPr>
          <w:rStyle w:val="FootnoteReference"/>
          <w:rFonts w:ascii="Arial" w:hAnsi="Arial" w:cs="Arial"/>
        </w:rPr>
        <w:footnoteReference w:id="29"/>
      </w:r>
      <w:r w:rsidRPr="00A75226">
        <w:rPr>
          <w:rFonts w:ascii="Arial" w:hAnsi="Arial" w:cs="Arial"/>
        </w:rPr>
        <w:t xml:space="preserve"> allegedly </w:t>
      </w:r>
      <w:r w:rsidRPr="00A75226">
        <w:rPr>
          <w:rFonts w:ascii="Arial" w:hAnsi="Arial" w:cs="Arial"/>
        </w:rPr>
        <w:lastRenderedPageBreak/>
        <w:t>committed in this State Party since at least 1 July 2016, in the context of the “war on drugs” launched by the Philippine Government.</w:t>
      </w:r>
      <w:r w:rsidRPr="00A75226">
        <w:rPr>
          <w:rStyle w:val="FootnoteReference"/>
          <w:rFonts w:ascii="Arial" w:hAnsi="Arial" w:cs="Arial"/>
        </w:rPr>
        <w:footnoteReference w:id="30"/>
      </w:r>
    </w:p>
    <w:p w14:paraId="5E47F270" w14:textId="77777777" w:rsidR="00A75226" w:rsidRDefault="00A75226" w:rsidP="00A75226">
      <w:pPr>
        <w:pStyle w:val="ListParagraph"/>
        <w:spacing w:after="0" w:line="240" w:lineRule="auto"/>
        <w:ind w:left="717" w:firstLine="0"/>
        <w:rPr>
          <w:rFonts w:ascii="Arial" w:hAnsi="Arial" w:cs="Arial"/>
        </w:rPr>
      </w:pPr>
    </w:p>
    <w:p w14:paraId="0B0065E9" w14:textId="259F4756" w:rsidR="00A75226" w:rsidRPr="00A75226" w:rsidRDefault="00A75226" w:rsidP="00A75226">
      <w:pPr>
        <w:pStyle w:val="ListParagraph"/>
        <w:numPr>
          <w:ilvl w:val="0"/>
          <w:numId w:val="2"/>
        </w:numPr>
        <w:spacing w:after="0" w:line="240" w:lineRule="auto"/>
        <w:rPr>
          <w:rFonts w:ascii="Arial" w:hAnsi="Arial" w:cs="Arial"/>
        </w:rPr>
      </w:pPr>
      <w:r w:rsidRPr="00A75226">
        <w:rPr>
          <w:rFonts w:ascii="Arial" w:hAnsi="Arial" w:cs="Arial"/>
        </w:rPr>
        <w:t>The Commission considers the move to withdraw from the ICC as a step back in addressing impunity in the country and elsewhere in the world. We believe that if the Philippine government can ably demonstrate genuine respect for human rights, as well as working mechanisms that ensure that perpetrators are brought to justice and there is recourse for victims under our justice system, then international human rights bodies will find no reason to assume jurisdiction over what should otherwise be purely domestic affairs.</w:t>
      </w:r>
    </w:p>
    <w:p w14:paraId="293E9C7E" w14:textId="77777777" w:rsidR="00125FFA" w:rsidRPr="00125FFA" w:rsidRDefault="00125FFA" w:rsidP="00125FFA">
      <w:pPr>
        <w:pStyle w:val="NoSpacing"/>
        <w:jc w:val="both"/>
        <w:rPr>
          <w:rFonts w:ascii="Arial" w:hAnsi="Arial" w:cs="Arial"/>
          <w:sz w:val="22"/>
          <w:szCs w:val="22"/>
        </w:rPr>
      </w:pPr>
    </w:p>
    <w:p w14:paraId="44795D5A" w14:textId="77777777" w:rsidR="00125FFA" w:rsidRDefault="00125FFA" w:rsidP="0080544F">
      <w:pPr>
        <w:spacing w:after="0" w:line="240" w:lineRule="auto"/>
        <w:rPr>
          <w:rFonts w:ascii="Arial" w:hAnsi="Arial" w:cs="Arial"/>
        </w:rPr>
      </w:pPr>
    </w:p>
    <w:p w14:paraId="4CB27BA9" w14:textId="00D14311" w:rsidR="0080544F" w:rsidRDefault="00A75226" w:rsidP="00A75226">
      <w:pPr>
        <w:spacing w:after="0" w:line="240" w:lineRule="auto"/>
        <w:ind w:left="0" w:firstLine="0"/>
        <w:rPr>
          <w:rFonts w:ascii="Arial" w:hAnsi="Arial" w:cs="Arial"/>
          <w:b/>
        </w:rPr>
      </w:pPr>
      <w:r w:rsidRPr="00A75226">
        <w:rPr>
          <w:rFonts w:ascii="Arial" w:hAnsi="Arial" w:cs="Arial"/>
          <w:b/>
        </w:rPr>
        <w:t>Further references on the war on drugs: Statements of the Commission on Human Rights of the Philippines</w:t>
      </w:r>
    </w:p>
    <w:p w14:paraId="337203E7" w14:textId="77777777" w:rsidR="00CA7FCB" w:rsidRPr="00A75226" w:rsidRDefault="00CA7FCB" w:rsidP="00A75226">
      <w:pPr>
        <w:spacing w:after="0" w:line="240" w:lineRule="auto"/>
        <w:ind w:left="0" w:firstLine="0"/>
        <w:rPr>
          <w:rFonts w:ascii="Arial" w:hAnsi="Arial" w:cs="Arial"/>
          <w:b/>
        </w:rPr>
      </w:pPr>
    </w:p>
    <w:p w14:paraId="22EFF0DD" w14:textId="77777777" w:rsidR="00064B2C" w:rsidRPr="00CA7FCB" w:rsidRDefault="00064B2C" w:rsidP="00CA7FCB">
      <w:pPr>
        <w:spacing w:after="0" w:line="240" w:lineRule="auto"/>
        <w:ind w:left="0" w:firstLine="0"/>
        <w:rPr>
          <w:rFonts w:ascii="Arial" w:hAnsi="Arial" w:cs="Arial"/>
        </w:rPr>
      </w:pPr>
    </w:p>
    <w:p w14:paraId="05F8FE7E" w14:textId="0F1137F4" w:rsidR="00E26541" w:rsidRDefault="00EA01DC" w:rsidP="00E26541">
      <w:pPr>
        <w:pStyle w:val="ListParagraph"/>
        <w:numPr>
          <w:ilvl w:val="0"/>
          <w:numId w:val="22"/>
        </w:numPr>
        <w:spacing w:after="0" w:line="240" w:lineRule="auto"/>
        <w:rPr>
          <w:rFonts w:ascii="Arial" w:hAnsi="Arial" w:cs="Arial"/>
        </w:rPr>
      </w:pPr>
      <w:hyperlink r:id="rId9" w:history="1">
        <w:r w:rsidR="00E26541" w:rsidRPr="00A24A99">
          <w:rPr>
            <w:rStyle w:val="Hyperlink"/>
            <w:rFonts w:ascii="Arial" w:hAnsi="Arial" w:cs="Arial"/>
          </w:rPr>
          <w:t>Statement on the Suspension of the Anti-Drug Campaign</w:t>
        </w:r>
      </w:hyperlink>
      <w:r w:rsidR="00E26541">
        <w:rPr>
          <w:rFonts w:ascii="Arial" w:hAnsi="Arial" w:cs="Arial"/>
        </w:rPr>
        <w:t>. T</w:t>
      </w:r>
      <w:r w:rsidR="00E26541" w:rsidRPr="00DD3218">
        <w:rPr>
          <w:rFonts w:ascii="Arial" w:hAnsi="Arial" w:cs="Arial"/>
        </w:rPr>
        <w:t xml:space="preserve">he Commission </w:t>
      </w:r>
      <w:r w:rsidR="00E26541">
        <w:rPr>
          <w:rFonts w:ascii="Arial" w:hAnsi="Arial" w:cs="Arial"/>
        </w:rPr>
        <w:t>welcomed</w:t>
      </w:r>
      <w:r w:rsidR="00E26541" w:rsidRPr="00DD3218">
        <w:rPr>
          <w:rFonts w:ascii="Arial" w:hAnsi="Arial" w:cs="Arial"/>
        </w:rPr>
        <w:t xml:space="preserve"> the pronouncement of Chief PNP Ronald </w:t>
      </w:r>
      <w:r w:rsidR="00E26541">
        <w:rPr>
          <w:rFonts w:ascii="Arial" w:hAnsi="Arial" w:cs="Arial"/>
        </w:rPr>
        <w:t>D</w:t>
      </w:r>
      <w:r w:rsidR="00E26541" w:rsidRPr="00DD3218">
        <w:rPr>
          <w:rFonts w:ascii="Arial" w:hAnsi="Arial" w:cs="Arial"/>
        </w:rPr>
        <w:t>ela Rosa that all anti-drug operations shall stop nationwide while the PNP focus</w:t>
      </w:r>
      <w:r w:rsidR="00E26541">
        <w:rPr>
          <w:rFonts w:ascii="Arial" w:hAnsi="Arial" w:cs="Arial"/>
        </w:rPr>
        <w:t>es</w:t>
      </w:r>
      <w:r w:rsidR="00E26541" w:rsidRPr="00DD3218">
        <w:rPr>
          <w:rFonts w:ascii="Arial" w:hAnsi="Arial" w:cs="Arial"/>
        </w:rPr>
        <w:t xml:space="preserve"> on internal cleansing.</w:t>
      </w:r>
      <w:r w:rsidR="00E26541" w:rsidRPr="00BD501B">
        <w:rPr>
          <w:rStyle w:val="FootnoteReference"/>
          <w:rFonts w:ascii="Arial" w:hAnsi="Arial" w:cs="Arial"/>
        </w:rPr>
        <w:t xml:space="preserve"> </w:t>
      </w:r>
      <w:r w:rsidR="00E26541">
        <w:rPr>
          <w:rStyle w:val="FootnoteReference"/>
          <w:rFonts w:ascii="Arial" w:hAnsi="Arial" w:cs="Arial"/>
        </w:rPr>
        <w:footnoteReference w:id="31"/>
      </w:r>
    </w:p>
    <w:p w14:paraId="5F076EB1" w14:textId="77777777" w:rsidR="00E26541" w:rsidRDefault="00E26541" w:rsidP="00E26541">
      <w:pPr>
        <w:pStyle w:val="ListParagraph"/>
        <w:spacing w:after="0" w:line="240" w:lineRule="auto"/>
        <w:ind w:left="1077" w:firstLine="0"/>
        <w:rPr>
          <w:rFonts w:ascii="Arial" w:hAnsi="Arial" w:cs="Arial"/>
        </w:rPr>
      </w:pPr>
    </w:p>
    <w:p w14:paraId="3CE4A730" w14:textId="584D5CE4" w:rsidR="003A7C23" w:rsidRPr="00A24A99" w:rsidRDefault="00A24A99" w:rsidP="003A7C23">
      <w:pPr>
        <w:pStyle w:val="ListParagraph"/>
        <w:numPr>
          <w:ilvl w:val="0"/>
          <w:numId w:val="22"/>
        </w:numPr>
        <w:rPr>
          <w:rStyle w:val="Hyperlink"/>
          <w:rFonts w:ascii="Arial" w:hAnsi="Arial" w:cs="Arial"/>
        </w:rPr>
      </w:pPr>
      <w:r>
        <w:rPr>
          <w:rFonts w:ascii="Arial" w:hAnsi="Arial" w:cs="Arial"/>
        </w:rPr>
        <w:fldChar w:fldCharType="begin"/>
      </w:r>
      <w:r>
        <w:rPr>
          <w:rFonts w:ascii="Arial" w:hAnsi="Arial" w:cs="Arial"/>
        </w:rPr>
        <w:instrText xml:space="preserve"> HYPERLINK "http://chr.gov.ph/6933-2/" </w:instrText>
      </w:r>
      <w:r>
        <w:rPr>
          <w:rFonts w:ascii="Arial" w:hAnsi="Arial" w:cs="Arial"/>
        </w:rPr>
        <w:fldChar w:fldCharType="separate"/>
      </w:r>
      <w:r w:rsidR="003A7C23" w:rsidRPr="00A24A99">
        <w:rPr>
          <w:rStyle w:val="Hyperlink"/>
          <w:rFonts w:ascii="Arial" w:hAnsi="Arial" w:cs="Arial"/>
        </w:rPr>
        <w:t>Statement on the Court of Appeals</w:t>
      </w:r>
      <w:r w:rsidR="00CA7FCB" w:rsidRPr="00A24A99">
        <w:rPr>
          <w:rStyle w:val="Hyperlink"/>
          <w:rFonts w:ascii="Arial" w:hAnsi="Arial" w:cs="Arial"/>
        </w:rPr>
        <w:t>’</w:t>
      </w:r>
      <w:r w:rsidR="003A7C23" w:rsidRPr="00A24A99">
        <w:rPr>
          <w:rStyle w:val="Hyperlink"/>
          <w:rFonts w:ascii="Arial" w:hAnsi="Arial" w:cs="Arial"/>
        </w:rPr>
        <w:t xml:space="preserve"> Issuance of Permanent Protection to</w:t>
      </w:r>
    </w:p>
    <w:p w14:paraId="2AEEC198" w14:textId="7024356E" w:rsidR="003A7C23" w:rsidRDefault="003A7C23" w:rsidP="003A7C23">
      <w:pPr>
        <w:pStyle w:val="ListParagraph"/>
        <w:ind w:left="1077" w:firstLine="0"/>
        <w:rPr>
          <w:rFonts w:ascii="Arial" w:hAnsi="Arial" w:cs="Arial"/>
          <w:vertAlign w:val="superscript"/>
        </w:rPr>
      </w:pPr>
      <w:r w:rsidRPr="00A24A99">
        <w:rPr>
          <w:rStyle w:val="Hyperlink"/>
          <w:rFonts w:ascii="Arial" w:hAnsi="Arial" w:cs="Arial"/>
        </w:rPr>
        <w:t>‘Oplan Tokhang’ Victims</w:t>
      </w:r>
      <w:r w:rsidR="00A24A99">
        <w:rPr>
          <w:rFonts w:ascii="Arial" w:hAnsi="Arial" w:cs="Arial"/>
        </w:rPr>
        <w:fldChar w:fldCharType="end"/>
      </w:r>
      <w:r w:rsidR="00CA7FCB">
        <w:rPr>
          <w:rFonts w:ascii="Arial" w:hAnsi="Arial" w:cs="Arial"/>
        </w:rPr>
        <w:t>.</w:t>
      </w:r>
      <w:r w:rsidRPr="003A7C23">
        <w:rPr>
          <w:rFonts w:ascii="Arial" w:hAnsi="Arial" w:cs="Arial"/>
        </w:rPr>
        <w:t xml:space="preserve"> The issuance of a permanent protection order in relation to the</w:t>
      </w:r>
      <w:r w:rsidR="00CA7FCB">
        <w:rPr>
          <w:rFonts w:ascii="Arial" w:hAnsi="Arial" w:cs="Arial"/>
        </w:rPr>
        <w:t xml:space="preserve"> </w:t>
      </w:r>
      <w:r w:rsidRPr="003A7C23">
        <w:rPr>
          <w:rFonts w:ascii="Arial" w:hAnsi="Arial" w:cs="Arial"/>
        </w:rPr>
        <w:t>Writ of Amparo filed in behalf of victims of Extra Judicial Killings in Payatas, Quezon City</w:t>
      </w:r>
      <w:r w:rsidR="007D71E4">
        <w:rPr>
          <w:rFonts w:ascii="Arial" w:hAnsi="Arial" w:cs="Arial"/>
        </w:rPr>
        <w:t>.</w:t>
      </w:r>
      <w:r w:rsidR="00CA7FCB" w:rsidRPr="00CA7FCB">
        <w:rPr>
          <w:rFonts w:ascii="Arial" w:hAnsi="Arial" w:cs="Arial"/>
          <w:vertAlign w:val="superscript"/>
        </w:rPr>
        <w:t xml:space="preserve"> </w:t>
      </w:r>
      <w:r w:rsidR="00CA7FCB" w:rsidRPr="003A7C23">
        <w:rPr>
          <w:rFonts w:ascii="Arial" w:hAnsi="Arial" w:cs="Arial"/>
          <w:vertAlign w:val="superscript"/>
        </w:rPr>
        <w:footnoteReference w:id="32"/>
      </w:r>
    </w:p>
    <w:p w14:paraId="03BDC8E5" w14:textId="77777777" w:rsidR="00CD3583" w:rsidRPr="003A7C23" w:rsidRDefault="00CD3583" w:rsidP="003A7C23">
      <w:pPr>
        <w:pStyle w:val="ListParagraph"/>
        <w:ind w:left="1077" w:firstLine="0"/>
        <w:rPr>
          <w:rFonts w:ascii="Arial" w:hAnsi="Arial" w:cs="Arial"/>
        </w:rPr>
      </w:pPr>
    </w:p>
    <w:p w14:paraId="24859FF0" w14:textId="144FD9D0" w:rsidR="003A7C23" w:rsidRDefault="00EA01DC" w:rsidP="003A7C23">
      <w:pPr>
        <w:pStyle w:val="ListParagraph"/>
        <w:numPr>
          <w:ilvl w:val="0"/>
          <w:numId w:val="22"/>
        </w:numPr>
        <w:rPr>
          <w:rFonts w:ascii="Arial" w:hAnsi="Arial" w:cs="Arial"/>
        </w:rPr>
      </w:pPr>
      <w:hyperlink r:id="rId10" w:history="1">
        <w:r w:rsidR="003A7C23" w:rsidRPr="00A24A99">
          <w:rPr>
            <w:rStyle w:val="Hyperlink"/>
            <w:rFonts w:ascii="Arial" w:hAnsi="Arial" w:cs="Arial"/>
          </w:rPr>
          <w:t>Statement on the Resumption of Oplan Tokhang</w:t>
        </w:r>
        <w:r w:rsidR="00CA7FCB" w:rsidRPr="00A24A99">
          <w:rPr>
            <w:rStyle w:val="Hyperlink"/>
            <w:rFonts w:ascii="Arial" w:hAnsi="Arial" w:cs="Arial"/>
          </w:rPr>
          <w:t>.</w:t>
        </w:r>
      </w:hyperlink>
      <w:r w:rsidR="003A7C23">
        <w:rPr>
          <w:rFonts w:ascii="Arial" w:hAnsi="Arial" w:cs="Arial"/>
        </w:rPr>
        <w:t xml:space="preserve"> </w:t>
      </w:r>
      <w:r w:rsidR="00CA7FCB">
        <w:rPr>
          <w:rFonts w:ascii="Arial" w:hAnsi="Arial" w:cs="Arial"/>
        </w:rPr>
        <w:t>T</w:t>
      </w:r>
      <w:r w:rsidR="003A7C23">
        <w:rPr>
          <w:rFonts w:ascii="Arial" w:hAnsi="Arial" w:cs="Arial"/>
        </w:rPr>
        <w:t xml:space="preserve">he Commission denouncing </w:t>
      </w:r>
      <w:r w:rsidR="003A7C23" w:rsidRPr="003A7C23">
        <w:rPr>
          <w:rFonts w:ascii="Arial" w:hAnsi="Arial" w:cs="Arial"/>
        </w:rPr>
        <w:t>the resumption of Operation Tokhang by the Philippine National Police</w:t>
      </w:r>
      <w:r w:rsidR="00C87018">
        <w:rPr>
          <w:rFonts w:ascii="Arial" w:hAnsi="Arial" w:cs="Arial"/>
        </w:rPr>
        <w:t>.</w:t>
      </w:r>
      <w:r w:rsidR="00C87018" w:rsidRPr="00C87018">
        <w:rPr>
          <w:rStyle w:val="FootnoteReference"/>
          <w:rFonts w:ascii="Arial" w:hAnsi="Arial" w:cs="Arial"/>
        </w:rPr>
        <w:t xml:space="preserve"> </w:t>
      </w:r>
      <w:r w:rsidR="00C87018">
        <w:rPr>
          <w:rStyle w:val="FootnoteReference"/>
          <w:rFonts w:ascii="Arial" w:hAnsi="Arial" w:cs="Arial"/>
        </w:rPr>
        <w:footnoteReference w:id="33"/>
      </w:r>
    </w:p>
    <w:p w14:paraId="3C71174A" w14:textId="77777777" w:rsidR="00CD3583" w:rsidRPr="003A7C23" w:rsidRDefault="00CD3583" w:rsidP="00CD3583">
      <w:pPr>
        <w:pStyle w:val="ListParagraph"/>
        <w:ind w:left="1077" w:firstLine="0"/>
        <w:rPr>
          <w:rFonts w:ascii="Arial" w:hAnsi="Arial" w:cs="Arial"/>
        </w:rPr>
      </w:pPr>
    </w:p>
    <w:p w14:paraId="31155025" w14:textId="25A7394B" w:rsidR="003A7C23" w:rsidRDefault="00EA01DC" w:rsidP="003A7C23">
      <w:pPr>
        <w:pStyle w:val="ListParagraph"/>
        <w:numPr>
          <w:ilvl w:val="0"/>
          <w:numId w:val="22"/>
        </w:numPr>
        <w:spacing w:after="0" w:line="240" w:lineRule="auto"/>
        <w:rPr>
          <w:rFonts w:ascii="Arial" w:hAnsi="Arial" w:cs="Arial"/>
        </w:rPr>
      </w:pPr>
      <w:hyperlink r:id="rId11" w:history="1">
        <w:r w:rsidR="003A7C23" w:rsidRPr="008034A3">
          <w:rPr>
            <w:rStyle w:val="Hyperlink"/>
            <w:rFonts w:ascii="Arial" w:hAnsi="Arial" w:cs="Arial"/>
          </w:rPr>
          <w:t>CHR urges PHL gov’t: address human rights situation on the ground</w:t>
        </w:r>
        <w:r w:rsidR="00C87018" w:rsidRPr="008034A3">
          <w:rPr>
            <w:rStyle w:val="Hyperlink"/>
            <w:rFonts w:ascii="Arial" w:hAnsi="Arial" w:cs="Arial"/>
          </w:rPr>
          <w:t>.</w:t>
        </w:r>
      </w:hyperlink>
      <w:r w:rsidR="003A7C23">
        <w:rPr>
          <w:rFonts w:ascii="Arial" w:hAnsi="Arial" w:cs="Arial"/>
        </w:rPr>
        <w:t xml:space="preserve"> </w:t>
      </w:r>
      <w:r w:rsidR="00C87018">
        <w:rPr>
          <w:rFonts w:ascii="Arial" w:hAnsi="Arial" w:cs="Arial"/>
        </w:rPr>
        <w:t>T</w:t>
      </w:r>
      <w:r w:rsidR="003A7C23">
        <w:rPr>
          <w:rFonts w:ascii="Arial" w:hAnsi="Arial" w:cs="Arial"/>
        </w:rPr>
        <w:t xml:space="preserve">he </w:t>
      </w:r>
      <w:r w:rsidR="003A7C23" w:rsidRPr="003A7C23">
        <w:rPr>
          <w:rFonts w:ascii="Arial" w:hAnsi="Arial" w:cs="Arial"/>
        </w:rPr>
        <w:t xml:space="preserve">Commission urged the current administration to address the recommendations of the 95 United Nations (UN) </w:t>
      </w:r>
      <w:r w:rsidR="00C87018">
        <w:rPr>
          <w:rFonts w:ascii="Arial" w:hAnsi="Arial" w:cs="Arial"/>
        </w:rPr>
        <w:t>M</w:t>
      </w:r>
      <w:r w:rsidR="003A7C23" w:rsidRPr="003A7C23">
        <w:rPr>
          <w:rFonts w:ascii="Arial" w:hAnsi="Arial" w:cs="Arial"/>
        </w:rPr>
        <w:t xml:space="preserve">ember </w:t>
      </w:r>
      <w:r w:rsidR="00C87018">
        <w:rPr>
          <w:rFonts w:ascii="Arial" w:hAnsi="Arial" w:cs="Arial"/>
        </w:rPr>
        <w:t>S</w:t>
      </w:r>
      <w:r w:rsidR="003A7C23" w:rsidRPr="003A7C23">
        <w:rPr>
          <w:rFonts w:ascii="Arial" w:hAnsi="Arial" w:cs="Arial"/>
        </w:rPr>
        <w:t>tates on the human rights situation</w:t>
      </w:r>
      <w:r w:rsidR="00C87018">
        <w:rPr>
          <w:rFonts w:ascii="Arial" w:hAnsi="Arial" w:cs="Arial"/>
        </w:rPr>
        <w:t>s</w:t>
      </w:r>
      <w:r w:rsidR="003A7C23" w:rsidRPr="003A7C23">
        <w:rPr>
          <w:rFonts w:ascii="Arial" w:hAnsi="Arial" w:cs="Arial"/>
        </w:rPr>
        <w:t xml:space="preserve"> during the 3</w:t>
      </w:r>
      <w:r w:rsidR="003A7C23" w:rsidRPr="00C87018">
        <w:rPr>
          <w:rFonts w:ascii="Arial" w:hAnsi="Arial" w:cs="Arial"/>
          <w:vertAlign w:val="superscript"/>
        </w:rPr>
        <w:t>rd</w:t>
      </w:r>
      <w:r w:rsidR="00C87018">
        <w:rPr>
          <w:rFonts w:ascii="Arial" w:hAnsi="Arial" w:cs="Arial"/>
        </w:rPr>
        <w:t xml:space="preserve"> cycle</w:t>
      </w:r>
      <w:r w:rsidR="003A7C23" w:rsidRPr="003A7C23">
        <w:rPr>
          <w:rFonts w:ascii="Arial" w:hAnsi="Arial" w:cs="Arial"/>
        </w:rPr>
        <w:t xml:space="preserve"> </w:t>
      </w:r>
      <w:r w:rsidR="003A7C23" w:rsidRPr="003A7C23">
        <w:rPr>
          <w:rFonts w:ascii="Arial" w:hAnsi="Arial" w:cs="Arial"/>
        </w:rPr>
        <w:lastRenderedPageBreak/>
        <w:t xml:space="preserve">Universal Periodic Review (UPR) session in </w:t>
      </w:r>
      <w:r w:rsidR="003A7C23">
        <w:rPr>
          <w:rFonts w:ascii="Arial" w:hAnsi="Arial" w:cs="Arial"/>
        </w:rPr>
        <w:t>Geneva, Switzerland</w:t>
      </w:r>
      <w:r w:rsidR="00C87018">
        <w:rPr>
          <w:rFonts w:ascii="Arial" w:hAnsi="Arial" w:cs="Arial"/>
        </w:rPr>
        <w:t>,</w:t>
      </w:r>
      <w:r w:rsidR="003A7C23">
        <w:rPr>
          <w:rFonts w:ascii="Arial" w:hAnsi="Arial" w:cs="Arial"/>
        </w:rPr>
        <w:t xml:space="preserve"> which include</w:t>
      </w:r>
      <w:r w:rsidR="00C87018">
        <w:rPr>
          <w:rFonts w:ascii="Arial" w:hAnsi="Arial" w:cs="Arial"/>
        </w:rPr>
        <w:t>d</w:t>
      </w:r>
      <w:r w:rsidR="003A7C23">
        <w:rPr>
          <w:rFonts w:ascii="Arial" w:hAnsi="Arial" w:cs="Arial"/>
        </w:rPr>
        <w:t xml:space="preserve"> the </w:t>
      </w:r>
      <w:r w:rsidR="003A7C23" w:rsidRPr="003A7C23">
        <w:rPr>
          <w:rFonts w:ascii="Arial" w:hAnsi="Arial" w:cs="Arial"/>
        </w:rPr>
        <w:t>c</w:t>
      </w:r>
      <w:r w:rsidR="00C87018">
        <w:rPr>
          <w:rFonts w:ascii="Arial" w:hAnsi="Arial" w:cs="Arial"/>
        </w:rPr>
        <w:t>a</w:t>
      </w:r>
      <w:r w:rsidR="003A7C23" w:rsidRPr="003A7C23">
        <w:rPr>
          <w:rFonts w:ascii="Arial" w:hAnsi="Arial" w:cs="Arial"/>
        </w:rPr>
        <w:t>ses of extrajudicial execution related to the government’s campaign against</w:t>
      </w:r>
      <w:r w:rsidR="00C87018">
        <w:rPr>
          <w:rFonts w:ascii="Arial" w:hAnsi="Arial" w:cs="Arial"/>
        </w:rPr>
        <w:t xml:space="preserve"> illegal</w:t>
      </w:r>
      <w:r w:rsidR="003A7C23" w:rsidRPr="003A7C23">
        <w:rPr>
          <w:rFonts w:ascii="Arial" w:hAnsi="Arial" w:cs="Arial"/>
        </w:rPr>
        <w:t xml:space="preserve"> drugs</w:t>
      </w:r>
      <w:r w:rsidR="007D71E4">
        <w:rPr>
          <w:rFonts w:ascii="Arial" w:hAnsi="Arial" w:cs="Arial"/>
        </w:rPr>
        <w:t>.</w:t>
      </w:r>
      <w:r w:rsidR="00C87018" w:rsidRPr="00C87018">
        <w:rPr>
          <w:rStyle w:val="FootnoteReference"/>
          <w:rFonts w:ascii="Arial" w:hAnsi="Arial" w:cs="Arial"/>
        </w:rPr>
        <w:t xml:space="preserve"> </w:t>
      </w:r>
      <w:r w:rsidR="00C87018">
        <w:rPr>
          <w:rStyle w:val="FootnoteReference"/>
          <w:rFonts w:ascii="Arial" w:hAnsi="Arial" w:cs="Arial"/>
        </w:rPr>
        <w:footnoteReference w:id="34"/>
      </w:r>
    </w:p>
    <w:p w14:paraId="7010B0BD" w14:textId="77777777" w:rsidR="00E26541" w:rsidRDefault="00E26541" w:rsidP="00E26541">
      <w:pPr>
        <w:pStyle w:val="ListParagraph"/>
        <w:spacing w:after="0" w:line="240" w:lineRule="auto"/>
        <w:ind w:left="1077" w:firstLine="0"/>
        <w:rPr>
          <w:rFonts w:ascii="Arial" w:hAnsi="Arial" w:cs="Arial"/>
        </w:rPr>
      </w:pPr>
    </w:p>
    <w:p w14:paraId="2F008C12" w14:textId="3192C681" w:rsidR="00E26541" w:rsidRPr="00E26541" w:rsidRDefault="00EA01DC" w:rsidP="00E26541">
      <w:pPr>
        <w:pStyle w:val="ListParagraph"/>
        <w:numPr>
          <w:ilvl w:val="0"/>
          <w:numId w:val="22"/>
        </w:numPr>
        <w:spacing w:after="0" w:line="240" w:lineRule="auto"/>
        <w:rPr>
          <w:rFonts w:ascii="Arial" w:hAnsi="Arial" w:cs="Arial"/>
        </w:rPr>
      </w:pPr>
      <w:hyperlink r:id="rId12" w:history="1">
        <w:r w:rsidR="00E26541" w:rsidRPr="008034A3">
          <w:rPr>
            <w:rStyle w:val="Hyperlink"/>
            <w:rFonts w:ascii="Arial" w:hAnsi="Arial" w:cs="Arial"/>
          </w:rPr>
          <w:t>Statement of the Commission</w:t>
        </w:r>
        <w:r w:rsidR="008034A3">
          <w:rPr>
            <w:rStyle w:val="Hyperlink"/>
            <w:rFonts w:ascii="Arial" w:hAnsi="Arial" w:cs="Arial"/>
          </w:rPr>
          <w:t xml:space="preserve"> </w:t>
        </w:r>
        <w:r w:rsidR="00E26541" w:rsidRPr="008034A3">
          <w:rPr>
            <w:rStyle w:val="Hyperlink"/>
            <w:rFonts w:ascii="Arial" w:hAnsi="Arial" w:cs="Arial"/>
          </w:rPr>
          <w:t>on the government’s measures in pursuing personalities involved in illegal drugs.</w:t>
        </w:r>
      </w:hyperlink>
      <w:r w:rsidR="00E26541" w:rsidRPr="00512C86">
        <w:t xml:space="preserve"> </w:t>
      </w:r>
      <w:r w:rsidR="00E26541" w:rsidRPr="00E26541">
        <w:rPr>
          <w:rFonts w:ascii="Arial" w:hAnsi="Arial" w:cs="Arial"/>
        </w:rPr>
        <w:t xml:space="preserve">the Commission supports the government’s campaign in combating the possible dangers brought about by the use, sale, production, and distribution of illegal drugs in the country. But the Commission expresses concern over the use of “drug boxes” to collect names of suspected drug users and/or pushers. Some local government units now also resort to posting “drug-free home” stickers through peace and order councils at the barangay level. </w:t>
      </w:r>
      <w:r w:rsidR="00E26541">
        <w:rPr>
          <w:rStyle w:val="FootnoteReference"/>
          <w:rFonts w:ascii="Arial" w:hAnsi="Arial" w:cs="Arial"/>
        </w:rPr>
        <w:footnoteReference w:id="35"/>
      </w:r>
    </w:p>
    <w:p w14:paraId="1DF5B639" w14:textId="77777777" w:rsidR="00CD3583" w:rsidRDefault="00CD3583" w:rsidP="00CD3583">
      <w:pPr>
        <w:pStyle w:val="ListParagraph"/>
        <w:spacing w:after="0" w:line="240" w:lineRule="auto"/>
        <w:ind w:left="1077" w:firstLine="0"/>
        <w:rPr>
          <w:rFonts w:ascii="Arial" w:hAnsi="Arial" w:cs="Arial"/>
        </w:rPr>
      </w:pPr>
    </w:p>
    <w:p w14:paraId="5EBCD0DE" w14:textId="3035C7C7" w:rsidR="008D20EA" w:rsidRDefault="00EA01DC" w:rsidP="00394336">
      <w:pPr>
        <w:pStyle w:val="ListParagraph"/>
        <w:numPr>
          <w:ilvl w:val="0"/>
          <w:numId w:val="22"/>
        </w:numPr>
        <w:spacing w:after="0" w:line="240" w:lineRule="auto"/>
        <w:rPr>
          <w:rFonts w:ascii="Arial" w:hAnsi="Arial" w:cs="Arial"/>
        </w:rPr>
      </w:pPr>
      <w:hyperlink r:id="rId13" w:history="1">
        <w:r w:rsidR="008D20EA" w:rsidRPr="008034A3">
          <w:rPr>
            <w:rStyle w:val="Hyperlink"/>
            <w:rFonts w:ascii="Arial" w:hAnsi="Arial" w:cs="Arial"/>
          </w:rPr>
          <w:t>CHR expresses alarm over high number of deaths, commences motu proprio investigations</w:t>
        </w:r>
      </w:hyperlink>
      <w:r w:rsidR="003B4A86">
        <w:rPr>
          <w:rFonts w:ascii="Arial" w:hAnsi="Arial" w:cs="Arial"/>
        </w:rPr>
        <w:t>. The</w:t>
      </w:r>
      <w:r w:rsidR="00394336" w:rsidRPr="00394336">
        <w:t xml:space="preserve"> </w:t>
      </w:r>
      <w:r w:rsidR="00394336" w:rsidRPr="00394336">
        <w:rPr>
          <w:rFonts w:ascii="Arial" w:hAnsi="Arial" w:cs="Arial"/>
        </w:rPr>
        <w:t xml:space="preserve">Commission </w:t>
      </w:r>
      <w:r w:rsidR="00394336">
        <w:rPr>
          <w:rFonts w:ascii="Arial" w:hAnsi="Arial" w:cs="Arial"/>
        </w:rPr>
        <w:t>expressed</w:t>
      </w:r>
      <w:r w:rsidR="00394336" w:rsidRPr="00394336">
        <w:rPr>
          <w:rFonts w:ascii="Arial" w:hAnsi="Arial" w:cs="Arial"/>
        </w:rPr>
        <w:t xml:space="preserve"> alarm over the unprecedented surge in the number of deaths in less than a week, with counts reaching 80, in the towns of Bulacan, Laguna, Cavite, and areas in Metro Manila, including the killing of 17-year old boy Kian</w:t>
      </w:r>
      <w:r w:rsidR="008034A3">
        <w:rPr>
          <w:rFonts w:ascii="Arial" w:hAnsi="Arial" w:cs="Arial"/>
        </w:rPr>
        <w:t xml:space="preserve"> </w:t>
      </w:r>
      <w:r w:rsidR="00394336" w:rsidRPr="00394336">
        <w:rPr>
          <w:rFonts w:ascii="Arial" w:hAnsi="Arial" w:cs="Arial"/>
        </w:rPr>
        <w:t>delos Santos in Caloocan City. CHR has started its investigations on these new cases of extra-judicial killings (EJKs).</w:t>
      </w:r>
      <w:r w:rsidR="003B4A86" w:rsidRPr="003B4A86">
        <w:rPr>
          <w:rStyle w:val="FootnoteReference"/>
          <w:rFonts w:ascii="Arial" w:hAnsi="Arial" w:cs="Arial"/>
        </w:rPr>
        <w:t xml:space="preserve"> </w:t>
      </w:r>
      <w:r w:rsidR="003B4A86">
        <w:rPr>
          <w:rStyle w:val="FootnoteReference"/>
          <w:rFonts w:ascii="Arial" w:hAnsi="Arial" w:cs="Arial"/>
        </w:rPr>
        <w:footnoteReference w:id="36"/>
      </w:r>
    </w:p>
    <w:p w14:paraId="3C69A9E1" w14:textId="77777777" w:rsidR="00E26541" w:rsidRDefault="00E26541" w:rsidP="00E26541">
      <w:pPr>
        <w:pStyle w:val="ListParagraph"/>
        <w:spacing w:after="0" w:line="240" w:lineRule="auto"/>
        <w:ind w:left="1077" w:firstLine="0"/>
        <w:rPr>
          <w:rFonts w:ascii="Arial" w:hAnsi="Arial" w:cs="Arial"/>
        </w:rPr>
      </w:pPr>
    </w:p>
    <w:p w14:paraId="2EE79E19" w14:textId="62157E41" w:rsidR="00E26541" w:rsidRPr="00E26541" w:rsidRDefault="00EA01DC" w:rsidP="00E26541">
      <w:pPr>
        <w:pStyle w:val="ListParagraph"/>
        <w:numPr>
          <w:ilvl w:val="0"/>
          <w:numId w:val="22"/>
        </w:numPr>
        <w:spacing w:after="0" w:line="240" w:lineRule="auto"/>
        <w:rPr>
          <w:rFonts w:ascii="Arial" w:hAnsi="Arial" w:cs="Arial"/>
        </w:rPr>
      </w:pPr>
      <w:hyperlink r:id="rId14" w:history="1">
        <w:r w:rsidR="00E26541" w:rsidRPr="008034A3">
          <w:rPr>
            <w:rStyle w:val="Hyperlink"/>
            <w:rFonts w:ascii="Arial" w:hAnsi="Arial" w:cs="Arial"/>
          </w:rPr>
          <w:t>CHR calls for review of house-to-house drug testing policy</w:t>
        </w:r>
      </w:hyperlink>
      <w:r w:rsidR="00E26541" w:rsidRPr="00512C86">
        <w:rPr>
          <w:rFonts w:ascii="Arial" w:hAnsi="Arial" w:cs="Arial"/>
        </w:rPr>
        <w:t>, stresses need to protect rights of all</w:t>
      </w:r>
      <w:r w:rsidR="00E26541">
        <w:rPr>
          <w:rFonts w:ascii="Arial" w:hAnsi="Arial" w:cs="Arial"/>
        </w:rPr>
        <w:t>. T</w:t>
      </w:r>
      <w:r w:rsidR="00E26541" w:rsidRPr="00512C86">
        <w:rPr>
          <w:rFonts w:ascii="Arial" w:hAnsi="Arial" w:cs="Arial"/>
        </w:rPr>
        <w:t xml:space="preserve">he Commission </w:t>
      </w:r>
      <w:r w:rsidR="00E26541">
        <w:rPr>
          <w:rFonts w:ascii="Arial" w:hAnsi="Arial" w:cs="Arial"/>
        </w:rPr>
        <w:t>expressed</w:t>
      </w:r>
      <w:r w:rsidR="00E26541" w:rsidRPr="00512C86">
        <w:rPr>
          <w:rFonts w:ascii="Arial" w:hAnsi="Arial" w:cs="Arial"/>
        </w:rPr>
        <w:t xml:space="preserve"> concern over the house-to-house drug testing reportedly conducted by police forces in Payatas and nearby barangays in Quezon City, Metro Manila, citing possible human rights violations during its implementation</w:t>
      </w:r>
      <w:r w:rsidR="00E26541">
        <w:rPr>
          <w:rFonts w:ascii="Arial" w:hAnsi="Arial" w:cs="Arial"/>
        </w:rPr>
        <w:t>.</w:t>
      </w:r>
      <w:r w:rsidR="00E26541" w:rsidRPr="00693C9F">
        <w:rPr>
          <w:rStyle w:val="FootnoteReference"/>
          <w:rFonts w:ascii="Arial" w:hAnsi="Arial" w:cs="Arial"/>
        </w:rPr>
        <w:t xml:space="preserve"> </w:t>
      </w:r>
      <w:r w:rsidR="00E26541">
        <w:rPr>
          <w:rStyle w:val="FootnoteReference"/>
          <w:rFonts w:ascii="Arial" w:hAnsi="Arial" w:cs="Arial"/>
        </w:rPr>
        <w:footnoteReference w:id="37"/>
      </w:r>
    </w:p>
    <w:p w14:paraId="5414DD08" w14:textId="77777777" w:rsidR="00CD3583" w:rsidRDefault="00CD3583" w:rsidP="00CD3583">
      <w:pPr>
        <w:pStyle w:val="ListParagraph"/>
        <w:spacing w:after="0" w:line="240" w:lineRule="auto"/>
        <w:ind w:left="1077" w:firstLine="0"/>
        <w:rPr>
          <w:rFonts w:ascii="Arial" w:hAnsi="Arial" w:cs="Arial"/>
        </w:rPr>
      </w:pPr>
    </w:p>
    <w:p w14:paraId="2AF05626" w14:textId="2D909A4C" w:rsidR="00394336" w:rsidRDefault="00EA01DC" w:rsidP="003B4A86">
      <w:pPr>
        <w:pStyle w:val="ListParagraph"/>
        <w:numPr>
          <w:ilvl w:val="0"/>
          <w:numId w:val="22"/>
        </w:numPr>
        <w:rPr>
          <w:rFonts w:ascii="Arial" w:hAnsi="Arial" w:cs="Arial"/>
        </w:rPr>
      </w:pPr>
      <w:hyperlink r:id="rId15" w:history="1">
        <w:r w:rsidR="003B4A86" w:rsidRPr="008034A3">
          <w:rPr>
            <w:rStyle w:val="Hyperlink"/>
            <w:rFonts w:ascii="Arial" w:hAnsi="Arial" w:cs="Arial"/>
          </w:rPr>
          <w:t>CHR Concerned Over President Duterte’s Remarks Against UN Special Rapporteur, Human Rights Defenders</w:t>
        </w:r>
      </w:hyperlink>
      <w:r w:rsidR="003B4A86">
        <w:rPr>
          <w:rFonts w:ascii="Arial" w:hAnsi="Arial" w:cs="Arial"/>
        </w:rPr>
        <w:t xml:space="preserve">. </w:t>
      </w:r>
      <w:r w:rsidR="00394336" w:rsidRPr="00394336">
        <w:rPr>
          <w:rFonts w:ascii="Arial" w:hAnsi="Arial" w:cs="Arial"/>
        </w:rPr>
        <w:t>The Commission is concerned over President Rodrigo Roa Duterte’s expletives against UN Special Rapporteur on Extra-Judicial, Summary, or Arbitrary Executions, Agnes Callamard, and other human rights defenders.</w:t>
      </w:r>
      <w:r w:rsidR="00394336" w:rsidRPr="00394336">
        <w:t xml:space="preserve"> </w:t>
      </w:r>
      <w:r w:rsidR="00394336" w:rsidRPr="00394336">
        <w:rPr>
          <w:rFonts w:ascii="Arial" w:hAnsi="Arial" w:cs="Arial"/>
        </w:rPr>
        <w:t>The recent statement from the highest official of the land sends a chilling effect not only to Callamard, but also to human rights defenders who are just ex</w:t>
      </w:r>
      <w:r w:rsidR="00394336" w:rsidRPr="00394336">
        <w:rPr>
          <w:rFonts w:ascii="Arial" w:hAnsi="Arial" w:cs="Arial"/>
        </w:rPr>
        <w:lastRenderedPageBreak/>
        <w:t>pressing their concerns over human rights violations related to the government’s campaign against illegal drugs.</w:t>
      </w:r>
      <w:r w:rsidR="00394336">
        <w:rPr>
          <w:rStyle w:val="FootnoteReference"/>
          <w:rFonts w:ascii="Arial" w:hAnsi="Arial" w:cs="Arial"/>
        </w:rPr>
        <w:footnoteReference w:id="38"/>
      </w:r>
    </w:p>
    <w:p w14:paraId="577EA50D" w14:textId="77777777" w:rsidR="00CD3583" w:rsidRPr="00394336" w:rsidRDefault="00CD3583" w:rsidP="00CD3583">
      <w:pPr>
        <w:pStyle w:val="ListParagraph"/>
        <w:ind w:left="1077" w:firstLine="0"/>
        <w:rPr>
          <w:rFonts w:ascii="Arial" w:hAnsi="Arial" w:cs="Arial"/>
        </w:rPr>
      </w:pPr>
    </w:p>
    <w:p w14:paraId="49288E58" w14:textId="6E757A10" w:rsidR="00CD3583" w:rsidRPr="00E26541" w:rsidRDefault="00EA01DC" w:rsidP="00E26541">
      <w:pPr>
        <w:pStyle w:val="ListParagraph"/>
        <w:numPr>
          <w:ilvl w:val="0"/>
          <w:numId w:val="22"/>
        </w:numPr>
        <w:spacing w:after="0" w:line="240" w:lineRule="auto"/>
        <w:rPr>
          <w:rFonts w:ascii="Arial" w:hAnsi="Arial" w:cs="Arial"/>
        </w:rPr>
      </w:pPr>
      <w:hyperlink r:id="rId16" w:history="1">
        <w:r w:rsidR="00DD3218" w:rsidRPr="008034A3">
          <w:rPr>
            <w:rStyle w:val="Hyperlink"/>
            <w:rFonts w:ascii="Arial" w:hAnsi="Arial" w:cs="Arial"/>
          </w:rPr>
          <w:t>Statement of the Commission on Human Rights on the SWS survey on people’s perception of the extrajudicial killing situation in the country</w:t>
        </w:r>
      </w:hyperlink>
      <w:r w:rsidR="00BD501B">
        <w:rPr>
          <w:rFonts w:ascii="Arial" w:hAnsi="Arial" w:cs="Arial"/>
        </w:rPr>
        <w:t>.</w:t>
      </w:r>
      <w:r w:rsidR="00DD3218">
        <w:rPr>
          <w:rFonts w:ascii="Arial" w:hAnsi="Arial" w:cs="Arial"/>
        </w:rPr>
        <w:t xml:space="preserve"> </w:t>
      </w:r>
      <w:r w:rsidR="00BD501B">
        <w:rPr>
          <w:rFonts w:ascii="Arial" w:hAnsi="Arial" w:cs="Arial"/>
        </w:rPr>
        <w:t>T</w:t>
      </w:r>
      <w:r w:rsidR="00DD3218">
        <w:rPr>
          <w:rFonts w:ascii="Arial" w:hAnsi="Arial" w:cs="Arial"/>
        </w:rPr>
        <w:t xml:space="preserve">he </w:t>
      </w:r>
      <w:r w:rsidR="00DD3218" w:rsidRPr="00DD3218">
        <w:rPr>
          <w:rFonts w:ascii="Arial" w:hAnsi="Arial" w:cs="Arial"/>
        </w:rPr>
        <w:t>Commission echoes the sentiments of the people in the SWS survey showing that majority of Filipinos express fear that they themselves may become victims of extrajudicial killings (EJKs); believe that poor suspects are killed, while rich and powerful ones are spared; and want drug suspects to be arrested alive during police operations.</w:t>
      </w:r>
      <w:r w:rsidR="003B4A86" w:rsidRPr="003B4A86">
        <w:rPr>
          <w:rStyle w:val="FootnoteReference"/>
          <w:rFonts w:ascii="Arial" w:hAnsi="Arial" w:cs="Arial"/>
        </w:rPr>
        <w:t xml:space="preserve"> </w:t>
      </w:r>
      <w:r w:rsidR="003B4A86">
        <w:rPr>
          <w:rStyle w:val="FootnoteReference"/>
          <w:rFonts w:ascii="Arial" w:hAnsi="Arial" w:cs="Arial"/>
        </w:rPr>
        <w:footnoteReference w:id="39"/>
      </w:r>
    </w:p>
    <w:p w14:paraId="40D46EE4" w14:textId="2E058B65" w:rsidR="00512C86" w:rsidRDefault="00512C86" w:rsidP="00CD3583">
      <w:pPr>
        <w:pStyle w:val="ListParagraph"/>
        <w:spacing w:after="0" w:line="240" w:lineRule="auto"/>
        <w:ind w:left="1077" w:firstLine="0"/>
        <w:rPr>
          <w:rFonts w:ascii="Arial" w:hAnsi="Arial" w:cs="Arial"/>
        </w:rPr>
      </w:pPr>
    </w:p>
    <w:p w14:paraId="30AEE71D" w14:textId="58D983F6" w:rsidR="00512C86" w:rsidRDefault="00EA01DC" w:rsidP="00512C86">
      <w:pPr>
        <w:pStyle w:val="ListParagraph"/>
        <w:numPr>
          <w:ilvl w:val="0"/>
          <w:numId w:val="22"/>
        </w:numPr>
        <w:spacing w:after="0" w:line="240" w:lineRule="auto"/>
        <w:rPr>
          <w:rFonts w:ascii="Arial" w:hAnsi="Arial" w:cs="Arial"/>
        </w:rPr>
      </w:pPr>
      <w:hyperlink r:id="rId17" w:history="1">
        <w:r w:rsidR="00512C86" w:rsidRPr="008034A3">
          <w:rPr>
            <w:rStyle w:val="Hyperlink"/>
            <w:rFonts w:ascii="Arial" w:hAnsi="Arial" w:cs="Arial"/>
          </w:rPr>
          <w:t>CHR hopeful with PDEA’s lead in the drug campaig</w:t>
        </w:r>
        <w:r w:rsidR="00CD3583" w:rsidRPr="008034A3">
          <w:rPr>
            <w:rStyle w:val="Hyperlink"/>
            <w:rFonts w:ascii="Arial" w:hAnsi="Arial" w:cs="Arial"/>
          </w:rPr>
          <w:t>n</w:t>
        </w:r>
      </w:hyperlink>
      <w:r w:rsidR="00CD3583">
        <w:rPr>
          <w:rFonts w:ascii="Arial" w:hAnsi="Arial" w:cs="Arial"/>
        </w:rPr>
        <w:t>. The</w:t>
      </w:r>
      <w:r w:rsidR="00512C86" w:rsidRPr="00512C86">
        <w:t xml:space="preserve"> </w:t>
      </w:r>
      <w:r w:rsidR="00512C86" w:rsidRPr="00512C86">
        <w:rPr>
          <w:rFonts w:ascii="Arial" w:hAnsi="Arial" w:cs="Arial"/>
        </w:rPr>
        <w:t>Commission welcomed the decision of the administration to designate the Philippine Drug Enforcement Agency (PDEA) as the lead agency that will carry out the government’s campaign against illegal drugs.</w:t>
      </w:r>
      <w:r w:rsidR="00CD3583" w:rsidRPr="00CD3583">
        <w:rPr>
          <w:rStyle w:val="FootnoteReference"/>
          <w:rFonts w:ascii="Arial" w:hAnsi="Arial" w:cs="Arial"/>
        </w:rPr>
        <w:t xml:space="preserve"> </w:t>
      </w:r>
      <w:r w:rsidR="00CD3583">
        <w:rPr>
          <w:rStyle w:val="FootnoteReference"/>
          <w:rFonts w:ascii="Arial" w:hAnsi="Arial" w:cs="Arial"/>
        </w:rPr>
        <w:footnoteReference w:id="40"/>
      </w:r>
    </w:p>
    <w:p w14:paraId="12164C62" w14:textId="77777777" w:rsidR="00797960" w:rsidRPr="00E26541" w:rsidRDefault="00797960" w:rsidP="00E26541">
      <w:pPr>
        <w:spacing w:after="0" w:line="240" w:lineRule="auto"/>
        <w:ind w:left="0" w:firstLine="0"/>
        <w:rPr>
          <w:rFonts w:ascii="Arial" w:hAnsi="Arial" w:cs="Arial"/>
        </w:rPr>
      </w:pPr>
    </w:p>
    <w:p w14:paraId="6B559DD8" w14:textId="37EB0D7F" w:rsidR="00564782" w:rsidRDefault="00EA01DC" w:rsidP="00564782">
      <w:pPr>
        <w:pStyle w:val="ListParagraph"/>
        <w:numPr>
          <w:ilvl w:val="0"/>
          <w:numId w:val="22"/>
        </w:numPr>
        <w:spacing w:after="0" w:line="240" w:lineRule="auto"/>
        <w:rPr>
          <w:rFonts w:ascii="Arial" w:hAnsi="Arial" w:cs="Arial"/>
        </w:rPr>
      </w:pPr>
      <w:hyperlink r:id="rId18" w:history="1">
        <w:r w:rsidR="00564782" w:rsidRPr="008034A3">
          <w:rPr>
            <w:rStyle w:val="Hyperlink"/>
            <w:rFonts w:ascii="Arial" w:hAnsi="Arial" w:cs="Arial"/>
          </w:rPr>
          <w:t>Statement of the Commission on the directive to submit a list of drug personalities at the barangay level</w:t>
        </w:r>
        <w:r w:rsidR="00797960" w:rsidRPr="008034A3">
          <w:rPr>
            <w:rStyle w:val="Hyperlink"/>
            <w:rFonts w:ascii="Arial" w:hAnsi="Arial" w:cs="Arial"/>
          </w:rPr>
          <w:t>.</w:t>
        </w:r>
      </w:hyperlink>
      <w:r w:rsidR="00797960">
        <w:rPr>
          <w:rFonts w:ascii="Arial" w:hAnsi="Arial" w:cs="Arial"/>
        </w:rPr>
        <w:t xml:space="preserve"> T</w:t>
      </w:r>
      <w:r w:rsidR="00564782" w:rsidRPr="00564782">
        <w:rPr>
          <w:rFonts w:ascii="Arial" w:hAnsi="Arial" w:cs="Arial"/>
        </w:rPr>
        <w:t>he Commission welcomes community-based programs directed to strengthen the government’s effort to curb the issue of illegal drugs and criminality. However, we urge the Department of the Interior and Local Government (DILG), as well as barangay officials, to be more discerning in carrying out the directive to submit a list of suspected drug pushers and criminals in their communities.</w:t>
      </w:r>
      <w:r w:rsidR="00797960" w:rsidRPr="00797960">
        <w:rPr>
          <w:rStyle w:val="FootnoteReference"/>
          <w:rFonts w:ascii="Arial" w:hAnsi="Arial" w:cs="Arial"/>
        </w:rPr>
        <w:t xml:space="preserve"> </w:t>
      </w:r>
      <w:r w:rsidR="00797960">
        <w:rPr>
          <w:rStyle w:val="FootnoteReference"/>
          <w:rFonts w:ascii="Arial" w:hAnsi="Arial" w:cs="Arial"/>
        </w:rPr>
        <w:footnoteReference w:id="41"/>
      </w:r>
    </w:p>
    <w:p w14:paraId="66BDA7E3" w14:textId="77777777" w:rsidR="00797960" w:rsidRDefault="00797960" w:rsidP="00797960">
      <w:pPr>
        <w:pStyle w:val="ListParagraph"/>
        <w:spacing w:after="0" w:line="240" w:lineRule="auto"/>
        <w:ind w:left="1077" w:firstLine="0"/>
        <w:rPr>
          <w:rFonts w:ascii="Arial" w:hAnsi="Arial" w:cs="Arial"/>
        </w:rPr>
      </w:pPr>
    </w:p>
    <w:p w14:paraId="3B2D7C8B" w14:textId="5B181FD9" w:rsidR="001028BB" w:rsidRDefault="00EA01DC" w:rsidP="001028BB">
      <w:pPr>
        <w:pStyle w:val="ListParagraph"/>
        <w:numPr>
          <w:ilvl w:val="0"/>
          <w:numId w:val="22"/>
        </w:numPr>
        <w:spacing w:after="0" w:line="240" w:lineRule="auto"/>
        <w:rPr>
          <w:rFonts w:ascii="Arial" w:hAnsi="Arial" w:cs="Arial"/>
        </w:rPr>
      </w:pPr>
      <w:hyperlink r:id="rId19" w:history="1">
        <w:r w:rsidR="001028BB" w:rsidRPr="00E26541">
          <w:rPr>
            <w:rStyle w:val="Hyperlink"/>
            <w:rFonts w:ascii="Arial" w:hAnsi="Arial" w:cs="Arial"/>
          </w:rPr>
          <w:t>Statement of the Commissio</w:t>
        </w:r>
        <w:r w:rsidR="00797960" w:rsidRPr="00E26541">
          <w:rPr>
            <w:rStyle w:val="Hyperlink"/>
            <w:rFonts w:ascii="Arial" w:hAnsi="Arial" w:cs="Arial"/>
          </w:rPr>
          <w:t>n</w:t>
        </w:r>
        <w:r w:rsidR="001028BB" w:rsidRPr="00E26541">
          <w:rPr>
            <w:rStyle w:val="Hyperlink"/>
            <w:rFonts w:ascii="Arial" w:hAnsi="Arial" w:cs="Arial"/>
          </w:rPr>
          <w:t xml:space="preserve"> on the Supreme Court decision ordering PNP to submit data on anti-illegal drugs campaign</w:t>
        </w:r>
      </w:hyperlink>
      <w:r w:rsidR="00797960">
        <w:rPr>
          <w:rFonts w:ascii="Arial" w:hAnsi="Arial" w:cs="Arial"/>
        </w:rPr>
        <w:t>.</w:t>
      </w:r>
      <w:r w:rsidR="001028BB" w:rsidRPr="001028BB">
        <w:t xml:space="preserve"> </w:t>
      </w:r>
      <w:r w:rsidR="00797960">
        <w:rPr>
          <w:rFonts w:ascii="Arial" w:hAnsi="Arial" w:cs="Arial"/>
        </w:rPr>
        <w:t xml:space="preserve">The </w:t>
      </w:r>
      <w:r w:rsidR="001028BB">
        <w:rPr>
          <w:rFonts w:ascii="Arial" w:hAnsi="Arial" w:cs="Arial"/>
        </w:rPr>
        <w:t xml:space="preserve">Commission </w:t>
      </w:r>
      <w:r w:rsidR="001028BB" w:rsidRPr="001028BB">
        <w:rPr>
          <w:rFonts w:ascii="Arial" w:hAnsi="Arial" w:cs="Arial"/>
        </w:rPr>
        <w:t>welcome</w:t>
      </w:r>
      <w:r w:rsidR="001028BB">
        <w:rPr>
          <w:rFonts w:ascii="Arial" w:hAnsi="Arial" w:cs="Arial"/>
        </w:rPr>
        <w:t>s</w:t>
      </w:r>
      <w:r w:rsidR="001028BB" w:rsidRPr="001028BB">
        <w:rPr>
          <w:rFonts w:ascii="Arial" w:hAnsi="Arial" w:cs="Arial"/>
        </w:rPr>
        <w:t xml:space="preserve"> and support</w:t>
      </w:r>
      <w:r w:rsidR="001028BB">
        <w:rPr>
          <w:rFonts w:ascii="Arial" w:hAnsi="Arial" w:cs="Arial"/>
        </w:rPr>
        <w:t>s</w:t>
      </w:r>
      <w:r w:rsidR="001028BB" w:rsidRPr="001028BB">
        <w:rPr>
          <w:rFonts w:ascii="Arial" w:hAnsi="Arial" w:cs="Arial"/>
        </w:rPr>
        <w:t xml:space="preserve"> the decision of the Supreme Court (SC) ordering the Philippine National Police (PNP) to submit data on the administration’s campaign against illegal drugs. It is a step forward in ensuring that the rule of law still prevails in our country. But, equally important, is on how the decision brings us closer to knowing the truth and pursuing justice for the victims and their families.</w:t>
      </w:r>
      <w:r w:rsidR="00797960" w:rsidRPr="00797960">
        <w:rPr>
          <w:rStyle w:val="FootnoteReference"/>
          <w:rFonts w:ascii="Arial" w:hAnsi="Arial" w:cs="Arial"/>
        </w:rPr>
        <w:t xml:space="preserve"> </w:t>
      </w:r>
      <w:r w:rsidR="00797960">
        <w:rPr>
          <w:rStyle w:val="FootnoteReference"/>
          <w:rFonts w:ascii="Arial" w:hAnsi="Arial" w:cs="Arial"/>
        </w:rPr>
        <w:footnoteReference w:id="42"/>
      </w:r>
    </w:p>
    <w:p w14:paraId="173149C0" w14:textId="77777777" w:rsidR="00797960" w:rsidRDefault="00797960" w:rsidP="00797960">
      <w:pPr>
        <w:pStyle w:val="ListParagraph"/>
        <w:spacing w:after="0" w:line="240" w:lineRule="auto"/>
        <w:ind w:left="1077" w:firstLine="0"/>
        <w:rPr>
          <w:rFonts w:ascii="Arial" w:hAnsi="Arial" w:cs="Arial"/>
        </w:rPr>
      </w:pPr>
    </w:p>
    <w:p w14:paraId="30687DA1" w14:textId="71E2F4BC" w:rsidR="00422D9E" w:rsidRPr="00394336" w:rsidRDefault="00EA01DC" w:rsidP="00422D9E">
      <w:pPr>
        <w:pStyle w:val="ListParagraph"/>
        <w:numPr>
          <w:ilvl w:val="0"/>
          <w:numId w:val="22"/>
        </w:numPr>
        <w:spacing w:after="0" w:line="240" w:lineRule="auto"/>
        <w:rPr>
          <w:rFonts w:ascii="Arial" w:hAnsi="Arial" w:cs="Arial"/>
        </w:rPr>
      </w:pPr>
      <w:hyperlink r:id="rId20" w:history="1">
        <w:r w:rsidR="00422D9E" w:rsidRPr="00E26541">
          <w:rPr>
            <w:rStyle w:val="Hyperlink"/>
            <w:rFonts w:ascii="Arial" w:hAnsi="Arial" w:cs="Arial"/>
          </w:rPr>
          <w:t>Statement of the Commission on Human Rights on the plan of PDEA</w:t>
        </w:r>
      </w:hyperlink>
      <w:r w:rsidR="00422D9E" w:rsidRPr="00422D9E">
        <w:rPr>
          <w:rFonts w:ascii="Arial" w:hAnsi="Arial" w:cs="Arial"/>
        </w:rPr>
        <w:t xml:space="preserve"> to release the names of barangay officials who are allegedly involved in the illegal drug trade</w:t>
      </w:r>
      <w:r w:rsidR="007D71E4">
        <w:rPr>
          <w:rFonts w:ascii="Arial" w:hAnsi="Arial" w:cs="Arial"/>
        </w:rPr>
        <w:t>.</w:t>
      </w:r>
      <w:r w:rsidR="00797960" w:rsidRPr="00797960">
        <w:rPr>
          <w:rStyle w:val="FootnoteReference"/>
          <w:rFonts w:ascii="Arial" w:hAnsi="Arial" w:cs="Arial"/>
        </w:rPr>
        <w:t xml:space="preserve"> </w:t>
      </w:r>
      <w:r w:rsidR="00797960">
        <w:rPr>
          <w:rStyle w:val="FootnoteReference"/>
          <w:rFonts w:ascii="Arial" w:hAnsi="Arial" w:cs="Arial"/>
        </w:rPr>
        <w:footnoteReference w:id="43"/>
      </w:r>
    </w:p>
    <w:p w14:paraId="6CB30350" w14:textId="77777777" w:rsidR="00394336" w:rsidRPr="00394336" w:rsidRDefault="00394336" w:rsidP="00394336">
      <w:pPr>
        <w:pStyle w:val="ListParagraph"/>
        <w:spacing w:after="0" w:line="240" w:lineRule="auto"/>
        <w:ind w:left="1077" w:firstLine="0"/>
        <w:rPr>
          <w:rFonts w:ascii="Arial" w:hAnsi="Arial" w:cs="Arial"/>
        </w:rPr>
      </w:pPr>
    </w:p>
    <w:p w14:paraId="4FD1FF20" w14:textId="58DBF409" w:rsidR="003A7C23" w:rsidRPr="00E26541" w:rsidRDefault="00E26541" w:rsidP="003A7C23">
      <w:pPr>
        <w:spacing w:after="0" w:line="240" w:lineRule="auto"/>
        <w:ind w:left="357" w:firstLine="0"/>
        <w:rPr>
          <w:rFonts w:ascii="Arial" w:hAnsi="Arial" w:cs="Arial"/>
          <w:b/>
        </w:rPr>
      </w:pPr>
      <w:r w:rsidRPr="00E26541">
        <w:rPr>
          <w:rFonts w:ascii="Arial" w:hAnsi="Arial" w:cs="Arial"/>
          <w:b/>
        </w:rPr>
        <w:t>Advisories</w:t>
      </w:r>
      <w:r w:rsidR="00DB19B7">
        <w:rPr>
          <w:rFonts w:ascii="Arial" w:hAnsi="Arial" w:cs="Arial"/>
          <w:b/>
        </w:rPr>
        <w:t xml:space="preserve"> from the Commission</w:t>
      </w:r>
      <w:r w:rsidRPr="00E26541">
        <w:rPr>
          <w:rFonts w:ascii="Arial" w:hAnsi="Arial" w:cs="Arial"/>
          <w:b/>
        </w:rPr>
        <w:t xml:space="preserve"> relevant to the anti-drug campaign</w:t>
      </w:r>
    </w:p>
    <w:p w14:paraId="72BD7E30" w14:textId="43673020" w:rsidR="00394336" w:rsidRDefault="00394336" w:rsidP="003A7C23">
      <w:pPr>
        <w:spacing w:after="0" w:line="240" w:lineRule="auto"/>
        <w:ind w:left="357" w:firstLine="0"/>
        <w:rPr>
          <w:rFonts w:ascii="Arial" w:hAnsi="Arial" w:cs="Arial"/>
        </w:rPr>
      </w:pPr>
    </w:p>
    <w:p w14:paraId="3E32E67D" w14:textId="77777777" w:rsidR="002870DE" w:rsidRDefault="002870DE" w:rsidP="002870DE">
      <w:pPr>
        <w:pStyle w:val="ListParagraph"/>
        <w:spacing w:after="0" w:line="240" w:lineRule="auto"/>
        <w:ind w:left="1077" w:firstLine="0"/>
        <w:rPr>
          <w:rFonts w:ascii="Arial" w:hAnsi="Arial" w:cs="Arial"/>
        </w:rPr>
      </w:pPr>
    </w:p>
    <w:p w14:paraId="1F99D64D" w14:textId="4F5C1628" w:rsidR="00FD5AD5" w:rsidRPr="00FD5AD5" w:rsidRDefault="00EA01DC" w:rsidP="00FD5AD5">
      <w:pPr>
        <w:pStyle w:val="ListParagraph"/>
        <w:numPr>
          <w:ilvl w:val="0"/>
          <w:numId w:val="22"/>
        </w:numPr>
        <w:spacing w:after="0" w:line="240" w:lineRule="auto"/>
        <w:rPr>
          <w:rFonts w:ascii="Arial" w:hAnsi="Arial" w:cs="Arial"/>
        </w:rPr>
      </w:pPr>
      <w:hyperlink r:id="rId21" w:history="1">
        <w:r w:rsidR="00676FB4" w:rsidRPr="001D22A8">
          <w:rPr>
            <w:rStyle w:val="Hyperlink"/>
            <w:rFonts w:ascii="Arial" w:hAnsi="Arial" w:cs="Arial"/>
          </w:rPr>
          <w:t>In Defense on the Right to Life: International Law and Death Penalty in the Philippines</w:t>
        </w:r>
      </w:hyperlink>
      <w:r w:rsidR="00676FB4">
        <w:rPr>
          <w:rFonts w:ascii="Arial" w:hAnsi="Arial" w:cs="Arial"/>
        </w:rPr>
        <w:t xml:space="preserve">. The study </w:t>
      </w:r>
      <w:r w:rsidR="001D22A8">
        <w:rPr>
          <w:rFonts w:ascii="Arial" w:hAnsi="Arial" w:cs="Arial"/>
        </w:rPr>
        <w:t>highlights among others, that “a</w:t>
      </w:r>
      <w:r w:rsidR="001D22A8" w:rsidRPr="001D22A8">
        <w:rPr>
          <w:rFonts w:ascii="Arial" w:hAnsi="Arial" w:cs="Arial"/>
        </w:rPr>
        <w:t>part from international law instruments prohibiting the application of the death penalty</w:t>
      </w:r>
      <w:r w:rsidR="001D22A8">
        <w:rPr>
          <w:rFonts w:ascii="Arial" w:hAnsi="Arial" w:cs="Arial"/>
        </w:rPr>
        <w:t xml:space="preserve"> </w:t>
      </w:r>
      <w:r w:rsidR="001D22A8" w:rsidRPr="001D22A8">
        <w:rPr>
          <w:rFonts w:ascii="Arial" w:hAnsi="Arial" w:cs="Arial"/>
        </w:rPr>
        <w:t>to narcotics crimes, the Philippines is also a party to two treaties dealing specifically</w:t>
      </w:r>
      <w:r w:rsidR="001D22A8">
        <w:rPr>
          <w:rFonts w:ascii="Arial" w:hAnsi="Arial" w:cs="Arial"/>
        </w:rPr>
        <w:t xml:space="preserve"> </w:t>
      </w:r>
      <w:r w:rsidR="001D22A8" w:rsidRPr="001D22A8">
        <w:rPr>
          <w:rFonts w:ascii="Arial" w:hAnsi="Arial" w:cs="Arial"/>
        </w:rPr>
        <w:t>with these crimes</w:t>
      </w:r>
      <w:r w:rsidR="00FD5AD5">
        <w:rPr>
          <w:rFonts w:ascii="Arial" w:hAnsi="Arial" w:cs="Arial"/>
        </w:rPr>
        <w:t xml:space="preserve">: </w:t>
      </w:r>
      <w:r w:rsidR="00FD5AD5" w:rsidRPr="00FD5AD5">
        <w:rPr>
          <w:rFonts w:ascii="Arial" w:hAnsi="Arial" w:cs="Arial"/>
        </w:rPr>
        <w:t>1961 Single Convention on Narcotic Drugs and the 1988 United Nations</w:t>
      </w:r>
      <w:r w:rsidR="00FD5AD5">
        <w:rPr>
          <w:rFonts w:ascii="Arial" w:hAnsi="Arial" w:cs="Arial"/>
        </w:rPr>
        <w:t xml:space="preserve"> </w:t>
      </w:r>
      <w:r w:rsidR="00FD5AD5" w:rsidRPr="00FD5AD5">
        <w:rPr>
          <w:rFonts w:ascii="Arial" w:hAnsi="Arial" w:cs="Arial"/>
        </w:rPr>
        <w:t>Convention against Illicit Traffic in Narcotic Drugs and Psychotropic Substances</w:t>
      </w:r>
      <w:r w:rsidR="00FD5AD5">
        <w:rPr>
          <w:rFonts w:ascii="Arial" w:hAnsi="Arial" w:cs="Arial"/>
        </w:rPr>
        <w:t>. P</w:t>
      </w:r>
      <w:r w:rsidR="00FD5AD5" w:rsidRPr="00FD5AD5">
        <w:rPr>
          <w:rFonts w:ascii="Arial" w:hAnsi="Arial" w:cs="Arial"/>
        </w:rPr>
        <w:t>roper interpretation of these treaties in a manner consistent with the Vienna Convention on the Law of Treaties makes it clear that the Philippines has agreed that narcotics crimes should not subject to the death penalty.”</w:t>
      </w:r>
      <w:r w:rsidR="00FD5AD5">
        <w:rPr>
          <w:rStyle w:val="FootnoteReference"/>
          <w:rFonts w:ascii="Arial" w:hAnsi="Arial" w:cs="Arial"/>
        </w:rPr>
        <w:footnoteReference w:id="44"/>
      </w:r>
    </w:p>
    <w:p w14:paraId="34367397" w14:textId="77777777" w:rsidR="002870DE" w:rsidRPr="00FD5AD5" w:rsidRDefault="002870DE" w:rsidP="00FD5AD5">
      <w:pPr>
        <w:spacing w:after="0" w:line="240" w:lineRule="auto"/>
        <w:ind w:left="0" w:firstLine="0"/>
        <w:rPr>
          <w:rFonts w:ascii="Arial" w:hAnsi="Arial" w:cs="Arial"/>
        </w:rPr>
      </w:pPr>
    </w:p>
    <w:p w14:paraId="25D1B2C4" w14:textId="342FCDD3" w:rsidR="002870DE" w:rsidRDefault="00EA01DC" w:rsidP="002870DE">
      <w:pPr>
        <w:pStyle w:val="ListParagraph"/>
        <w:numPr>
          <w:ilvl w:val="0"/>
          <w:numId w:val="22"/>
        </w:numPr>
        <w:rPr>
          <w:rFonts w:ascii="Arial" w:hAnsi="Arial" w:cs="Arial"/>
        </w:rPr>
      </w:pPr>
      <w:hyperlink r:id="rId22" w:history="1">
        <w:r w:rsidR="002870DE" w:rsidRPr="002870DE">
          <w:rPr>
            <w:rStyle w:val="Hyperlink"/>
            <w:rFonts w:ascii="Arial" w:hAnsi="Arial" w:cs="Arial"/>
          </w:rPr>
          <w:t>Denunciation of and Withdrawal from International Treaties to Reimpose the Death Penalty (CHR A2017-002)</w:t>
        </w:r>
      </w:hyperlink>
      <w:r w:rsidR="002870DE" w:rsidRPr="002870DE">
        <w:rPr>
          <w:rFonts w:ascii="Arial" w:hAnsi="Arial" w:cs="Arial"/>
        </w:rPr>
        <w:t>.</w:t>
      </w:r>
      <w:r w:rsidR="002870DE">
        <w:rPr>
          <w:rFonts w:ascii="Arial" w:hAnsi="Arial" w:cs="Arial"/>
        </w:rPr>
        <w:t xml:space="preserve"> </w:t>
      </w:r>
      <w:r w:rsidR="002870DE" w:rsidRPr="002870DE">
        <w:rPr>
          <w:rFonts w:ascii="Arial" w:hAnsi="Arial" w:cs="Arial"/>
        </w:rPr>
        <w:t xml:space="preserve">Having ratified the ICCPR and its Second Optional Protocol, under which the Philippines expressly undertook to abolish the death penalty, the Philippines must adhere to its commitment or invite unwelcome consequences in the long run if it reimposes the death penalty. Considering that the Second Optional Protocol and its very nature does not allow for withdrawal, to denounce or withdraw from the treaty is not and should not be an option for the government. </w:t>
      </w:r>
      <w:r w:rsidR="002870DE">
        <w:rPr>
          <w:rStyle w:val="FootnoteReference"/>
          <w:rFonts w:ascii="Arial" w:hAnsi="Arial" w:cs="Arial"/>
        </w:rPr>
        <w:footnoteReference w:id="45"/>
      </w:r>
    </w:p>
    <w:p w14:paraId="28F7E49B" w14:textId="77777777" w:rsidR="00A66975" w:rsidRDefault="00A66975" w:rsidP="00A66975">
      <w:pPr>
        <w:pStyle w:val="ListParagraph"/>
        <w:ind w:left="1077" w:firstLine="0"/>
        <w:rPr>
          <w:rFonts w:ascii="Arial" w:hAnsi="Arial" w:cs="Arial"/>
        </w:rPr>
      </w:pPr>
    </w:p>
    <w:p w14:paraId="4909D6B0" w14:textId="77777777" w:rsidR="00A66975" w:rsidRDefault="00EA01DC" w:rsidP="00A66975">
      <w:pPr>
        <w:pStyle w:val="ListParagraph"/>
        <w:numPr>
          <w:ilvl w:val="0"/>
          <w:numId w:val="22"/>
        </w:numPr>
        <w:spacing w:after="0" w:line="240" w:lineRule="auto"/>
        <w:rPr>
          <w:rFonts w:ascii="Arial" w:hAnsi="Arial" w:cs="Arial"/>
        </w:rPr>
      </w:pPr>
      <w:hyperlink r:id="rId23" w:history="1">
        <w:r w:rsidR="00A66975" w:rsidRPr="00E26541">
          <w:rPr>
            <w:rStyle w:val="Hyperlink"/>
            <w:rFonts w:ascii="Arial" w:hAnsi="Arial" w:cs="Arial"/>
          </w:rPr>
          <w:t>DILG Proposal to Use Stickers to Identify Drug Free Homes (CHR A2017-005)</w:t>
        </w:r>
      </w:hyperlink>
      <w:r w:rsidR="00A66975">
        <w:rPr>
          <w:rFonts w:ascii="Arial" w:hAnsi="Arial" w:cs="Arial"/>
        </w:rPr>
        <w:t>.</w:t>
      </w:r>
      <w:r w:rsidR="00A66975" w:rsidRPr="00564782">
        <w:t xml:space="preserve"> </w:t>
      </w:r>
      <w:r w:rsidR="00A66975">
        <w:rPr>
          <w:rFonts w:ascii="Arial" w:hAnsi="Arial" w:cs="Arial"/>
        </w:rPr>
        <w:t>T</w:t>
      </w:r>
      <w:r w:rsidR="00A66975" w:rsidRPr="00E26541">
        <w:rPr>
          <w:rFonts w:ascii="Arial" w:hAnsi="Arial" w:cs="Arial"/>
        </w:rPr>
        <w:t>he Commission expressed serious concern over DILG’s plan of identifying drug-free homes in</w:t>
      </w:r>
      <w:r w:rsidR="00A66975">
        <w:rPr>
          <w:rFonts w:ascii="Arial" w:hAnsi="Arial" w:cs="Arial"/>
        </w:rPr>
        <w:t xml:space="preserve"> </w:t>
      </w:r>
      <w:r w:rsidR="00A66975" w:rsidRPr="00E26541">
        <w:rPr>
          <w:rFonts w:ascii="Arial" w:hAnsi="Arial" w:cs="Arial"/>
        </w:rPr>
        <w:t>as</w:t>
      </w:r>
      <w:r w:rsidR="00A66975">
        <w:rPr>
          <w:rFonts w:ascii="Arial" w:hAnsi="Arial" w:cs="Arial"/>
        </w:rPr>
        <w:t xml:space="preserve"> </w:t>
      </w:r>
      <w:r w:rsidR="00A66975" w:rsidRPr="00E26541">
        <w:rPr>
          <w:rFonts w:ascii="Arial" w:hAnsi="Arial" w:cs="Arial"/>
        </w:rPr>
        <w:t xml:space="preserve">much as it could amount to a violation of an individual’s human </w:t>
      </w:r>
      <w:r w:rsidR="00A66975" w:rsidRPr="00E26541">
        <w:rPr>
          <w:rFonts w:ascii="Arial" w:hAnsi="Arial" w:cs="Arial"/>
        </w:rPr>
        <w:lastRenderedPageBreak/>
        <w:t>rights to due process of law and right to privacy enshrined under the Constitution and international human rights instruments.</w:t>
      </w:r>
      <w:r w:rsidR="00A66975">
        <w:rPr>
          <w:rStyle w:val="FootnoteReference"/>
          <w:rFonts w:ascii="Arial" w:hAnsi="Arial" w:cs="Arial"/>
        </w:rPr>
        <w:footnoteReference w:id="46"/>
      </w:r>
    </w:p>
    <w:p w14:paraId="347F561F" w14:textId="4EF8B61A" w:rsidR="002870DE" w:rsidRDefault="002870DE" w:rsidP="007D71C4">
      <w:pPr>
        <w:spacing w:after="0" w:line="240" w:lineRule="auto"/>
        <w:ind w:left="0" w:firstLine="0"/>
        <w:rPr>
          <w:rFonts w:ascii="Arial" w:hAnsi="Arial" w:cs="Arial"/>
        </w:rPr>
      </w:pPr>
    </w:p>
    <w:p w14:paraId="366EE1A2" w14:textId="001F92B6" w:rsidR="007D71C4" w:rsidRDefault="007D71C4" w:rsidP="007D71C4">
      <w:pPr>
        <w:spacing w:after="0" w:line="240" w:lineRule="auto"/>
        <w:ind w:left="0" w:firstLine="0"/>
        <w:rPr>
          <w:rFonts w:ascii="Arial" w:hAnsi="Arial" w:cs="Arial"/>
        </w:rPr>
      </w:pPr>
    </w:p>
    <w:p w14:paraId="564C0371" w14:textId="4A7591F5" w:rsidR="007D71C4" w:rsidRDefault="007D71C4" w:rsidP="007D71C4">
      <w:pPr>
        <w:spacing w:after="0" w:line="240" w:lineRule="auto"/>
        <w:ind w:left="0" w:firstLine="0"/>
        <w:rPr>
          <w:rFonts w:ascii="Arial" w:hAnsi="Arial" w:cs="Arial"/>
          <w:b/>
        </w:rPr>
      </w:pPr>
      <w:r w:rsidRPr="007D71C4">
        <w:rPr>
          <w:rFonts w:ascii="Arial" w:hAnsi="Arial" w:cs="Arial"/>
          <w:b/>
        </w:rPr>
        <w:t>Drug Issues, Different Perspectives: A Policy Forum</w:t>
      </w:r>
      <w:r w:rsidR="00423454">
        <w:rPr>
          <w:rStyle w:val="FootnoteReference"/>
          <w:rFonts w:ascii="Arial" w:hAnsi="Arial" w:cs="Arial"/>
          <w:b/>
        </w:rPr>
        <w:footnoteReference w:id="47"/>
      </w:r>
    </w:p>
    <w:p w14:paraId="6F7C65A2" w14:textId="1253DE22" w:rsidR="007D71C4" w:rsidRDefault="007D71C4" w:rsidP="007D71C4">
      <w:pPr>
        <w:spacing w:after="0" w:line="240" w:lineRule="auto"/>
        <w:ind w:left="0" w:firstLine="0"/>
        <w:rPr>
          <w:rFonts w:ascii="Arial" w:hAnsi="Arial" w:cs="Arial"/>
          <w:b/>
        </w:rPr>
      </w:pPr>
    </w:p>
    <w:p w14:paraId="76C5B120" w14:textId="681E7931" w:rsidR="00BB4E2B" w:rsidRPr="00BB4E2B" w:rsidRDefault="00BB4E2B" w:rsidP="007724BE">
      <w:pPr>
        <w:pStyle w:val="ListParagraph"/>
        <w:numPr>
          <w:ilvl w:val="0"/>
          <w:numId w:val="22"/>
        </w:numPr>
        <w:spacing w:after="0" w:line="240" w:lineRule="auto"/>
        <w:rPr>
          <w:rFonts w:ascii="Arial" w:hAnsi="Arial" w:cs="Arial"/>
        </w:rPr>
      </w:pPr>
      <w:r w:rsidRPr="00BB4E2B">
        <w:rPr>
          <w:rFonts w:ascii="Arial" w:hAnsi="Arial" w:cs="Arial"/>
        </w:rPr>
        <w:t xml:space="preserve">On 5-6 May 2017, </w:t>
      </w:r>
      <w:r w:rsidR="007724BE" w:rsidRPr="007724BE">
        <w:rPr>
          <w:rFonts w:ascii="Arial" w:hAnsi="Arial" w:cs="Arial"/>
        </w:rPr>
        <w:t>Free Legal Assistance Group (FLAG) Anti-Death Penalty Task Force</w:t>
      </w:r>
      <w:r w:rsidR="007724BE">
        <w:rPr>
          <w:rStyle w:val="FootnoteReference"/>
          <w:rFonts w:ascii="Arial" w:hAnsi="Arial" w:cs="Arial"/>
        </w:rPr>
        <w:footnoteReference w:id="48"/>
      </w:r>
      <w:r w:rsidR="007724BE" w:rsidRPr="007724BE">
        <w:rPr>
          <w:rFonts w:ascii="Arial" w:hAnsi="Arial" w:cs="Arial"/>
        </w:rPr>
        <w:t xml:space="preserve"> and the Office of the Chancellor, University of the Philippines and the Institute of Human Rights, University of the Philippines Law</w:t>
      </w:r>
      <w:r w:rsidR="007724BE">
        <w:rPr>
          <w:rFonts w:ascii="Arial" w:hAnsi="Arial" w:cs="Arial"/>
        </w:rPr>
        <w:t xml:space="preserve"> </w:t>
      </w:r>
      <w:r w:rsidR="00492E71">
        <w:rPr>
          <w:rFonts w:ascii="Arial" w:hAnsi="Arial" w:cs="Arial"/>
        </w:rPr>
        <w:t xml:space="preserve">Center </w:t>
      </w:r>
      <w:r w:rsidR="007724BE">
        <w:rPr>
          <w:rFonts w:ascii="Arial" w:hAnsi="Arial" w:cs="Arial"/>
        </w:rPr>
        <w:t xml:space="preserve">gathered </w:t>
      </w:r>
      <w:r w:rsidRPr="00BB4E2B">
        <w:rPr>
          <w:rFonts w:ascii="Arial" w:hAnsi="Arial" w:cs="Arial"/>
        </w:rPr>
        <w:t xml:space="preserve">eminent speakers and experts from all over the world </w:t>
      </w:r>
      <w:r w:rsidR="007724BE">
        <w:rPr>
          <w:rFonts w:ascii="Arial" w:hAnsi="Arial" w:cs="Arial"/>
        </w:rPr>
        <w:t xml:space="preserve">to </w:t>
      </w:r>
      <w:r w:rsidRPr="00BB4E2B">
        <w:rPr>
          <w:rFonts w:ascii="Arial" w:hAnsi="Arial" w:cs="Arial"/>
        </w:rPr>
        <w:t>convene in an academic forum</w:t>
      </w:r>
      <w:r w:rsidR="004272B9">
        <w:rPr>
          <w:rFonts w:ascii="Arial" w:hAnsi="Arial" w:cs="Arial"/>
        </w:rPr>
        <w:t xml:space="preserve"> in Manila</w:t>
      </w:r>
      <w:r w:rsidRPr="00BB4E2B">
        <w:rPr>
          <w:rFonts w:ascii="Arial" w:hAnsi="Arial" w:cs="Arial"/>
        </w:rPr>
        <w:t xml:space="preserve"> that discussed the role of science, law enforcement, economics, human rights and harm reduction in understanding and developing drug policy. The forum highlighted the following:</w:t>
      </w:r>
    </w:p>
    <w:p w14:paraId="19291515" w14:textId="77777777" w:rsidR="00BB4E2B" w:rsidRPr="00BB4E2B" w:rsidRDefault="00BB4E2B" w:rsidP="00BB4E2B">
      <w:pPr>
        <w:spacing w:after="0" w:line="240" w:lineRule="auto"/>
        <w:ind w:left="0" w:firstLine="0"/>
        <w:rPr>
          <w:rFonts w:ascii="Arial" w:hAnsi="Arial" w:cs="Arial"/>
        </w:rPr>
      </w:pPr>
    </w:p>
    <w:p w14:paraId="367D6F95" w14:textId="7230E896" w:rsidR="007D71C4" w:rsidRDefault="00BB4E2B" w:rsidP="00BB4E2B">
      <w:pPr>
        <w:pStyle w:val="ListParagraph"/>
        <w:numPr>
          <w:ilvl w:val="0"/>
          <w:numId w:val="30"/>
        </w:numPr>
        <w:spacing w:after="0" w:line="240" w:lineRule="auto"/>
        <w:rPr>
          <w:rFonts w:ascii="Arial" w:hAnsi="Arial" w:cs="Arial"/>
        </w:rPr>
      </w:pPr>
      <w:r w:rsidRPr="00BB4E2B">
        <w:rPr>
          <w:rFonts w:ascii="Arial" w:hAnsi="Arial" w:cs="Arial"/>
        </w:rPr>
        <w:t>prohibition and policing interventions in drug markets are actually self-defeating as they have negative effects such as violence, expensive, and do not</w:t>
      </w:r>
      <w:r w:rsidR="00423454">
        <w:rPr>
          <w:rFonts w:ascii="Arial" w:hAnsi="Arial" w:cs="Arial"/>
        </w:rPr>
        <w:t xml:space="preserve"> eradicate the market;</w:t>
      </w:r>
    </w:p>
    <w:p w14:paraId="5957C038" w14:textId="5C41CC35" w:rsidR="00423454" w:rsidRDefault="00423454" w:rsidP="00BB4E2B">
      <w:pPr>
        <w:pStyle w:val="ListParagraph"/>
        <w:numPr>
          <w:ilvl w:val="0"/>
          <w:numId w:val="30"/>
        </w:numPr>
        <w:spacing w:after="0" w:line="240" w:lineRule="auto"/>
        <w:rPr>
          <w:rFonts w:ascii="Arial" w:hAnsi="Arial" w:cs="Arial"/>
        </w:rPr>
      </w:pPr>
      <w:r>
        <w:rPr>
          <w:rFonts w:ascii="Arial" w:hAnsi="Arial" w:cs="Arial"/>
        </w:rPr>
        <w:t>killings continue unabated, and the war on drugs waged by State forces is done at the expense of the most basic human rights without a single law enforcer being held accountable; and</w:t>
      </w:r>
    </w:p>
    <w:p w14:paraId="6343F148" w14:textId="664E19AC" w:rsidR="00423454" w:rsidRDefault="00423454" w:rsidP="00BB4E2B">
      <w:pPr>
        <w:pStyle w:val="ListParagraph"/>
        <w:numPr>
          <w:ilvl w:val="0"/>
          <w:numId w:val="30"/>
        </w:numPr>
        <w:spacing w:after="0" w:line="240" w:lineRule="auto"/>
        <w:rPr>
          <w:rFonts w:ascii="Arial" w:hAnsi="Arial" w:cs="Arial"/>
        </w:rPr>
      </w:pPr>
      <w:r>
        <w:rPr>
          <w:rFonts w:ascii="Arial" w:hAnsi="Arial" w:cs="Arial"/>
        </w:rPr>
        <w:t xml:space="preserve">scientific, evidenced-based and human rights-based policy to drug use is most sought-after given the failure of the war on drugs in countries such as Mexico and Thailand, which failures also gave rise to the assessment that harm reduction and shift to a public health approach rather than a punitive and prohibitionist approach must be advocated. </w:t>
      </w:r>
    </w:p>
    <w:p w14:paraId="5D3BD3AB" w14:textId="44D70285" w:rsidR="00921CF7" w:rsidRDefault="00921CF7" w:rsidP="00921CF7">
      <w:pPr>
        <w:spacing w:after="0" w:line="240" w:lineRule="auto"/>
        <w:ind w:left="1077" w:firstLine="0"/>
        <w:rPr>
          <w:rFonts w:ascii="Arial" w:hAnsi="Arial" w:cs="Arial"/>
        </w:rPr>
      </w:pPr>
    </w:p>
    <w:p w14:paraId="078893D8" w14:textId="3D3992A0" w:rsidR="00921CF7" w:rsidRPr="00921CF7" w:rsidRDefault="00921CF7" w:rsidP="00B739B3">
      <w:pPr>
        <w:pStyle w:val="ListParagraph"/>
        <w:numPr>
          <w:ilvl w:val="0"/>
          <w:numId w:val="22"/>
        </w:numPr>
        <w:spacing w:after="0" w:line="240" w:lineRule="auto"/>
        <w:rPr>
          <w:rFonts w:ascii="Arial" w:hAnsi="Arial" w:cs="Arial"/>
        </w:rPr>
      </w:pPr>
      <w:r>
        <w:rPr>
          <w:rFonts w:ascii="Arial" w:hAnsi="Arial" w:cs="Arial"/>
        </w:rPr>
        <w:t>An infographic of the forum</w:t>
      </w:r>
      <w:r w:rsidR="00EA4885">
        <w:rPr>
          <w:rFonts w:ascii="Arial" w:hAnsi="Arial" w:cs="Arial"/>
        </w:rPr>
        <w:t xml:space="preserve"> summary</w:t>
      </w:r>
      <w:r>
        <w:rPr>
          <w:rFonts w:ascii="Arial" w:hAnsi="Arial" w:cs="Arial"/>
        </w:rPr>
        <w:t xml:space="preserve"> can be found on the webpage of </w:t>
      </w:r>
      <w:r w:rsidRPr="00921CF7">
        <w:rPr>
          <w:rFonts w:ascii="Arial" w:hAnsi="Arial" w:cs="Arial"/>
        </w:rPr>
        <w:t>NoBox Transitions Foundation Inc</w:t>
      </w:r>
      <w:r>
        <w:rPr>
          <w:rFonts w:ascii="Arial" w:hAnsi="Arial" w:cs="Arial"/>
        </w:rPr>
        <w:t xml:space="preserve"> (NoBox Philippines) :</w:t>
      </w:r>
      <w:r w:rsidR="00B739B3">
        <w:rPr>
          <w:rFonts w:ascii="Arial" w:hAnsi="Arial" w:cs="Arial"/>
        </w:rPr>
        <w:t xml:space="preserve"> </w:t>
      </w:r>
      <w:hyperlink r:id="rId24" w:history="1">
        <w:r w:rsidR="00B739B3" w:rsidRPr="00BF3CCA">
          <w:rPr>
            <w:rStyle w:val="Hyperlink"/>
            <w:rFonts w:ascii="Arial" w:hAnsi="Arial" w:cs="Arial"/>
          </w:rPr>
          <w:t>https://nobox.ph/post/policy-forum-summary</w:t>
        </w:r>
      </w:hyperlink>
      <w:r w:rsidR="00B739B3">
        <w:rPr>
          <w:rFonts w:ascii="Arial" w:hAnsi="Arial" w:cs="Arial"/>
        </w:rPr>
        <w:t xml:space="preserve"> </w:t>
      </w:r>
    </w:p>
    <w:sectPr w:rsidR="00921CF7" w:rsidRPr="00921CF7" w:rsidSect="003D035B">
      <w:footerReference w:type="default" r:id="rId2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F958B" w14:textId="77777777" w:rsidR="00585752" w:rsidRDefault="00585752" w:rsidP="003D035B">
      <w:pPr>
        <w:spacing w:after="0" w:line="240" w:lineRule="auto"/>
      </w:pPr>
      <w:r>
        <w:separator/>
      </w:r>
    </w:p>
  </w:endnote>
  <w:endnote w:type="continuationSeparator" w:id="0">
    <w:p w14:paraId="1B51EB05" w14:textId="77777777" w:rsidR="00585752" w:rsidRDefault="00585752" w:rsidP="003D0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583065"/>
      <w:docPartObj>
        <w:docPartGallery w:val="Page Numbers (Bottom of Page)"/>
        <w:docPartUnique/>
      </w:docPartObj>
    </w:sdtPr>
    <w:sdtEndPr>
      <w:rPr>
        <w:color w:val="7F7F7F" w:themeColor="background1" w:themeShade="7F"/>
        <w:spacing w:val="60"/>
      </w:rPr>
    </w:sdtEndPr>
    <w:sdtContent>
      <w:p w14:paraId="361AEFAB" w14:textId="2874E171" w:rsidR="00CA7FCB" w:rsidRDefault="00CA7FCB">
        <w:pPr>
          <w:pStyle w:val="Footer"/>
          <w:pBdr>
            <w:top w:val="single" w:sz="4" w:space="1" w:color="D9D9D9" w:themeColor="background1" w:themeShade="D9"/>
          </w:pBdr>
          <w:jc w:val="right"/>
        </w:pPr>
        <w:r>
          <w:fldChar w:fldCharType="begin"/>
        </w:r>
        <w:r>
          <w:instrText xml:space="preserve"> PAGE   \* MERGEFORMAT </w:instrText>
        </w:r>
        <w:r>
          <w:fldChar w:fldCharType="separate"/>
        </w:r>
        <w:r w:rsidR="00EA01DC">
          <w:rPr>
            <w:noProof/>
          </w:rPr>
          <w:t>2</w:t>
        </w:r>
        <w:r>
          <w:rPr>
            <w:noProof/>
          </w:rPr>
          <w:fldChar w:fldCharType="end"/>
        </w:r>
        <w:r>
          <w:t xml:space="preserve"> | </w:t>
        </w:r>
        <w:r>
          <w:rPr>
            <w:color w:val="7F7F7F" w:themeColor="background1" w:themeShade="7F"/>
            <w:spacing w:val="60"/>
          </w:rPr>
          <w:t>Page</w:t>
        </w:r>
      </w:p>
    </w:sdtContent>
  </w:sdt>
  <w:p w14:paraId="073AE95C" w14:textId="77777777" w:rsidR="00CA7FCB" w:rsidRDefault="00CA7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8E4EA" w14:textId="77777777" w:rsidR="00585752" w:rsidRDefault="00585752" w:rsidP="003D035B">
      <w:pPr>
        <w:spacing w:after="0" w:line="240" w:lineRule="auto"/>
      </w:pPr>
      <w:r>
        <w:separator/>
      </w:r>
    </w:p>
  </w:footnote>
  <w:footnote w:type="continuationSeparator" w:id="0">
    <w:p w14:paraId="41642054" w14:textId="77777777" w:rsidR="00585752" w:rsidRDefault="00585752" w:rsidP="003D035B">
      <w:pPr>
        <w:spacing w:after="0" w:line="240" w:lineRule="auto"/>
      </w:pPr>
      <w:r>
        <w:continuationSeparator/>
      </w:r>
    </w:p>
  </w:footnote>
  <w:footnote w:id="1">
    <w:p w14:paraId="5D9D55BB" w14:textId="605639A5" w:rsidR="00CA7FCB" w:rsidRPr="00492E71" w:rsidRDefault="00CA7FCB" w:rsidP="00A75226">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As the National Human Rights Institution (NHRI) of the Philippines, the Commission on Human Rights of has the mandate vested by the 1987 Philippine Constitution and the Paris Principles to promote and protect the full range of human rights including civil and political rights, and economic, social and cultural rights. It has the responsibility to regularly report and monitor human rights situations and violations, and recommend steps in advancing the realization of human rights and dignity of all. The Commission has “A”-status accreditation from the Sub-Committee for Accreditation of the Global Alliance of National Human Rights Institutions (GANHRI).  </w:t>
      </w:r>
    </w:p>
  </w:footnote>
  <w:footnote w:id="2">
    <w:p w14:paraId="3CC49633" w14:textId="3CA15D07" w:rsidR="00F169F4" w:rsidRPr="00492E71" w:rsidRDefault="00F169F4">
      <w:pPr>
        <w:pStyle w:val="FootnoteText"/>
        <w:rPr>
          <w:rFonts w:cstheme="minorHAnsi"/>
        </w:rPr>
      </w:pPr>
      <w:r w:rsidRPr="00492E71">
        <w:rPr>
          <w:rStyle w:val="FootnoteReference"/>
          <w:rFonts w:cstheme="minorHAnsi"/>
        </w:rPr>
        <w:footnoteRef/>
      </w:r>
      <w:r w:rsidRPr="00492E71">
        <w:rPr>
          <w:rFonts w:cstheme="minorHAnsi"/>
        </w:rPr>
        <w:t xml:space="preserve"> Refer to: </w:t>
      </w:r>
      <w:hyperlink r:id="rId1" w:history="1">
        <w:r w:rsidRPr="00492E71">
          <w:rPr>
            <w:rStyle w:val="Hyperlink"/>
            <w:rFonts w:cstheme="minorHAnsi"/>
          </w:rPr>
          <w:t>https://www.right-docs.org/doc/a-hrc-res-28-28/</w:t>
        </w:r>
      </w:hyperlink>
      <w:r w:rsidRPr="00492E71">
        <w:rPr>
          <w:rFonts w:cstheme="minorHAnsi"/>
        </w:rPr>
        <w:t xml:space="preserve"> (Last accessed: 17 May 2018).</w:t>
      </w:r>
    </w:p>
  </w:footnote>
  <w:footnote w:id="3">
    <w:p w14:paraId="238BC381" w14:textId="77777777" w:rsidR="00CF2D4C" w:rsidRPr="00492E71" w:rsidRDefault="00CF2D4C" w:rsidP="00CF2D4C">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Please note that this is not an exhaustive list but an enumeration of existing and current primary legal and policy frameworks of the Philippine government in responding to drug issues in the country. </w:t>
      </w:r>
    </w:p>
  </w:footnote>
  <w:footnote w:id="4">
    <w:p w14:paraId="58A7F8E9" w14:textId="24B75A50" w:rsidR="00CA7FCB" w:rsidRPr="00492E71" w:rsidRDefault="00CA7FCB" w:rsidP="00A75226">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Refer to the full texts of RA 9165 and RA 10640 here: </w:t>
      </w:r>
      <w:hyperlink r:id="rId2" w:history="1">
        <w:r w:rsidRPr="00492E71">
          <w:rPr>
            <w:rStyle w:val="Hyperlink"/>
            <w:rFonts w:cstheme="minorHAnsi"/>
          </w:rPr>
          <w:t>http://pdea.gov.ph/images/Laws/RA9165.pdf</w:t>
        </w:r>
      </w:hyperlink>
      <w:r w:rsidRPr="00492E71">
        <w:rPr>
          <w:rFonts w:cstheme="minorHAnsi"/>
        </w:rPr>
        <w:t xml:space="preserve"> and </w:t>
      </w:r>
      <w:hyperlink r:id="rId3" w:history="1">
        <w:r w:rsidRPr="00492E71">
          <w:rPr>
            <w:rStyle w:val="Hyperlink"/>
            <w:rFonts w:cstheme="minorHAnsi"/>
          </w:rPr>
          <w:t>http://www.officialgazette.gov.ph/downloads/2014/07jul/20140715-RA-10640-BSA.pdf</w:t>
        </w:r>
      </w:hyperlink>
      <w:r w:rsidRPr="00492E71">
        <w:rPr>
          <w:rFonts w:cstheme="minorHAnsi"/>
        </w:rPr>
        <w:t xml:space="preserve"> </w:t>
      </w:r>
    </w:p>
  </w:footnote>
  <w:footnote w:id="5">
    <w:p w14:paraId="5E51137E" w14:textId="1D2FC219" w:rsidR="00CA7FCB" w:rsidRPr="00492E71" w:rsidRDefault="00CA7FCB" w:rsidP="00A75226">
      <w:pPr>
        <w:pStyle w:val="FootnoteText"/>
        <w:jc w:val="left"/>
        <w:rPr>
          <w:rFonts w:cstheme="minorHAnsi"/>
        </w:rPr>
      </w:pPr>
      <w:r w:rsidRPr="00492E71">
        <w:rPr>
          <w:rStyle w:val="FootnoteReference"/>
          <w:rFonts w:cstheme="minorHAnsi"/>
        </w:rPr>
        <w:footnoteRef/>
      </w:r>
      <w:r w:rsidRPr="00492E71">
        <w:rPr>
          <w:rFonts w:cstheme="minorHAnsi"/>
        </w:rPr>
        <w:t xml:space="preserve"> Section 2, R.A. No. 9165 of 2002</w:t>
      </w:r>
    </w:p>
  </w:footnote>
  <w:footnote w:id="6">
    <w:p w14:paraId="4925472C" w14:textId="39E075E3" w:rsidR="00CA7FCB" w:rsidRPr="00492E71" w:rsidRDefault="00CA7FCB" w:rsidP="00A75226">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Refer to the full text of the Implementing Rules and Regulations (IRR) of Section 21 of RA 9165 as amended by 10640 here: </w:t>
      </w:r>
      <w:hyperlink r:id="rId4" w:history="1">
        <w:r w:rsidRPr="00492E71">
          <w:rPr>
            <w:rStyle w:val="Hyperlink"/>
            <w:rFonts w:cstheme="minorHAnsi"/>
          </w:rPr>
          <w:t>http://pdea.gov.ph/images/Laws/IRR_Sec_21_RA9165.pdf</w:t>
        </w:r>
      </w:hyperlink>
      <w:r w:rsidRPr="00492E71">
        <w:rPr>
          <w:rFonts w:cstheme="minorHAnsi"/>
        </w:rPr>
        <w:t xml:space="preserve"> and </w:t>
      </w:r>
      <w:hyperlink r:id="rId5" w:history="1">
        <w:r w:rsidRPr="00492E71">
          <w:rPr>
            <w:rStyle w:val="Hyperlink"/>
            <w:rFonts w:cstheme="minorHAnsi"/>
          </w:rPr>
          <w:t>http://pdea.gov.ph/laws-and-regulations/amendment-to-the-guidelines-on-the-irr-of-sec-21-of-ra-9165-as-amended-by-ra-10640</w:t>
        </w:r>
      </w:hyperlink>
      <w:r w:rsidRPr="00492E71">
        <w:rPr>
          <w:rFonts w:cstheme="minorHAnsi"/>
        </w:rPr>
        <w:t xml:space="preserve">  </w:t>
      </w:r>
    </w:p>
  </w:footnote>
  <w:footnote w:id="7">
    <w:p w14:paraId="2AF12E7B" w14:textId="0190E0B5" w:rsidR="00CA7FCB" w:rsidRPr="00492E71" w:rsidRDefault="00CA7FCB" w:rsidP="00A75226">
      <w:pPr>
        <w:pStyle w:val="FootnoteText"/>
        <w:jc w:val="left"/>
        <w:rPr>
          <w:rFonts w:cstheme="minorHAnsi"/>
        </w:rPr>
      </w:pPr>
      <w:r w:rsidRPr="00492E71">
        <w:rPr>
          <w:rStyle w:val="FootnoteReference"/>
          <w:rFonts w:cstheme="minorHAnsi"/>
        </w:rPr>
        <w:footnoteRef/>
      </w:r>
      <w:r w:rsidRPr="00492E71">
        <w:rPr>
          <w:rFonts w:cstheme="minorHAnsi"/>
        </w:rPr>
        <w:t xml:space="preserve"> Article IX, Section 77 of RA 9165 of 2002.</w:t>
      </w:r>
    </w:p>
  </w:footnote>
  <w:footnote w:id="8">
    <w:p w14:paraId="2F16B19A" w14:textId="419A1590" w:rsidR="00CA7FCB" w:rsidRPr="00492E71" w:rsidRDefault="00CA7FCB" w:rsidP="00A75226">
      <w:pPr>
        <w:pStyle w:val="FootnoteText"/>
        <w:jc w:val="left"/>
        <w:rPr>
          <w:rFonts w:cstheme="minorHAnsi"/>
        </w:rPr>
      </w:pPr>
      <w:r w:rsidRPr="00492E71">
        <w:rPr>
          <w:rStyle w:val="FootnoteReference"/>
          <w:rFonts w:cstheme="minorHAnsi"/>
        </w:rPr>
        <w:footnoteRef/>
      </w:r>
      <w:r w:rsidRPr="00492E71">
        <w:rPr>
          <w:rFonts w:cstheme="minorHAnsi"/>
        </w:rPr>
        <w:t xml:space="preserve"> Article XI, Section 93 of RA 9165 of 2002.</w:t>
      </w:r>
    </w:p>
  </w:footnote>
  <w:footnote w:id="9">
    <w:p w14:paraId="3AA83FBF" w14:textId="5DD4BD80" w:rsidR="00CA7FCB" w:rsidRPr="00492E71" w:rsidRDefault="00CA7FCB" w:rsidP="00A75226">
      <w:pPr>
        <w:pStyle w:val="FootnoteText"/>
        <w:jc w:val="left"/>
        <w:rPr>
          <w:rFonts w:cstheme="minorHAnsi"/>
        </w:rPr>
      </w:pPr>
      <w:r w:rsidRPr="00492E71">
        <w:rPr>
          <w:rStyle w:val="FootnoteReference"/>
          <w:rFonts w:cstheme="minorHAnsi"/>
        </w:rPr>
        <w:footnoteRef/>
      </w:r>
      <w:r w:rsidRPr="00492E71">
        <w:rPr>
          <w:rFonts w:cstheme="minorHAnsi"/>
        </w:rPr>
        <w:t xml:space="preserve"> Article IX Sections 82-86 RA 9165 of 2002. </w:t>
      </w:r>
    </w:p>
  </w:footnote>
  <w:footnote w:id="10">
    <w:p w14:paraId="54C40056" w14:textId="3F6BBB27" w:rsidR="00CA7FCB" w:rsidRPr="00492E71" w:rsidRDefault="00CA7FCB" w:rsidP="00A75226">
      <w:pPr>
        <w:pStyle w:val="FootnoteText"/>
        <w:jc w:val="left"/>
        <w:rPr>
          <w:rFonts w:cstheme="minorHAnsi"/>
        </w:rPr>
      </w:pPr>
      <w:r w:rsidRPr="00492E71">
        <w:rPr>
          <w:rStyle w:val="FootnoteReference"/>
          <w:rFonts w:cstheme="minorHAnsi"/>
        </w:rPr>
        <w:footnoteRef/>
      </w:r>
      <w:r w:rsidRPr="00492E71">
        <w:rPr>
          <w:rFonts w:cstheme="minorHAnsi"/>
        </w:rPr>
        <w:t xml:space="preserve"> Article IX, Section 86 of RA 9165 of 2002.</w:t>
      </w:r>
    </w:p>
  </w:footnote>
  <w:footnote w:id="11">
    <w:p w14:paraId="57D361DA" w14:textId="77777777" w:rsidR="00CA7FCB" w:rsidRPr="00492E71" w:rsidRDefault="00CA7FCB" w:rsidP="00A75226">
      <w:pPr>
        <w:pStyle w:val="FootnoteText"/>
        <w:jc w:val="left"/>
        <w:rPr>
          <w:rFonts w:cstheme="minorHAnsi"/>
        </w:rPr>
      </w:pPr>
      <w:r w:rsidRPr="00492E71">
        <w:rPr>
          <w:rStyle w:val="FootnoteReference"/>
          <w:rFonts w:cstheme="minorHAnsi"/>
        </w:rPr>
        <w:footnoteRef/>
      </w:r>
      <w:r w:rsidRPr="00492E71">
        <w:rPr>
          <w:rFonts w:cstheme="minorHAnsi"/>
        </w:rPr>
        <w:t xml:space="preserve"> Refer to: </w:t>
      </w:r>
      <w:hyperlink r:id="rId6" w:history="1">
        <w:r w:rsidRPr="00492E71">
          <w:rPr>
            <w:rStyle w:val="Hyperlink"/>
            <w:rFonts w:cstheme="minorHAnsi"/>
          </w:rPr>
          <w:t>https://www.ddb.gov.ph/major-programs-and-projects</w:t>
        </w:r>
      </w:hyperlink>
      <w:r w:rsidRPr="00492E71">
        <w:rPr>
          <w:rFonts w:cstheme="minorHAnsi"/>
        </w:rPr>
        <w:t xml:space="preserve"> (Last accessed: 7 May 2018).</w:t>
      </w:r>
    </w:p>
  </w:footnote>
  <w:footnote w:id="12">
    <w:p w14:paraId="635DD22E" w14:textId="77777777" w:rsidR="00CA7FCB" w:rsidRPr="00492E71" w:rsidRDefault="00CA7FCB" w:rsidP="00A75226">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Definition from the Municipality of Calamba, Province of Misamis Occidental, </w:t>
      </w:r>
      <w:hyperlink r:id="rId7" w:history="1">
        <w:r w:rsidRPr="00492E71">
          <w:rPr>
            <w:rStyle w:val="Hyperlink"/>
            <w:rFonts w:cstheme="minorHAnsi"/>
          </w:rPr>
          <w:t>http://www.calambamisocc.gov.ph/index.php/60-capital-outlay/411-pnp-oplan-tokhang</w:t>
        </w:r>
      </w:hyperlink>
      <w:r w:rsidRPr="00492E71">
        <w:rPr>
          <w:rFonts w:cstheme="minorHAnsi"/>
        </w:rPr>
        <w:t xml:space="preserve"> (Last accessed: 19 March 2018).</w:t>
      </w:r>
    </w:p>
  </w:footnote>
  <w:footnote w:id="13">
    <w:p w14:paraId="3DAC58C5" w14:textId="77777777" w:rsidR="00CA7FCB" w:rsidRPr="00492E71" w:rsidRDefault="00CA7FCB" w:rsidP="00A75226">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Refer to the full text of the Executive Order here: </w:t>
      </w:r>
      <w:hyperlink r:id="rId8" w:history="1">
        <w:r w:rsidRPr="00492E71">
          <w:rPr>
            <w:rStyle w:val="Hyperlink"/>
            <w:rFonts w:cstheme="minorHAnsi"/>
          </w:rPr>
          <w:t>http://pdea.gov.ph/images/Laws/EO_No.15series2017.pdf</w:t>
        </w:r>
      </w:hyperlink>
      <w:r w:rsidRPr="00492E71">
        <w:rPr>
          <w:rFonts w:cstheme="minorHAnsi"/>
        </w:rPr>
        <w:t xml:space="preserve"> </w:t>
      </w:r>
    </w:p>
  </w:footnote>
  <w:footnote w:id="14">
    <w:p w14:paraId="074DC002" w14:textId="77777777" w:rsidR="00CA7FCB" w:rsidRPr="00492E71" w:rsidRDefault="00CA7FCB" w:rsidP="00A75226">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SunStar Cebu, “Special Report: After Tokhang, more than 40,000 drug users still not in rehab (First of four parts),” 24 April 2018, </w:t>
      </w:r>
      <w:hyperlink r:id="rId9" w:history="1">
        <w:r w:rsidRPr="00492E71">
          <w:rPr>
            <w:rStyle w:val="Hyperlink"/>
            <w:rFonts w:cstheme="minorHAnsi"/>
          </w:rPr>
          <w:t>http://www.sunstar.com.ph/article/1613688/Cebu/Feature/Special-Report-After-Tokhang-more-than-40000-drug-users-still-not-in-rehab-(First-of-four-parts)</w:t>
        </w:r>
      </w:hyperlink>
      <w:r w:rsidRPr="00492E71">
        <w:rPr>
          <w:rFonts w:cstheme="minorHAnsi"/>
        </w:rPr>
        <w:t xml:space="preserve"> (Last accessed: 14 May 2018). </w:t>
      </w:r>
    </w:p>
  </w:footnote>
  <w:footnote w:id="15">
    <w:p w14:paraId="4CCBBAA8" w14:textId="77777777" w:rsidR="00CA7FCB" w:rsidRPr="00492E71" w:rsidRDefault="00CA7FCB" w:rsidP="00A75226">
      <w:pPr>
        <w:pStyle w:val="FootnoteText"/>
        <w:jc w:val="left"/>
        <w:rPr>
          <w:rFonts w:cstheme="minorHAnsi"/>
        </w:rPr>
      </w:pPr>
      <w:r w:rsidRPr="00492E71">
        <w:rPr>
          <w:rStyle w:val="FootnoteReference"/>
          <w:rFonts w:cstheme="minorHAnsi"/>
        </w:rPr>
        <w:footnoteRef/>
      </w:r>
      <w:r w:rsidRPr="00492E71">
        <w:rPr>
          <w:rFonts w:cstheme="minorHAnsi"/>
        </w:rPr>
        <w:t xml:space="preserve"> Idem. Also refer to “DOH Program to Support the Duterte Anti-Drug Campaign,” presented by at the</w:t>
      </w:r>
    </w:p>
    <w:p w14:paraId="3EC4A622" w14:textId="77777777" w:rsidR="00CA7FCB" w:rsidRPr="00492E71" w:rsidRDefault="00CA7FCB" w:rsidP="00A75226">
      <w:pPr>
        <w:pStyle w:val="FootnoteText"/>
        <w:jc w:val="left"/>
        <w:rPr>
          <w:rFonts w:cstheme="minorHAnsi"/>
        </w:rPr>
      </w:pPr>
      <w:r w:rsidRPr="00492E71">
        <w:rPr>
          <w:rFonts w:cstheme="minorHAnsi"/>
        </w:rPr>
        <w:t>National Health Summit 15 September 2016, PICC, Pasay City</w:t>
      </w:r>
    </w:p>
    <w:p w14:paraId="19263DCC" w14:textId="77777777" w:rsidR="00CA7FCB" w:rsidRPr="00492E71" w:rsidRDefault="00EA01DC" w:rsidP="00A75226">
      <w:pPr>
        <w:pStyle w:val="FootnoteText"/>
        <w:ind w:left="357" w:firstLine="0"/>
        <w:jc w:val="left"/>
        <w:rPr>
          <w:rFonts w:cstheme="minorHAnsi"/>
        </w:rPr>
      </w:pPr>
      <w:hyperlink r:id="rId10" w:history="1">
        <w:r w:rsidR="00CA7FCB" w:rsidRPr="00492E71">
          <w:rPr>
            <w:rStyle w:val="Hyperlink"/>
            <w:rFonts w:cstheme="minorHAnsi"/>
          </w:rPr>
          <w:t>https://www.doh.gov.ph/sites/default/files/basic-page/3.%20Anti-Drug%20Campaign.pdf</w:t>
        </w:r>
      </w:hyperlink>
      <w:r w:rsidR="00CA7FCB" w:rsidRPr="00492E71">
        <w:rPr>
          <w:rFonts w:cstheme="minorHAnsi"/>
        </w:rPr>
        <w:t xml:space="preserve"> (Last accessed: 7 May 2018).</w:t>
      </w:r>
    </w:p>
  </w:footnote>
  <w:footnote w:id="16">
    <w:p w14:paraId="73BDC35B" w14:textId="0934EF12" w:rsidR="00CA7FCB" w:rsidRPr="00492E71" w:rsidRDefault="00CA7FCB" w:rsidP="00A75226">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June 2017 updates on the program from the DSWD, </w:t>
      </w:r>
      <w:hyperlink r:id="rId11" w:history="1">
        <w:r w:rsidRPr="00492E71">
          <w:rPr>
            <w:rStyle w:val="Hyperlink"/>
            <w:rFonts w:cstheme="minorHAnsi"/>
          </w:rPr>
          <w:t>https://www.dswd.gov.ph/yakap-bayan-turns-more-drug-surrenderers-to-community-volunteers-leaders-in-quezon-province/</w:t>
        </w:r>
      </w:hyperlink>
      <w:r w:rsidRPr="00492E71">
        <w:rPr>
          <w:rFonts w:cstheme="minorHAnsi"/>
        </w:rPr>
        <w:t xml:space="preserve"> (Last accessed 7 May 2018)</w:t>
      </w:r>
    </w:p>
  </w:footnote>
  <w:footnote w:id="17">
    <w:p w14:paraId="3D525AD5" w14:textId="20878358" w:rsidR="00CA7FCB" w:rsidRPr="00492E71" w:rsidRDefault="00CA7FCB" w:rsidP="00A75226">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Inputs from this section are based on the speeches of Commissioner Karen Gomez-Dumpit of the Commission on Human Rights of the Philippines, delivered at several forums on the possible reintroduction of the death penalty in the Philippines, the most recent speech delivered at the University of New South Wales, Sydney, Australia, 9 April 2018.</w:t>
      </w:r>
    </w:p>
  </w:footnote>
  <w:footnote w:id="18">
    <w:p w14:paraId="7B94EDC5" w14:textId="18FA287B" w:rsidR="00CA7FCB" w:rsidRPr="00492E71" w:rsidRDefault="00CA7FCB" w:rsidP="00A75226">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Rappler, “In the Numbers: The Philippines’ ‘war on drugs,” </w:t>
      </w:r>
      <w:hyperlink r:id="rId12" w:history="1">
        <w:r w:rsidRPr="00492E71">
          <w:rPr>
            <w:rStyle w:val="Hyperlink"/>
            <w:rFonts w:cstheme="minorHAnsi"/>
          </w:rPr>
          <w:t>http://www.rappler.com/newsbreak/iq/145814-numbers-statistics-philippines-war-drugs</w:t>
        </w:r>
      </w:hyperlink>
      <w:r w:rsidRPr="00492E71">
        <w:rPr>
          <w:rFonts w:cstheme="minorHAnsi"/>
        </w:rPr>
        <w:t xml:space="preserve"> (Last accessed: 14 May 2018); Also refer to PDEA’s #REALNUMBERSPH: </w:t>
      </w:r>
      <w:hyperlink r:id="rId13" w:history="1">
        <w:r w:rsidRPr="00492E71">
          <w:rPr>
            <w:rStyle w:val="Hyperlink"/>
            <w:rFonts w:cstheme="minorHAnsi"/>
          </w:rPr>
          <w:t>http://pdea.gov.ph/2-uncategorised/279-realnumbersph</w:t>
        </w:r>
      </w:hyperlink>
      <w:r w:rsidRPr="00492E71">
        <w:rPr>
          <w:rFonts w:cstheme="minorHAnsi"/>
        </w:rPr>
        <w:t xml:space="preserve"> </w:t>
      </w:r>
    </w:p>
  </w:footnote>
  <w:footnote w:id="19">
    <w:p w14:paraId="534CF448" w14:textId="6E3F8FE0" w:rsidR="00CA7FCB" w:rsidRPr="00492E71" w:rsidRDefault="00CA7FCB" w:rsidP="00A75226">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When the campaign against illegal drugs was launched during the Duterte administration, from July 1, 2016 to October 7, 2016 alone, the Philippine National Police (PNP) recorded 2,222 deaths under investigation (committed by alleged unknown assailants or vigilantes) and 1,523 people killed during police operations.) See: Inquirer.net, “Story in numbers war on drugs,” 16 October 2016, </w:t>
      </w:r>
      <w:hyperlink r:id="rId14" w:history="1">
        <w:r w:rsidRPr="00492E71">
          <w:rPr>
            <w:rStyle w:val="Hyperlink"/>
            <w:rFonts w:cstheme="minorHAnsi"/>
          </w:rPr>
          <w:t>http://newsinfo.inquirer.net/825678/story-in-numbers-war-on-drugs</w:t>
        </w:r>
      </w:hyperlink>
      <w:r w:rsidRPr="00492E71">
        <w:rPr>
          <w:rFonts w:cstheme="minorHAnsi"/>
        </w:rPr>
        <w:t xml:space="preserve"> (Last accessed: 14 March 2018).</w:t>
      </w:r>
    </w:p>
  </w:footnote>
  <w:footnote w:id="20">
    <w:p w14:paraId="1BC56F82" w14:textId="72FD728D" w:rsidR="00492E71" w:rsidRPr="00492E71" w:rsidRDefault="00492E71">
      <w:pPr>
        <w:pStyle w:val="FootnoteText"/>
        <w:rPr>
          <w:rFonts w:cstheme="minorHAnsi"/>
        </w:rPr>
      </w:pPr>
      <w:r w:rsidRPr="00492E71">
        <w:rPr>
          <w:rStyle w:val="FootnoteReference"/>
          <w:rFonts w:cstheme="minorHAnsi"/>
        </w:rPr>
        <w:footnoteRef/>
      </w:r>
      <w:r w:rsidRPr="00492E71">
        <w:rPr>
          <w:rFonts w:cstheme="minorHAnsi"/>
        </w:rPr>
        <w:t xml:space="preserve"> Emmanuel Tupas, The Philippine Star, “YearEnder: Jail congestion rate up by 595% amid drug war,” 1 January 2018, </w:t>
      </w:r>
      <w:hyperlink r:id="rId15" w:history="1">
        <w:r w:rsidRPr="00492E71">
          <w:rPr>
            <w:rStyle w:val="Hyperlink"/>
            <w:rFonts w:cstheme="minorHAnsi"/>
          </w:rPr>
          <w:t>https://www.philstar.com/metro/2018/01/01/1773514/yearender-jail-congestion-rate-595-amid-drug-war</w:t>
        </w:r>
      </w:hyperlink>
      <w:r w:rsidRPr="00492E71">
        <w:rPr>
          <w:rFonts w:cstheme="minorHAnsi"/>
        </w:rPr>
        <w:t xml:space="preserve"> (Last accessed: 17 May 2018).  </w:t>
      </w:r>
    </w:p>
  </w:footnote>
  <w:footnote w:id="21">
    <w:p w14:paraId="4BAFAFB3" w14:textId="237C6C7E" w:rsidR="00107C08" w:rsidRPr="00492E71" w:rsidRDefault="00107C08" w:rsidP="00107C08">
      <w:pPr>
        <w:pStyle w:val="FootnoteText"/>
        <w:rPr>
          <w:rFonts w:cstheme="minorHAnsi"/>
        </w:rPr>
      </w:pPr>
      <w:r w:rsidRPr="00492E71">
        <w:rPr>
          <w:rStyle w:val="FootnoteReference"/>
          <w:rFonts w:cstheme="minorHAnsi"/>
        </w:rPr>
        <w:footnoteRef/>
      </w:r>
      <w:r w:rsidRPr="00492E71">
        <w:rPr>
          <w:rFonts w:cstheme="minorHAnsi"/>
        </w:rPr>
        <w:t xml:space="preserve"> Eloisa Lopez</w:t>
      </w:r>
      <w:r w:rsidR="00492E71" w:rsidRPr="00492E71">
        <w:rPr>
          <w:rFonts w:cstheme="minorHAnsi"/>
        </w:rPr>
        <w:t>, Rappler, “</w:t>
      </w:r>
      <w:r w:rsidRPr="00492E71">
        <w:rPr>
          <w:rFonts w:cstheme="minorHAnsi"/>
          <w:bCs/>
        </w:rPr>
        <w:t>CHR team finds detainees in 'secret' police cell</w:t>
      </w:r>
      <w:r w:rsidR="00492E71" w:rsidRPr="00492E71">
        <w:rPr>
          <w:rFonts w:cstheme="minorHAnsi"/>
          <w:bCs/>
        </w:rPr>
        <w:t>,”</w:t>
      </w:r>
      <w:r w:rsidRPr="00492E71">
        <w:rPr>
          <w:rFonts w:cstheme="minorHAnsi"/>
          <w:bCs/>
        </w:rPr>
        <w:t xml:space="preserve"> 27 April 2017</w:t>
      </w:r>
      <w:r w:rsidR="00492E71" w:rsidRPr="00492E71">
        <w:rPr>
          <w:rFonts w:cstheme="minorHAnsi"/>
          <w:bCs/>
        </w:rPr>
        <w:t xml:space="preserve">, </w:t>
      </w:r>
      <w:hyperlink r:id="rId16" w:history="1">
        <w:r w:rsidR="00492E71" w:rsidRPr="00492E71">
          <w:rPr>
            <w:rStyle w:val="Hyperlink"/>
            <w:rFonts w:cstheme="minorHAnsi"/>
            <w:bCs/>
          </w:rPr>
          <w:t>https://www.rappler.com/nation/168172-chr-free-detainees-secret-cell-tondo-police-station</w:t>
        </w:r>
      </w:hyperlink>
      <w:r w:rsidR="00492E71" w:rsidRPr="00492E71">
        <w:rPr>
          <w:rFonts w:cstheme="minorHAnsi"/>
          <w:bCs/>
        </w:rPr>
        <w:t xml:space="preserve"> (Last accessed: 17 May 2018). See also 19 May 2017 Press Statement of the Commission: </w:t>
      </w:r>
      <w:hyperlink r:id="rId17" w:history="1">
        <w:r w:rsidR="00492E71" w:rsidRPr="00492E71">
          <w:rPr>
            <w:rStyle w:val="Hyperlink"/>
            <w:rFonts w:cstheme="minorHAnsi"/>
            <w:bCs/>
          </w:rPr>
          <w:t>http://chr.gov.ph/wp-content/uploads/2018/01/19-May-2017-Statement-of-CHR-Commissioner-Karen-Gomez-Dumpit-on-the-Fact-Finding-Report-of-the-Regional-Internal-Affairs-Service-%E2%80%93-National-Capital-Region-concerning-Manila-Police-District.pdf</w:t>
        </w:r>
      </w:hyperlink>
      <w:r w:rsidR="00492E71" w:rsidRPr="00492E71">
        <w:rPr>
          <w:rFonts w:cstheme="minorHAnsi"/>
          <w:bCs/>
        </w:rPr>
        <w:t xml:space="preserve"> </w:t>
      </w:r>
    </w:p>
  </w:footnote>
  <w:footnote w:id="22">
    <w:p w14:paraId="0F2846A5" w14:textId="3ECC7ABB" w:rsidR="00107C08" w:rsidRPr="00492E71" w:rsidRDefault="00107C08" w:rsidP="00107C08">
      <w:pPr>
        <w:pStyle w:val="FootnoteText"/>
        <w:rPr>
          <w:rFonts w:cstheme="minorHAnsi"/>
          <w:bCs/>
        </w:rPr>
      </w:pPr>
      <w:r w:rsidRPr="00492E71">
        <w:rPr>
          <w:rStyle w:val="FootnoteReference"/>
          <w:rFonts w:cstheme="minorHAnsi"/>
        </w:rPr>
        <w:footnoteRef/>
      </w:r>
      <w:r w:rsidRPr="00492E71">
        <w:rPr>
          <w:rFonts w:cstheme="minorHAnsi"/>
        </w:rPr>
        <w:t xml:space="preserve"> </w:t>
      </w:r>
      <w:r w:rsidR="00492E71" w:rsidRPr="00492E71">
        <w:rPr>
          <w:rFonts w:cstheme="minorHAnsi"/>
          <w:bCs/>
        </w:rPr>
        <w:t xml:space="preserve">Op. cit. </w:t>
      </w:r>
    </w:p>
  </w:footnote>
  <w:footnote w:id="23">
    <w:p w14:paraId="3F0B8C2B" w14:textId="40107930" w:rsidR="00532B7E" w:rsidRPr="00492E71" w:rsidRDefault="00532B7E" w:rsidP="00532B7E">
      <w:pPr>
        <w:pStyle w:val="FootnoteText"/>
        <w:ind w:left="284" w:firstLine="73"/>
        <w:rPr>
          <w:rFonts w:cstheme="minorHAnsi"/>
        </w:rPr>
      </w:pPr>
      <w:r w:rsidRPr="00492E71">
        <w:rPr>
          <w:rStyle w:val="FootnoteReference"/>
          <w:rFonts w:cstheme="minorHAnsi"/>
        </w:rPr>
        <w:footnoteRef/>
      </w:r>
      <w:r w:rsidRPr="00492E71">
        <w:rPr>
          <w:rFonts w:cstheme="minorHAnsi"/>
        </w:rPr>
        <w:t xml:space="preserve"> Section 12 of the Bill of Rights under the 1987 Philippine Constitution states that "secret detention places, solitary, incommunicado, or other similar forms of detention are prohibited."</w:t>
      </w:r>
    </w:p>
  </w:footnote>
  <w:footnote w:id="24">
    <w:p w14:paraId="406449AD" w14:textId="05CC576D" w:rsidR="00CA7FCB" w:rsidRPr="00492E71" w:rsidRDefault="00CA7FCB" w:rsidP="00A75226">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House Bill No. 4727 proposes the re-introduction of the death penalty in the Philippines for drug-related offenses particularly importation of dangerous drugs, the sale, trading, administration, dispensation, delivery, distribution or transportation of dangerous drugs, maintenance of a drug “den, dive or resort,” manufacture of dangerous drugs, cultivation or culture of plants classified as dangerous drugs, criminal liability of a public officer or employee for misappropriation, misapplication, or failure to account for the confiscated, seized and/or surrendered dangerous drugs, and criminal liability for planting evidence concerning illegal drugs.</w:t>
      </w:r>
    </w:p>
  </w:footnote>
  <w:footnote w:id="25">
    <w:p w14:paraId="6804D486" w14:textId="45D2EB51" w:rsidR="00CA7FCB" w:rsidRPr="00492E71" w:rsidRDefault="00CA7FCB" w:rsidP="00A75226">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Commission on Human Rights of the Philippines and Dr. Christopher Ward SC, “In Defense of the Right to Life: International Law and Death Penalty in the Philippines,” </w:t>
      </w:r>
      <w:hyperlink r:id="rId18" w:history="1">
        <w:r w:rsidRPr="00492E71">
          <w:rPr>
            <w:rStyle w:val="Hyperlink"/>
            <w:rFonts w:cstheme="minorHAnsi"/>
          </w:rPr>
          <w:t>http://regnet.anu.edu.au/sites/default/files/uploads/2017-03/In-Defense-of-the-Right-to-Life-IL-and-Death-Penalty-in-the-Philippines.pdf</w:t>
        </w:r>
      </w:hyperlink>
      <w:r w:rsidRPr="00492E71">
        <w:rPr>
          <w:rFonts w:cstheme="minorHAnsi"/>
        </w:rPr>
        <w:t xml:space="preserve"> (Last accessed: 17 May 2018).</w:t>
      </w:r>
    </w:p>
  </w:footnote>
  <w:footnote w:id="26">
    <w:p w14:paraId="536CF9FB" w14:textId="29F42236" w:rsidR="00CA7FCB" w:rsidRPr="00492E71" w:rsidRDefault="00CA7FCB" w:rsidP="00A75226">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Manila Bulletin, “Revival of death penalty not against treaty obligation — Palace,” 7 February 2018, </w:t>
      </w:r>
      <w:hyperlink r:id="rId19" w:history="1">
        <w:r w:rsidRPr="00492E71">
          <w:rPr>
            <w:rStyle w:val="Hyperlink"/>
            <w:rFonts w:cstheme="minorHAnsi"/>
          </w:rPr>
          <w:t>https://news.mb.com.ph/2018/01/12/revival-of-death-penalty-not-against-treaty-obligation-palace/</w:t>
        </w:r>
      </w:hyperlink>
      <w:r w:rsidRPr="00492E71">
        <w:rPr>
          <w:rFonts w:cstheme="minorHAnsi"/>
        </w:rPr>
        <w:t xml:space="preserve"> (Last accessed 16 May 2018). </w:t>
      </w:r>
    </w:p>
  </w:footnote>
  <w:footnote w:id="27">
    <w:p w14:paraId="7019586B" w14:textId="77777777" w:rsidR="00CA7FCB" w:rsidRPr="00492E71" w:rsidRDefault="00CA7FCB" w:rsidP="00A75226">
      <w:pPr>
        <w:pStyle w:val="FootnoteText"/>
        <w:jc w:val="left"/>
        <w:rPr>
          <w:rFonts w:cstheme="minorHAnsi"/>
        </w:rPr>
      </w:pPr>
      <w:r w:rsidRPr="00492E71">
        <w:rPr>
          <w:rStyle w:val="FootnoteReference"/>
          <w:rFonts w:cstheme="minorHAnsi"/>
        </w:rPr>
        <w:footnoteRef/>
      </w:r>
      <w:r w:rsidRPr="00492E71">
        <w:rPr>
          <w:rFonts w:cstheme="minorHAnsi"/>
        </w:rPr>
        <w:t xml:space="preserve"> See depositary notification: </w:t>
      </w:r>
      <w:hyperlink r:id="rId20" w:history="1">
        <w:r w:rsidRPr="00492E71">
          <w:rPr>
            <w:rStyle w:val="Hyperlink"/>
            <w:rFonts w:cstheme="minorHAnsi"/>
          </w:rPr>
          <w:t>https://treaties.un.org/doc/Publication/CN/2018/CN.138.2018-Eng.pdf</w:t>
        </w:r>
      </w:hyperlink>
      <w:r w:rsidRPr="00492E71">
        <w:rPr>
          <w:rFonts w:cstheme="minorHAnsi"/>
        </w:rPr>
        <w:t xml:space="preserve"> </w:t>
      </w:r>
    </w:p>
  </w:footnote>
  <w:footnote w:id="28">
    <w:p w14:paraId="1761F217" w14:textId="77777777" w:rsidR="00CA7FCB" w:rsidRPr="00492E71" w:rsidRDefault="00CA7FCB" w:rsidP="00A75226">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Rappler, “Full Text: Duterte's statement on Int'l Criminal Court withdrawal“ 14 March 2018, </w:t>
      </w:r>
      <w:hyperlink r:id="rId21" w:history="1">
        <w:r w:rsidRPr="00492E71">
          <w:rPr>
            <w:rStyle w:val="Hyperlink"/>
            <w:rFonts w:cstheme="minorHAnsi"/>
          </w:rPr>
          <w:t>https://www.rappler.com/nation/198171-full-text-philippines-rodrigo-duterte-statement-international-criminal-court-withdrawal?utm_source=feedburner&amp;utm_medium=feed&amp;utm_campaign=Feed%3A+rappler+%28Rappler%29</w:t>
        </w:r>
      </w:hyperlink>
      <w:r w:rsidRPr="00492E71">
        <w:rPr>
          <w:rFonts w:cstheme="minorHAnsi"/>
        </w:rPr>
        <w:t xml:space="preserve"> (Last accessed: 16 March 2018).  </w:t>
      </w:r>
    </w:p>
  </w:footnote>
  <w:footnote w:id="29">
    <w:p w14:paraId="23912184" w14:textId="77777777" w:rsidR="00CA7FCB" w:rsidRPr="00492E71" w:rsidRDefault="00CA7FCB" w:rsidP="00A75226">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Article 5 (1) of the Rome Statute states that, “The jurisdiction of the Court shall be limited to the most serious crimes of concern to the international community as a whole. The Court has jurisdiction in accordance with this Statute with respect to the following crimes: (a) The crime of genocide; (b) Crimes against humanity; (c) War crimes; (d) The crime of aggression.” </w:t>
      </w:r>
      <w:hyperlink r:id="rId22" w:history="1">
        <w:r w:rsidRPr="00492E71">
          <w:rPr>
            <w:rStyle w:val="Hyperlink"/>
            <w:rFonts w:cstheme="minorHAnsi"/>
          </w:rPr>
          <w:t>http://legal.un.org/icc/statute/99_corr/cstatute.htm</w:t>
        </w:r>
      </w:hyperlink>
      <w:r w:rsidRPr="00492E71">
        <w:rPr>
          <w:rFonts w:cstheme="minorHAnsi"/>
        </w:rPr>
        <w:t xml:space="preserve"> (Last accessed: 14 March 2018). </w:t>
      </w:r>
    </w:p>
  </w:footnote>
  <w:footnote w:id="30">
    <w:p w14:paraId="6AB39941" w14:textId="734CF6D7" w:rsidR="00CA7FCB" w:rsidRPr="00492E71" w:rsidRDefault="00CA7FCB" w:rsidP="00A75226">
      <w:pPr>
        <w:pStyle w:val="FootnoteText"/>
        <w:ind w:left="357" w:firstLine="0"/>
        <w:rPr>
          <w:rFonts w:cstheme="minorHAnsi"/>
        </w:rPr>
      </w:pPr>
      <w:r w:rsidRPr="00492E71">
        <w:rPr>
          <w:rStyle w:val="FootnoteReference"/>
          <w:rFonts w:cstheme="minorHAnsi"/>
        </w:rPr>
        <w:footnoteRef/>
      </w:r>
      <w:r w:rsidRPr="00492E71">
        <w:rPr>
          <w:rFonts w:cstheme="minorHAnsi"/>
        </w:rPr>
        <w:t xml:space="preserve"> International Criminal Court, “Preliminary Examination – The Philippines,” </w:t>
      </w:r>
      <w:hyperlink r:id="rId23" w:history="1">
        <w:r w:rsidRPr="00492E71">
          <w:rPr>
            <w:rStyle w:val="Hyperlink"/>
            <w:rFonts w:cstheme="minorHAnsi"/>
          </w:rPr>
          <w:t>https://www.icc-cpi.int/philippines</w:t>
        </w:r>
      </w:hyperlink>
      <w:r w:rsidRPr="00492E71">
        <w:rPr>
          <w:rFonts w:cstheme="minorHAnsi"/>
        </w:rPr>
        <w:t xml:space="preserve"> and </w:t>
      </w:r>
      <w:hyperlink r:id="rId24" w:history="1">
        <w:r w:rsidRPr="00492E71">
          <w:rPr>
            <w:rStyle w:val="Hyperlink"/>
            <w:rFonts w:cstheme="minorHAnsi"/>
          </w:rPr>
          <w:t>https://www.icc-cpi.int/Pages/item.aspx?name=180208-otp-stat</w:t>
        </w:r>
      </w:hyperlink>
      <w:r w:rsidRPr="00492E71">
        <w:rPr>
          <w:rFonts w:cstheme="minorHAnsi"/>
        </w:rPr>
        <w:t xml:space="preserve">  (Last accessed: 14 March 2018). </w:t>
      </w:r>
    </w:p>
  </w:footnote>
  <w:footnote w:id="31">
    <w:p w14:paraId="3C47C90B" w14:textId="62D388F8" w:rsidR="00E26541" w:rsidRPr="00492E71" w:rsidRDefault="00E26541" w:rsidP="00E26541">
      <w:pPr>
        <w:pStyle w:val="FootnoteText"/>
        <w:jc w:val="left"/>
        <w:rPr>
          <w:rFonts w:cstheme="minorHAnsi"/>
        </w:rPr>
      </w:pPr>
      <w:r w:rsidRPr="00492E71">
        <w:rPr>
          <w:rStyle w:val="FootnoteReference"/>
          <w:rFonts w:cstheme="minorHAnsi"/>
        </w:rPr>
        <w:footnoteRef/>
      </w:r>
      <w:r w:rsidRPr="00492E71">
        <w:rPr>
          <w:rFonts w:cstheme="minorHAnsi"/>
        </w:rPr>
        <w:t xml:space="preserve"> CHRP Press Statement 31 January 2017</w:t>
      </w:r>
      <w:r w:rsidR="008034A3" w:rsidRPr="00492E71">
        <w:rPr>
          <w:rFonts w:cstheme="minorHAnsi"/>
        </w:rPr>
        <w:t>,</w:t>
      </w:r>
      <w:r w:rsidRPr="00492E71">
        <w:rPr>
          <w:rFonts w:cstheme="minorHAnsi"/>
        </w:rPr>
        <w:t xml:space="preserve"> </w:t>
      </w:r>
      <w:hyperlink r:id="rId25" w:history="1">
        <w:r w:rsidRPr="00492E71">
          <w:rPr>
            <w:rStyle w:val="Hyperlink"/>
            <w:rFonts w:cstheme="minorHAnsi"/>
          </w:rPr>
          <w:t>http://chr.gov.ph/chr-statement-on-the-suspension-of-the-anti-drug-campaign/</w:t>
        </w:r>
      </w:hyperlink>
      <w:r w:rsidRPr="00492E71">
        <w:rPr>
          <w:rFonts w:cstheme="minorHAnsi"/>
        </w:rPr>
        <w:t xml:space="preserve"> (</w:t>
      </w:r>
      <w:r w:rsidR="008034A3" w:rsidRPr="00492E71">
        <w:rPr>
          <w:rFonts w:cstheme="minorHAnsi"/>
        </w:rPr>
        <w:t>L</w:t>
      </w:r>
      <w:r w:rsidRPr="00492E71">
        <w:rPr>
          <w:rFonts w:cstheme="minorHAnsi"/>
        </w:rPr>
        <w:t>ast accessed</w:t>
      </w:r>
      <w:r w:rsidR="008034A3" w:rsidRPr="00492E71">
        <w:rPr>
          <w:rFonts w:cstheme="minorHAnsi"/>
        </w:rPr>
        <w:t>: 7</w:t>
      </w:r>
      <w:r w:rsidRPr="00492E71">
        <w:rPr>
          <w:rFonts w:cstheme="minorHAnsi"/>
        </w:rPr>
        <w:t xml:space="preserve"> May 2018)</w:t>
      </w:r>
      <w:r w:rsidR="008034A3" w:rsidRPr="00492E71">
        <w:rPr>
          <w:rFonts w:cstheme="minorHAnsi"/>
        </w:rPr>
        <w:t>.</w:t>
      </w:r>
    </w:p>
  </w:footnote>
  <w:footnote w:id="32">
    <w:p w14:paraId="7C0E8083" w14:textId="42FECE19" w:rsidR="00CA7FCB" w:rsidRPr="00492E71" w:rsidRDefault="00CA7FCB" w:rsidP="00CA7FCB">
      <w:pPr>
        <w:pStyle w:val="FootnoteText"/>
        <w:jc w:val="left"/>
        <w:rPr>
          <w:rFonts w:cstheme="minorHAnsi"/>
        </w:rPr>
      </w:pPr>
      <w:r w:rsidRPr="00492E71">
        <w:rPr>
          <w:rStyle w:val="FootnoteReference"/>
          <w:rFonts w:cstheme="minorHAnsi"/>
        </w:rPr>
        <w:footnoteRef/>
      </w:r>
      <w:r w:rsidRPr="00492E71">
        <w:rPr>
          <w:rFonts w:cstheme="minorHAnsi"/>
        </w:rPr>
        <w:t xml:space="preserve"> CHRP Press Statement 16 February 2017</w:t>
      </w:r>
      <w:r w:rsidR="008034A3" w:rsidRPr="00492E71">
        <w:rPr>
          <w:rFonts w:cstheme="minorHAnsi"/>
        </w:rPr>
        <w:t>,</w:t>
      </w:r>
      <w:r w:rsidRPr="00492E71">
        <w:rPr>
          <w:rFonts w:cstheme="minorHAnsi"/>
        </w:rPr>
        <w:t xml:space="preserve"> </w:t>
      </w:r>
      <w:hyperlink r:id="rId26" w:history="1">
        <w:r w:rsidRPr="00492E71">
          <w:rPr>
            <w:rStyle w:val="Hyperlink"/>
            <w:rFonts w:cstheme="minorHAnsi"/>
          </w:rPr>
          <w:t>http://chr.gov.ph/6933-2/</w:t>
        </w:r>
      </w:hyperlink>
      <w:r w:rsidRPr="00492E71">
        <w:rPr>
          <w:rFonts w:cstheme="minorHAnsi"/>
        </w:rPr>
        <w:t xml:space="preserve"> (</w:t>
      </w:r>
      <w:r w:rsidR="008034A3" w:rsidRPr="00492E71">
        <w:rPr>
          <w:rFonts w:cstheme="minorHAnsi"/>
        </w:rPr>
        <w:t>L</w:t>
      </w:r>
      <w:r w:rsidRPr="00492E71">
        <w:rPr>
          <w:rFonts w:cstheme="minorHAnsi"/>
        </w:rPr>
        <w:t>ast accessed</w:t>
      </w:r>
      <w:r w:rsidR="008034A3" w:rsidRPr="00492E71">
        <w:rPr>
          <w:rFonts w:cstheme="minorHAnsi"/>
        </w:rPr>
        <w:t>:</w:t>
      </w:r>
      <w:r w:rsidRPr="00492E71">
        <w:rPr>
          <w:rFonts w:cstheme="minorHAnsi"/>
        </w:rPr>
        <w:t xml:space="preserve"> </w:t>
      </w:r>
      <w:r w:rsidR="008034A3" w:rsidRPr="00492E71">
        <w:rPr>
          <w:rFonts w:cstheme="minorHAnsi"/>
        </w:rPr>
        <w:t xml:space="preserve">7 </w:t>
      </w:r>
      <w:r w:rsidRPr="00492E71">
        <w:rPr>
          <w:rFonts w:cstheme="minorHAnsi"/>
        </w:rPr>
        <w:t>May 2018)</w:t>
      </w:r>
      <w:r w:rsidR="008034A3" w:rsidRPr="00492E71">
        <w:rPr>
          <w:rFonts w:cstheme="minorHAnsi"/>
        </w:rPr>
        <w:t>.</w:t>
      </w:r>
    </w:p>
  </w:footnote>
  <w:footnote w:id="33">
    <w:p w14:paraId="531A7C87" w14:textId="7043B6F6" w:rsidR="00C87018" w:rsidRPr="00492E71" w:rsidRDefault="00C87018" w:rsidP="00C87018">
      <w:pPr>
        <w:pStyle w:val="FootnoteText"/>
        <w:jc w:val="left"/>
        <w:rPr>
          <w:rFonts w:cstheme="minorHAnsi"/>
        </w:rPr>
      </w:pPr>
      <w:r w:rsidRPr="00492E71">
        <w:rPr>
          <w:rStyle w:val="FootnoteReference"/>
          <w:rFonts w:cstheme="minorHAnsi"/>
        </w:rPr>
        <w:footnoteRef/>
      </w:r>
      <w:r w:rsidRPr="00492E71">
        <w:rPr>
          <w:rFonts w:cstheme="minorHAnsi"/>
        </w:rPr>
        <w:t xml:space="preserve"> CHRP Press Statement 03 March 2017</w:t>
      </w:r>
      <w:r w:rsidR="008034A3" w:rsidRPr="00492E71">
        <w:rPr>
          <w:rFonts w:cstheme="minorHAnsi"/>
        </w:rPr>
        <w:t>,</w:t>
      </w:r>
      <w:r w:rsidRPr="00492E71">
        <w:rPr>
          <w:rFonts w:cstheme="minorHAnsi"/>
        </w:rPr>
        <w:t xml:space="preserve"> </w:t>
      </w:r>
      <w:hyperlink r:id="rId27" w:history="1">
        <w:r w:rsidRPr="00492E71">
          <w:rPr>
            <w:rStyle w:val="Hyperlink"/>
            <w:rFonts w:cstheme="minorHAnsi"/>
          </w:rPr>
          <w:t>http://chr.gov.ph/chr-statement-on-the-resumption-of-oplan-tokhang/</w:t>
        </w:r>
      </w:hyperlink>
      <w:r w:rsidRPr="00492E71">
        <w:rPr>
          <w:rFonts w:cstheme="minorHAnsi"/>
        </w:rPr>
        <w:t xml:space="preserve"> (</w:t>
      </w:r>
      <w:r w:rsidR="008034A3" w:rsidRPr="00492E71">
        <w:rPr>
          <w:rFonts w:cstheme="minorHAnsi"/>
        </w:rPr>
        <w:t>L</w:t>
      </w:r>
      <w:r w:rsidRPr="00492E71">
        <w:rPr>
          <w:rFonts w:cstheme="minorHAnsi"/>
        </w:rPr>
        <w:t>ast accessed</w:t>
      </w:r>
      <w:r w:rsidR="008034A3" w:rsidRPr="00492E71">
        <w:rPr>
          <w:rFonts w:cstheme="minorHAnsi"/>
        </w:rPr>
        <w:t>: 7</w:t>
      </w:r>
      <w:r w:rsidRPr="00492E71">
        <w:rPr>
          <w:rFonts w:cstheme="minorHAnsi"/>
        </w:rPr>
        <w:t xml:space="preserve"> May 2018)</w:t>
      </w:r>
      <w:r w:rsidR="008034A3" w:rsidRPr="00492E71">
        <w:rPr>
          <w:rFonts w:cstheme="minorHAnsi"/>
        </w:rPr>
        <w:t>.</w:t>
      </w:r>
    </w:p>
  </w:footnote>
  <w:footnote w:id="34">
    <w:p w14:paraId="7F7A1A84" w14:textId="70CF01A3" w:rsidR="00C87018" w:rsidRPr="00492E71" w:rsidRDefault="00C87018" w:rsidP="00C87018">
      <w:pPr>
        <w:pStyle w:val="FootnoteText"/>
        <w:jc w:val="left"/>
        <w:rPr>
          <w:rFonts w:cstheme="minorHAnsi"/>
        </w:rPr>
      </w:pPr>
      <w:r w:rsidRPr="00492E71">
        <w:rPr>
          <w:rStyle w:val="FootnoteReference"/>
          <w:rFonts w:cstheme="minorHAnsi"/>
        </w:rPr>
        <w:footnoteRef/>
      </w:r>
      <w:r w:rsidRPr="00492E71">
        <w:rPr>
          <w:rFonts w:cstheme="minorHAnsi"/>
        </w:rPr>
        <w:t xml:space="preserve"> CHRP Press Release 19 May 2017</w:t>
      </w:r>
      <w:r w:rsidR="008034A3" w:rsidRPr="00492E71">
        <w:rPr>
          <w:rFonts w:cstheme="minorHAnsi"/>
        </w:rPr>
        <w:t>,</w:t>
      </w:r>
      <w:r w:rsidRPr="00492E71">
        <w:rPr>
          <w:rFonts w:cstheme="minorHAnsi"/>
        </w:rPr>
        <w:t xml:space="preserve"> </w:t>
      </w:r>
      <w:hyperlink r:id="rId28" w:history="1">
        <w:r w:rsidRPr="00492E71">
          <w:rPr>
            <w:rStyle w:val="Hyperlink"/>
            <w:rFonts w:cstheme="minorHAnsi"/>
          </w:rPr>
          <w:t>http://chr.gov.ph/elementor-6967/</w:t>
        </w:r>
      </w:hyperlink>
      <w:r w:rsidRPr="00492E71">
        <w:rPr>
          <w:rFonts w:cstheme="minorHAnsi"/>
        </w:rPr>
        <w:t xml:space="preserve"> (</w:t>
      </w:r>
      <w:r w:rsidR="008034A3" w:rsidRPr="00492E71">
        <w:rPr>
          <w:rFonts w:cstheme="minorHAnsi"/>
        </w:rPr>
        <w:t>L</w:t>
      </w:r>
      <w:r w:rsidRPr="00492E71">
        <w:rPr>
          <w:rFonts w:cstheme="minorHAnsi"/>
        </w:rPr>
        <w:t>ast accessed</w:t>
      </w:r>
      <w:r w:rsidR="008034A3" w:rsidRPr="00492E71">
        <w:rPr>
          <w:rFonts w:cstheme="minorHAnsi"/>
        </w:rPr>
        <w:t>: 7</w:t>
      </w:r>
      <w:r w:rsidRPr="00492E71">
        <w:rPr>
          <w:rFonts w:cstheme="minorHAnsi"/>
        </w:rPr>
        <w:t xml:space="preserve"> May 2018)</w:t>
      </w:r>
      <w:r w:rsidR="008034A3" w:rsidRPr="00492E71">
        <w:rPr>
          <w:rFonts w:cstheme="minorHAnsi"/>
        </w:rPr>
        <w:t>.</w:t>
      </w:r>
    </w:p>
  </w:footnote>
  <w:footnote w:id="35">
    <w:p w14:paraId="430A4DDB" w14:textId="0CD296A9" w:rsidR="00E26541" w:rsidRPr="00492E71" w:rsidRDefault="00E26541" w:rsidP="00E26541">
      <w:pPr>
        <w:pStyle w:val="FootnoteText"/>
        <w:jc w:val="left"/>
        <w:rPr>
          <w:rFonts w:cstheme="minorHAnsi"/>
        </w:rPr>
      </w:pPr>
      <w:r w:rsidRPr="00492E71">
        <w:rPr>
          <w:rStyle w:val="FootnoteReference"/>
          <w:rFonts w:cstheme="minorHAnsi"/>
        </w:rPr>
        <w:footnoteRef/>
      </w:r>
      <w:r w:rsidRPr="00492E71">
        <w:rPr>
          <w:rFonts w:cstheme="minorHAnsi"/>
        </w:rPr>
        <w:t xml:space="preserve"> CHRP Press Statement 13 August  2017</w:t>
      </w:r>
      <w:r w:rsidR="008034A3" w:rsidRPr="00492E71">
        <w:rPr>
          <w:rFonts w:cstheme="minorHAnsi"/>
        </w:rPr>
        <w:t>,</w:t>
      </w:r>
      <w:r w:rsidRPr="00492E71">
        <w:rPr>
          <w:rFonts w:cstheme="minorHAnsi"/>
        </w:rPr>
        <w:t xml:space="preserve"> </w:t>
      </w:r>
      <w:hyperlink r:id="rId29" w:history="1">
        <w:r w:rsidRPr="00492E71">
          <w:rPr>
            <w:rStyle w:val="Hyperlink"/>
            <w:rFonts w:cstheme="minorHAnsi"/>
          </w:rPr>
          <w:t>http://chr.gov.ph/statement-of-the-commission-on-human-rights-on-the-governments-measures-in-pursuing-personalities-involved-in-illegal-drugs-2/</w:t>
        </w:r>
      </w:hyperlink>
      <w:r w:rsidRPr="00492E71">
        <w:rPr>
          <w:rFonts w:cstheme="minorHAnsi"/>
        </w:rPr>
        <w:t xml:space="preserve"> (</w:t>
      </w:r>
      <w:r w:rsidR="008034A3" w:rsidRPr="00492E71">
        <w:rPr>
          <w:rFonts w:cstheme="minorHAnsi"/>
        </w:rPr>
        <w:t xml:space="preserve">Last accessed: 7 </w:t>
      </w:r>
      <w:r w:rsidRPr="00492E71">
        <w:rPr>
          <w:rFonts w:cstheme="minorHAnsi"/>
        </w:rPr>
        <w:t>May 2018)</w:t>
      </w:r>
      <w:r w:rsidR="008034A3" w:rsidRPr="00492E71">
        <w:rPr>
          <w:rFonts w:cstheme="minorHAnsi"/>
        </w:rPr>
        <w:t>.</w:t>
      </w:r>
    </w:p>
  </w:footnote>
  <w:footnote w:id="36">
    <w:p w14:paraId="0C694512" w14:textId="2213A785" w:rsidR="003B4A86" w:rsidRPr="00492E71" w:rsidRDefault="003B4A86" w:rsidP="003B4A86">
      <w:pPr>
        <w:pStyle w:val="FootnoteText"/>
        <w:jc w:val="left"/>
        <w:rPr>
          <w:rFonts w:cstheme="minorHAnsi"/>
        </w:rPr>
      </w:pPr>
      <w:r w:rsidRPr="00492E71">
        <w:rPr>
          <w:rStyle w:val="FootnoteReference"/>
          <w:rFonts w:cstheme="minorHAnsi"/>
        </w:rPr>
        <w:footnoteRef/>
      </w:r>
      <w:r w:rsidRPr="00492E71">
        <w:rPr>
          <w:rFonts w:cstheme="minorHAnsi"/>
        </w:rPr>
        <w:t xml:space="preserve"> CHRP Press Release 20 August 2017</w:t>
      </w:r>
      <w:r w:rsidR="008034A3" w:rsidRPr="00492E71">
        <w:rPr>
          <w:rFonts w:cstheme="minorHAnsi"/>
        </w:rPr>
        <w:t>,</w:t>
      </w:r>
      <w:r w:rsidRPr="00492E71">
        <w:rPr>
          <w:rFonts w:cstheme="minorHAnsi"/>
        </w:rPr>
        <w:t xml:space="preserve"> </w:t>
      </w:r>
      <w:hyperlink r:id="rId30" w:history="1">
        <w:r w:rsidRPr="00492E71">
          <w:rPr>
            <w:rStyle w:val="Hyperlink"/>
            <w:rFonts w:cstheme="minorHAnsi"/>
          </w:rPr>
          <w:t>http://chr.gov.ph/chr-expresses-alarm-over-high-number-of-deaths-commences-motu-proprio-investigations/</w:t>
        </w:r>
      </w:hyperlink>
      <w:r w:rsidRPr="00492E71">
        <w:rPr>
          <w:rFonts w:cstheme="minorHAnsi"/>
        </w:rPr>
        <w:t xml:space="preserve"> (</w:t>
      </w:r>
      <w:r w:rsidR="008034A3" w:rsidRPr="00492E71">
        <w:rPr>
          <w:rFonts w:cstheme="minorHAnsi"/>
        </w:rPr>
        <w:t>L</w:t>
      </w:r>
      <w:r w:rsidRPr="00492E71">
        <w:rPr>
          <w:rFonts w:cstheme="minorHAnsi"/>
        </w:rPr>
        <w:t>ast accessed</w:t>
      </w:r>
      <w:r w:rsidR="008034A3" w:rsidRPr="00492E71">
        <w:rPr>
          <w:rFonts w:cstheme="minorHAnsi"/>
        </w:rPr>
        <w:t>: 7</w:t>
      </w:r>
      <w:r w:rsidRPr="00492E71">
        <w:rPr>
          <w:rFonts w:cstheme="minorHAnsi"/>
        </w:rPr>
        <w:t xml:space="preserve"> May 2018)</w:t>
      </w:r>
    </w:p>
  </w:footnote>
  <w:footnote w:id="37">
    <w:p w14:paraId="1697BF33" w14:textId="61A6263A" w:rsidR="00E26541" w:rsidRPr="00492E71" w:rsidRDefault="00E26541" w:rsidP="00E26541">
      <w:pPr>
        <w:pStyle w:val="FootnoteText"/>
        <w:jc w:val="left"/>
        <w:rPr>
          <w:rFonts w:cstheme="minorHAnsi"/>
        </w:rPr>
      </w:pPr>
      <w:r w:rsidRPr="00492E71">
        <w:rPr>
          <w:rStyle w:val="FootnoteReference"/>
          <w:rFonts w:cstheme="minorHAnsi"/>
        </w:rPr>
        <w:footnoteRef/>
      </w:r>
      <w:r w:rsidRPr="00492E71">
        <w:rPr>
          <w:rFonts w:cstheme="minorHAnsi"/>
        </w:rPr>
        <w:t xml:space="preserve"> CHRP Press Statement  24 August 2017</w:t>
      </w:r>
      <w:r w:rsidR="008034A3" w:rsidRPr="00492E71">
        <w:rPr>
          <w:rFonts w:cstheme="minorHAnsi"/>
        </w:rPr>
        <w:t>,</w:t>
      </w:r>
      <w:r w:rsidRPr="00492E71">
        <w:rPr>
          <w:rFonts w:cstheme="minorHAnsi"/>
        </w:rPr>
        <w:t xml:space="preserve"> </w:t>
      </w:r>
      <w:hyperlink r:id="rId31" w:history="1">
        <w:r w:rsidRPr="00492E71">
          <w:rPr>
            <w:rStyle w:val="Hyperlink"/>
            <w:rFonts w:cstheme="minorHAnsi"/>
          </w:rPr>
          <w:t>http://chr.gov.ph/chr-calls-for-review-of-house-to-house-drug-testing-policy-stresses-need-to-protect-rights-of-all/</w:t>
        </w:r>
      </w:hyperlink>
      <w:r w:rsidRPr="00492E71">
        <w:rPr>
          <w:rFonts w:cstheme="minorHAnsi"/>
        </w:rPr>
        <w:t xml:space="preserve"> (</w:t>
      </w:r>
      <w:r w:rsidR="008034A3" w:rsidRPr="00492E71">
        <w:rPr>
          <w:rFonts w:cstheme="minorHAnsi"/>
        </w:rPr>
        <w:t>L</w:t>
      </w:r>
      <w:r w:rsidRPr="00492E71">
        <w:rPr>
          <w:rFonts w:cstheme="minorHAnsi"/>
        </w:rPr>
        <w:t>ast accessed</w:t>
      </w:r>
      <w:r w:rsidR="008034A3" w:rsidRPr="00492E71">
        <w:rPr>
          <w:rFonts w:cstheme="minorHAnsi"/>
        </w:rPr>
        <w:t>:</w:t>
      </w:r>
      <w:r w:rsidRPr="00492E71">
        <w:rPr>
          <w:rFonts w:cstheme="minorHAnsi"/>
        </w:rPr>
        <w:t xml:space="preserve"> </w:t>
      </w:r>
      <w:r w:rsidR="008034A3" w:rsidRPr="00492E71">
        <w:rPr>
          <w:rFonts w:cstheme="minorHAnsi"/>
        </w:rPr>
        <w:t xml:space="preserve">7 </w:t>
      </w:r>
      <w:r w:rsidRPr="00492E71">
        <w:rPr>
          <w:rFonts w:cstheme="minorHAnsi"/>
        </w:rPr>
        <w:t>May 2018)</w:t>
      </w:r>
    </w:p>
  </w:footnote>
  <w:footnote w:id="38">
    <w:p w14:paraId="53E6D64D" w14:textId="4A744317" w:rsidR="00CA7FCB" w:rsidRPr="00492E71" w:rsidRDefault="00CA7FCB" w:rsidP="00A75226">
      <w:pPr>
        <w:pStyle w:val="FootnoteText"/>
        <w:jc w:val="left"/>
        <w:rPr>
          <w:rFonts w:cstheme="minorHAnsi"/>
        </w:rPr>
      </w:pPr>
      <w:r w:rsidRPr="00492E71">
        <w:rPr>
          <w:rStyle w:val="FootnoteReference"/>
          <w:rFonts w:cstheme="minorHAnsi"/>
        </w:rPr>
        <w:footnoteRef/>
      </w:r>
      <w:r w:rsidRPr="00492E71">
        <w:rPr>
          <w:rFonts w:cstheme="minorHAnsi"/>
        </w:rPr>
        <w:t xml:space="preserve"> CHRP Press Release 31 August 2017</w:t>
      </w:r>
      <w:r w:rsidR="008034A3" w:rsidRPr="00492E71">
        <w:rPr>
          <w:rFonts w:cstheme="minorHAnsi"/>
        </w:rPr>
        <w:t>,</w:t>
      </w:r>
      <w:r w:rsidRPr="00492E71">
        <w:rPr>
          <w:rFonts w:cstheme="minorHAnsi"/>
        </w:rPr>
        <w:t xml:space="preserve"> </w:t>
      </w:r>
      <w:hyperlink r:id="rId32" w:history="1">
        <w:r w:rsidRPr="00492E71">
          <w:rPr>
            <w:rStyle w:val="Hyperlink"/>
            <w:rFonts w:cstheme="minorHAnsi"/>
          </w:rPr>
          <w:t>http://chr.gov.ph/chr-concerned-over-president-dutertes-remarks-against-un-special-rapporteur-human-rights-defenders/</w:t>
        </w:r>
      </w:hyperlink>
      <w:r w:rsidRPr="00492E71">
        <w:rPr>
          <w:rFonts w:cstheme="minorHAnsi"/>
        </w:rPr>
        <w:t xml:space="preserve"> (</w:t>
      </w:r>
      <w:r w:rsidR="008034A3" w:rsidRPr="00492E71">
        <w:rPr>
          <w:rFonts w:cstheme="minorHAnsi"/>
        </w:rPr>
        <w:t>Last accessed: 7 May 2018).</w:t>
      </w:r>
    </w:p>
  </w:footnote>
  <w:footnote w:id="39">
    <w:p w14:paraId="435DB1F4" w14:textId="057090EB" w:rsidR="003B4A86" w:rsidRPr="00492E71" w:rsidRDefault="003B4A86" w:rsidP="003B4A86">
      <w:pPr>
        <w:pStyle w:val="FootnoteText"/>
        <w:jc w:val="left"/>
        <w:rPr>
          <w:rFonts w:cstheme="minorHAnsi"/>
        </w:rPr>
      </w:pPr>
      <w:r w:rsidRPr="00492E71">
        <w:rPr>
          <w:rStyle w:val="FootnoteReference"/>
          <w:rFonts w:cstheme="minorHAnsi"/>
        </w:rPr>
        <w:footnoteRef/>
      </w:r>
      <w:r w:rsidRPr="00492E71">
        <w:rPr>
          <w:rFonts w:cstheme="minorHAnsi"/>
        </w:rPr>
        <w:t xml:space="preserve"> CHRP Press Release 08 October 2017</w:t>
      </w:r>
      <w:r w:rsidR="008034A3" w:rsidRPr="00492E71">
        <w:rPr>
          <w:rFonts w:cstheme="minorHAnsi"/>
        </w:rPr>
        <w:t>,</w:t>
      </w:r>
      <w:r w:rsidRPr="00492E71">
        <w:rPr>
          <w:rFonts w:cstheme="minorHAnsi"/>
        </w:rPr>
        <w:t xml:space="preserve"> </w:t>
      </w:r>
      <w:hyperlink r:id="rId33" w:history="1">
        <w:r w:rsidRPr="00492E71">
          <w:rPr>
            <w:rStyle w:val="Hyperlink"/>
            <w:rFonts w:cstheme="minorHAnsi"/>
          </w:rPr>
          <w:t>http://chr.gov.ph/statement-of-the-commission-on-human-rights-on-the-sws-survey-on-peoples-perception-of-the-extrajudicial-killing-situation-in-the-country/</w:t>
        </w:r>
      </w:hyperlink>
      <w:r w:rsidRPr="00492E71">
        <w:rPr>
          <w:rFonts w:cstheme="minorHAnsi"/>
        </w:rPr>
        <w:t xml:space="preserve"> (</w:t>
      </w:r>
      <w:r w:rsidR="008034A3" w:rsidRPr="00492E71">
        <w:rPr>
          <w:rFonts w:cstheme="minorHAnsi"/>
        </w:rPr>
        <w:t>L</w:t>
      </w:r>
      <w:r w:rsidRPr="00492E71">
        <w:rPr>
          <w:rFonts w:cstheme="minorHAnsi"/>
        </w:rPr>
        <w:t>ast accessed</w:t>
      </w:r>
      <w:r w:rsidR="008034A3" w:rsidRPr="00492E71">
        <w:rPr>
          <w:rFonts w:cstheme="minorHAnsi"/>
        </w:rPr>
        <w:t>:</w:t>
      </w:r>
      <w:r w:rsidRPr="00492E71">
        <w:rPr>
          <w:rFonts w:cstheme="minorHAnsi"/>
        </w:rPr>
        <w:t xml:space="preserve"> </w:t>
      </w:r>
      <w:r w:rsidR="008034A3" w:rsidRPr="00492E71">
        <w:rPr>
          <w:rFonts w:cstheme="minorHAnsi"/>
        </w:rPr>
        <w:t xml:space="preserve">7 </w:t>
      </w:r>
      <w:r w:rsidRPr="00492E71">
        <w:rPr>
          <w:rFonts w:cstheme="minorHAnsi"/>
        </w:rPr>
        <w:t>May 2018)</w:t>
      </w:r>
    </w:p>
  </w:footnote>
  <w:footnote w:id="40">
    <w:p w14:paraId="7EDA7F24" w14:textId="243AFD0D" w:rsidR="00CD3583" w:rsidRPr="00492E71" w:rsidRDefault="00CD3583" w:rsidP="00CD3583">
      <w:pPr>
        <w:pStyle w:val="FootnoteText"/>
        <w:jc w:val="left"/>
        <w:rPr>
          <w:rFonts w:cstheme="minorHAnsi"/>
        </w:rPr>
      </w:pPr>
      <w:r w:rsidRPr="00492E71">
        <w:rPr>
          <w:rStyle w:val="FootnoteReference"/>
          <w:rFonts w:cstheme="minorHAnsi"/>
        </w:rPr>
        <w:footnoteRef/>
      </w:r>
      <w:r w:rsidRPr="00492E71">
        <w:rPr>
          <w:rFonts w:cstheme="minorHAnsi"/>
        </w:rPr>
        <w:t xml:space="preserve"> CHRP Press Statement 17 October 2017</w:t>
      </w:r>
      <w:r w:rsidR="008034A3" w:rsidRPr="00492E71">
        <w:rPr>
          <w:rFonts w:cstheme="minorHAnsi"/>
        </w:rPr>
        <w:t>,</w:t>
      </w:r>
      <w:r w:rsidRPr="00492E71">
        <w:rPr>
          <w:rFonts w:cstheme="minorHAnsi"/>
        </w:rPr>
        <w:t xml:space="preserve"> </w:t>
      </w:r>
      <w:hyperlink r:id="rId34" w:history="1">
        <w:r w:rsidRPr="00492E71">
          <w:rPr>
            <w:rStyle w:val="Hyperlink"/>
            <w:rFonts w:cstheme="minorHAnsi"/>
          </w:rPr>
          <w:t>http://chr.gov.ph/chr-hopeful-with-pdeas-lead-in-the-drug-campaign/</w:t>
        </w:r>
      </w:hyperlink>
      <w:r w:rsidRPr="00492E71">
        <w:rPr>
          <w:rFonts w:cstheme="minorHAnsi"/>
        </w:rPr>
        <w:t xml:space="preserve"> (</w:t>
      </w:r>
      <w:r w:rsidR="008034A3" w:rsidRPr="00492E71">
        <w:rPr>
          <w:rFonts w:cstheme="minorHAnsi"/>
        </w:rPr>
        <w:t>L</w:t>
      </w:r>
      <w:r w:rsidRPr="00492E71">
        <w:rPr>
          <w:rFonts w:cstheme="minorHAnsi"/>
        </w:rPr>
        <w:t>ast accessed</w:t>
      </w:r>
      <w:r w:rsidR="008034A3" w:rsidRPr="00492E71">
        <w:rPr>
          <w:rFonts w:cstheme="minorHAnsi"/>
        </w:rPr>
        <w:t>: 7</w:t>
      </w:r>
      <w:r w:rsidRPr="00492E71">
        <w:rPr>
          <w:rFonts w:cstheme="minorHAnsi"/>
        </w:rPr>
        <w:t xml:space="preserve"> May 2018)</w:t>
      </w:r>
    </w:p>
  </w:footnote>
  <w:footnote w:id="41">
    <w:p w14:paraId="486BB858" w14:textId="7468E801" w:rsidR="00797960" w:rsidRPr="00492E71" w:rsidRDefault="00797960" w:rsidP="00797960">
      <w:pPr>
        <w:pStyle w:val="FootnoteText"/>
        <w:jc w:val="left"/>
        <w:rPr>
          <w:rFonts w:cstheme="minorHAnsi"/>
        </w:rPr>
      </w:pPr>
      <w:r w:rsidRPr="00492E71">
        <w:rPr>
          <w:rStyle w:val="FootnoteReference"/>
          <w:rFonts w:cstheme="minorHAnsi"/>
        </w:rPr>
        <w:footnoteRef/>
      </w:r>
      <w:r w:rsidRPr="00492E71">
        <w:rPr>
          <w:rFonts w:cstheme="minorHAnsi"/>
        </w:rPr>
        <w:t xml:space="preserve"> CHRP Press Statement 14 January 2018</w:t>
      </w:r>
      <w:r w:rsidR="00E26541" w:rsidRPr="00492E71">
        <w:rPr>
          <w:rFonts w:cstheme="minorHAnsi"/>
        </w:rPr>
        <w:t>,</w:t>
      </w:r>
      <w:r w:rsidRPr="00492E71">
        <w:rPr>
          <w:rFonts w:cstheme="minorHAnsi"/>
        </w:rPr>
        <w:t xml:space="preserve"> </w:t>
      </w:r>
      <w:hyperlink r:id="rId35" w:history="1">
        <w:r w:rsidRPr="00492E71">
          <w:rPr>
            <w:rStyle w:val="Hyperlink"/>
            <w:rFonts w:cstheme="minorHAnsi"/>
          </w:rPr>
          <w:t>http://chr.gov.ph/statement-of-the-commission-on-human-rights-on-the-directive-to-submit-a-list-of-drug-personalities-at-the-barangay-level/</w:t>
        </w:r>
      </w:hyperlink>
      <w:r w:rsidRPr="00492E71">
        <w:rPr>
          <w:rFonts w:cstheme="minorHAnsi"/>
        </w:rPr>
        <w:t xml:space="preserve"> (</w:t>
      </w:r>
      <w:r w:rsidR="00E26541" w:rsidRPr="00492E71">
        <w:rPr>
          <w:rFonts w:cstheme="minorHAnsi"/>
        </w:rPr>
        <w:t>L</w:t>
      </w:r>
      <w:r w:rsidRPr="00492E71">
        <w:rPr>
          <w:rFonts w:cstheme="minorHAnsi"/>
        </w:rPr>
        <w:t>ast accessed</w:t>
      </w:r>
      <w:r w:rsidR="00E26541" w:rsidRPr="00492E71">
        <w:rPr>
          <w:rFonts w:cstheme="minorHAnsi"/>
        </w:rPr>
        <w:t xml:space="preserve">: 7 </w:t>
      </w:r>
      <w:r w:rsidRPr="00492E71">
        <w:rPr>
          <w:rFonts w:cstheme="minorHAnsi"/>
        </w:rPr>
        <w:t>May 2018)</w:t>
      </w:r>
    </w:p>
  </w:footnote>
  <w:footnote w:id="42">
    <w:p w14:paraId="58199463" w14:textId="319BBD0F" w:rsidR="00797960" w:rsidRPr="00492E71" w:rsidRDefault="00797960" w:rsidP="003F4D48">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CHRP Press Statement 6 April 2018</w:t>
      </w:r>
      <w:r w:rsidR="00E26541" w:rsidRPr="00492E71">
        <w:rPr>
          <w:rFonts w:cstheme="minorHAnsi"/>
        </w:rPr>
        <w:t>,</w:t>
      </w:r>
      <w:r w:rsidRPr="00492E71">
        <w:rPr>
          <w:rFonts w:cstheme="minorHAnsi"/>
        </w:rPr>
        <w:t xml:space="preserve"> </w:t>
      </w:r>
      <w:hyperlink r:id="rId36" w:history="1">
        <w:r w:rsidRPr="00492E71">
          <w:rPr>
            <w:rStyle w:val="Hyperlink"/>
            <w:rFonts w:cstheme="minorHAnsi"/>
          </w:rPr>
          <w:t>http://chr.gov.ph/statement-of-the-chr-on-sc-decision-ordering-pnp-to-submit-data-on-anti-illegal-drugs-campaign/</w:t>
        </w:r>
      </w:hyperlink>
      <w:r w:rsidRPr="00492E71">
        <w:rPr>
          <w:rFonts w:cstheme="minorHAnsi"/>
        </w:rPr>
        <w:t xml:space="preserve"> (last Accessed May 7, 2018)</w:t>
      </w:r>
      <w:r w:rsidR="002870DE" w:rsidRPr="00492E71">
        <w:rPr>
          <w:rFonts w:cstheme="minorHAnsi"/>
        </w:rPr>
        <w:t>.</w:t>
      </w:r>
    </w:p>
  </w:footnote>
  <w:footnote w:id="43">
    <w:p w14:paraId="6EC33750" w14:textId="0147913F" w:rsidR="00797960" w:rsidRPr="00492E71" w:rsidRDefault="00797960" w:rsidP="003F4D48">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CHRP Press Statement 20 April 2018</w:t>
      </w:r>
      <w:r w:rsidR="00E26541" w:rsidRPr="00492E71">
        <w:rPr>
          <w:rFonts w:cstheme="minorHAnsi"/>
        </w:rPr>
        <w:t>,</w:t>
      </w:r>
      <w:r w:rsidRPr="00492E71">
        <w:rPr>
          <w:rFonts w:cstheme="minorHAnsi"/>
        </w:rPr>
        <w:t xml:space="preserve"> </w:t>
      </w:r>
      <w:hyperlink r:id="rId37" w:history="1">
        <w:r w:rsidRPr="00492E71">
          <w:rPr>
            <w:rStyle w:val="Hyperlink"/>
            <w:rFonts w:cstheme="minorHAnsi"/>
          </w:rPr>
          <w:t>http://chr.gov.ph/statement-of-the-chr-on-the-plan-of-pdea-to-release-the-names-of-barangay-officials-who-are-allegedly-involved-in-the-illegal-drug-trade/</w:t>
        </w:r>
      </w:hyperlink>
      <w:r w:rsidRPr="00492E71">
        <w:rPr>
          <w:rFonts w:cstheme="minorHAnsi"/>
        </w:rPr>
        <w:t xml:space="preserve"> (</w:t>
      </w:r>
      <w:r w:rsidR="00E26541" w:rsidRPr="00492E71">
        <w:rPr>
          <w:rFonts w:cstheme="minorHAnsi"/>
        </w:rPr>
        <w:t>L</w:t>
      </w:r>
      <w:r w:rsidRPr="00492E71">
        <w:rPr>
          <w:rFonts w:cstheme="minorHAnsi"/>
        </w:rPr>
        <w:t>ast accessed</w:t>
      </w:r>
      <w:r w:rsidR="00E26541" w:rsidRPr="00492E71">
        <w:rPr>
          <w:rFonts w:cstheme="minorHAnsi"/>
        </w:rPr>
        <w:t>: 7</w:t>
      </w:r>
      <w:r w:rsidRPr="00492E71">
        <w:rPr>
          <w:rFonts w:cstheme="minorHAnsi"/>
        </w:rPr>
        <w:t xml:space="preserve"> May</w:t>
      </w:r>
      <w:r w:rsidR="00E26541" w:rsidRPr="00492E71">
        <w:rPr>
          <w:rFonts w:cstheme="minorHAnsi"/>
        </w:rPr>
        <w:t xml:space="preserve"> </w:t>
      </w:r>
      <w:r w:rsidRPr="00492E71">
        <w:rPr>
          <w:rFonts w:cstheme="minorHAnsi"/>
        </w:rPr>
        <w:t>2018)</w:t>
      </w:r>
      <w:r w:rsidR="002870DE" w:rsidRPr="00492E71">
        <w:rPr>
          <w:rFonts w:cstheme="minorHAnsi"/>
        </w:rPr>
        <w:t>.</w:t>
      </w:r>
    </w:p>
  </w:footnote>
  <w:footnote w:id="44">
    <w:p w14:paraId="04D0537B" w14:textId="4A3BD4D3" w:rsidR="00FD5AD5" w:rsidRPr="00492E71" w:rsidRDefault="00FD5AD5" w:rsidP="00FD5AD5">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Commission on Human Rights of the Philippines and Dr. Christopher Ward SC, “In Defense of the Right to Life: International Law and Death Penalty in the Philippines,” pages 15-16, </w:t>
      </w:r>
      <w:hyperlink r:id="rId38" w:history="1">
        <w:r w:rsidRPr="00492E71">
          <w:rPr>
            <w:rStyle w:val="Hyperlink"/>
            <w:rFonts w:cstheme="minorHAnsi"/>
          </w:rPr>
          <w:t>http://regnet.anu.edu.au/sites/default/files/uploads/2017-03/In-Defense-of-the-Right-to-Life-IL-and-Death-Penalty-in-the-Philippines.pdf</w:t>
        </w:r>
      </w:hyperlink>
      <w:r w:rsidRPr="00492E71">
        <w:rPr>
          <w:rFonts w:cstheme="minorHAnsi"/>
        </w:rPr>
        <w:t xml:space="preserve"> (Last accessed: 17 May 2018).</w:t>
      </w:r>
    </w:p>
  </w:footnote>
  <w:footnote w:id="45">
    <w:p w14:paraId="2A870607" w14:textId="75290FC1" w:rsidR="002870DE" w:rsidRPr="00492E71" w:rsidRDefault="002870DE" w:rsidP="003F4D48">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Denunciation of and Withdrawal from International Treatise to Reimpose the Death Penalty (CHR A2017-002), </w:t>
      </w:r>
      <w:hyperlink r:id="rId39" w:history="1">
        <w:r w:rsidRPr="00492E71">
          <w:rPr>
            <w:rStyle w:val="Hyperlink"/>
            <w:rFonts w:cstheme="minorHAnsi"/>
          </w:rPr>
          <w:t>http://chr.gov.ph/wp-content/uploads/2018/03/Denunciation-of-and-Withdrawal-from-International-Treatise-to-Reimpose-the-Death-Penalty.pdf</w:t>
        </w:r>
      </w:hyperlink>
      <w:r w:rsidRPr="00492E71">
        <w:rPr>
          <w:rFonts w:cstheme="minorHAnsi"/>
        </w:rPr>
        <w:t xml:space="preserve"> (Last accessed: 17 May 2018).</w:t>
      </w:r>
    </w:p>
  </w:footnote>
  <w:footnote w:id="46">
    <w:p w14:paraId="197E099D" w14:textId="77777777" w:rsidR="00A66975" w:rsidRPr="00492E71" w:rsidRDefault="00A66975" w:rsidP="00A66975">
      <w:pPr>
        <w:pStyle w:val="FootnoteText"/>
        <w:ind w:left="284" w:firstLine="73"/>
        <w:jc w:val="left"/>
        <w:rPr>
          <w:rFonts w:cstheme="minorHAnsi"/>
        </w:rPr>
      </w:pPr>
      <w:r w:rsidRPr="00492E71">
        <w:rPr>
          <w:rStyle w:val="FootnoteReference"/>
          <w:rFonts w:cstheme="minorHAnsi"/>
        </w:rPr>
        <w:footnoteRef/>
      </w:r>
      <w:r w:rsidRPr="00492E71">
        <w:rPr>
          <w:rFonts w:cstheme="minorHAnsi"/>
        </w:rPr>
        <w:t xml:space="preserve"> CHRP, DILG Proposal to Use Stickers to Identify Drug Free Homes (CHR A2017-005), </w:t>
      </w:r>
      <w:hyperlink r:id="rId40" w:history="1">
        <w:r w:rsidRPr="00492E71">
          <w:rPr>
            <w:rStyle w:val="Hyperlink"/>
            <w:rFonts w:cstheme="minorHAnsi"/>
          </w:rPr>
          <w:t>http://chr.gov.ph/dilg-proposal-to-use-stickers-to-identify-drug-free-homes-chr-a2017-005/</w:t>
        </w:r>
      </w:hyperlink>
      <w:r w:rsidRPr="00492E71">
        <w:rPr>
          <w:rFonts w:cstheme="minorHAnsi"/>
        </w:rPr>
        <w:t xml:space="preserve"> (Last accessed: 7 May 2018)</w:t>
      </w:r>
    </w:p>
  </w:footnote>
  <w:footnote w:id="47">
    <w:p w14:paraId="1B6D3AB3" w14:textId="136F3E1E" w:rsidR="00423454" w:rsidRPr="00492E71" w:rsidRDefault="00423454" w:rsidP="004767E9">
      <w:pPr>
        <w:pStyle w:val="FootnoteText"/>
        <w:ind w:left="284" w:firstLine="73"/>
        <w:rPr>
          <w:rFonts w:cstheme="minorHAnsi"/>
        </w:rPr>
      </w:pPr>
      <w:r w:rsidRPr="00492E71">
        <w:rPr>
          <w:rStyle w:val="FootnoteReference"/>
          <w:rFonts w:cstheme="minorHAnsi"/>
        </w:rPr>
        <w:footnoteRef/>
      </w:r>
      <w:r w:rsidRPr="00492E71">
        <w:rPr>
          <w:rFonts w:cstheme="minorHAnsi"/>
        </w:rPr>
        <w:t xml:space="preserve"> Free Legal Assistance Group (FLAG) Anti-Death Penalty Task Force and the Office of the Chancellor, University of the Philippines and the Institute of Human Rights, University of the Philippines Law Center, “Drug Issues, Different Perspectives: A Policy Forum Documentation Report,” 2017. See also the forum summary of NoBox Philippines: </w:t>
      </w:r>
      <w:hyperlink r:id="rId41" w:history="1">
        <w:r w:rsidRPr="00492E71">
          <w:rPr>
            <w:rStyle w:val="Hyperlink"/>
            <w:rFonts w:cstheme="minorHAnsi"/>
          </w:rPr>
          <w:t>https://nobox.ph/post/policy-forum-summary</w:t>
        </w:r>
      </w:hyperlink>
      <w:r w:rsidRPr="00492E71">
        <w:rPr>
          <w:rFonts w:cstheme="minorHAnsi"/>
        </w:rPr>
        <w:t xml:space="preserve"> </w:t>
      </w:r>
      <w:r w:rsidR="00387F67" w:rsidRPr="00492E71">
        <w:rPr>
          <w:rFonts w:cstheme="minorHAnsi"/>
        </w:rPr>
        <w:t xml:space="preserve">; highlights from Rappler: </w:t>
      </w:r>
      <w:hyperlink r:id="rId42" w:history="1">
        <w:r w:rsidR="00387F67" w:rsidRPr="00492E71">
          <w:rPr>
            <w:rStyle w:val="Hyperlink"/>
            <w:rFonts w:cstheme="minorHAnsi"/>
          </w:rPr>
          <w:t>https://www.rappler.com/nation/168924-free-legal-assistance-group-drug-issues-different-perspectives-policy-forum</w:t>
        </w:r>
      </w:hyperlink>
      <w:r w:rsidR="00387F67" w:rsidRPr="00492E71">
        <w:rPr>
          <w:rFonts w:cstheme="minorHAnsi"/>
        </w:rPr>
        <w:t xml:space="preserve"> </w:t>
      </w:r>
    </w:p>
  </w:footnote>
  <w:footnote w:id="48">
    <w:p w14:paraId="03C420B5" w14:textId="05682EC3" w:rsidR="007724BE" w:rsidRPr="00492E71" w:rsidRDefault="007724BE" w:rsidP="00B739B3">
      <w:pPr>
        <w:pStyle w:val="FootnoteText"/>
        <w:ind w:left="284" w:firstLine="73"/>
        <w:rPr>
          <w:rFonts w:cstheme="minorHAnsi"/>
        </w:rPr>
      </w:pPr>
      <w:r w:rsidRPr="00492E71">
        <w:rPr>
          <w:rStyle w:val="FootnoteReference"/>
          <w:rFonts w:cstheme="minorHAnsi"/>
        </w:rPr>
        <w:footnoteRef/>
      </w:r>
      <w:r w:rsidRPr="00492E71">
        <w:rPr>
          <w:rFonts w:cstheme="minorHAnsi"/>
        </w:rPr>
        <w:t xml:space="preserve"> Members of the FLAG Anti-Death Penalty Task Force include the Commission on Human Rights of the Philippines, Philippine Jesuit Prison Service Foundation, Inc., Samahan ng mga Pamilya sa Death Row, Catholic Bishops Conference of the Philippines – Episcopal Commission on Prison Pastoral Care, Coalition Against the Death Penalty, DNA Analysis Laboratory of the Natural Sciences Research Institute of the University of the Philippines, NoBox Transitions Foundation Inc., and the Development Legal Advocacy Clinic – College of Law of the De La Salle University.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D9A"/>
    <w:multiLevelType w:val="hybridMultilevel"/>
    <w:tmpl w:val="8B84AE54"/>
    <w:lvl w:ilvl="0" w:tplc="B4D8491E">
      <w:start w:val="1"/>
      <w:numFmt w:val="lowerLetter"/>
      <w:lvlText w:val="%1."/>
      <w:lvlJc w:val="left"/>
      <w:pPr>
        <w:ind w:left="1077" w:hanging="360"/>
      </w:pPr>
      <w:rPr>
        <w:rFonts w:hint="default"/>
      </w:rPr>
    </w:lvl>
    <w:lvl w:ilvl="1" w:tplc="34090019" w:tentative="1">
      <w:start w:val="1"/>
      <w:numFmt w:val="lowerLetter"/>
      <w:lvlText w:val="%2."/>
      <w:lvlJc w:val="left"/>
      <w:pPr>
        <w:ind w:left="1797" w:hanging="360"/>
      </w:pPr>
    </w:lvl>
    <w:lvl w:ilvl="2" w:tplc="3409001B" w:tentative="1">
      <w:start w:val="1"/>
      <w:numFmt w:val="lowerRoman"/>
      <w:lvlText w:val="%3."/>
      <w:lvlJc w:val="right"/>
      <w:pPr>
        <w:ind w:left="2517" w:hanging="180"/>
      </w:pPr>
    </w:lvl>
    <w:lvl w:ilvl="3" w:tplc="3409000F" w:tentative="1">
      <w:start w:val="1"/>
      <w:numFmt w:val="decimal"/>
      <w:lvlText w:val="%4."/>
      <w:lvlJc w:val="left"/>
      <w:pPr>
        <w:ind w:left="3237" w:hanging="360"/>
      </w:pPr>
    </w:lvl>
    <w:lvl w:ilvl="4" w:tplc="34090019" w:tentative="1">
      <w:start w:val="1"/>
      <w:numFmt w:val="lowerLetter"/>
      <w:lvlText w:val="%5."/>
      <w:lvlJc w:val="left"/>
      <w:pPr>
        <w:ind w:left="3957" w:hanging="360"/>
      </w:pPr>
    </w:lvl>
    <w:lvl w:ilvl="5" w:tplc="3409001B" w:tentative="1">
      <w:start w:val="1"/>
      <w:numFmt w:val="lowerRoman"/>
      <w:lvlText w:val="%6."/>
      <w:lvlJc w:val="right"/>
      <w:pPr>
        <w:ind w:left="4677" w:hanging="180"/>
      </w:pPr>
    </w:lvl>
    <w:lvl w:ilvl="6" w:tplc="3409000F" w:tentative="1">
      <w:start w:val="1"/>
      <w:numFmt w:val="decimal"/>
      <w:lvlText w:val="%7."/>
      <w:lvlJc w:val="left"/>
      <w:pPr>
        <w:ind w:left="5397" w:hanging="360"/>
      </w:pPr>
    </w:lvl>
    <w:lvl w:ilvl="7" w:tplc="34090019" w:tentative="1">
      <w:start w:val="1"/>
      <w:numFmt w:val="lowerLetter"/>
      <w:lvlText w:val="%8."/>
      <w:lvlJc w:val="left"/>
      <w:pPr>
        <w:ind w:left="6117" w:hanging="360"/>
      </w:pPr>
    </w:lvl>
    <w:lvl w:ilvl="8" w:tplc="3409001B" w:tentative="1">
      <w:start w:val="1"/>
      <w:numFmt w:val="lowerRoman"/>
      <w:lvlText w:val="%9."/>
      <w:lvlJc w:val="right"/>
      <w:pPr>
        <w:ind w:left="6837" w:hanging="180"/>
      </w:pPr>
    </w:lvl>
  </w:abstractNum>
  <w:abstractNum w:abstractNumId="1" w15:restartNumberingAfterBreak="0">
    <w:nsid w:val="030876E2"/>
    <w:multiLevelType w:val="hybridMultilevel"/>
    <w:tmpl w:val="9D786BC6"/>
    <w:lvl w:ilvl="0" w:tplc="3409000F">
      <w:start w:val="1"/>
      <w:numFmt w:val="decimal"/>
      <w:lvlText w:val="%1."/>
      <w:lvlJc w:val="left"/>
      <w:pPr>
        <w:ind w:left="1077" w:hanging="360"/>
      </w:pPr>
    </w:lvl>
    <w:lvl w:ilvl="1" w:tplc="34090019" w:tentative="1">
      <w:start w:val="1"/>
      <w:numFmt w:val="lowerLetter"/>
      <w:lvlText w:val="%2."/>
      <w:lvlJc w:val="left"/>
      <w:pPr>
        <w:ind w:left="1797" w:hanging="360"/>
      </w:pPr>
    </w:lvl>
    <w:lvl w:ilvl="2" w:tplc="3409001B" w:tentative="1">
      <w:start w:val="1"/>
      <w:numFmt w:val="lowerRoman"/>
      <w:lvlText w:val="%3."/>
      <w:lvlJc w:val="right"/>
      <w:pPr>
        <w:ind w:left="2517" w:hanging="180"/>
      </w:pPr>
    </w:lvl>
    <w:lvl w:ilvl="3" w:tplc="3409000F" w:tentative="1">
      <w:start w:val="1"/>
      <w:numFmt w:val="decimal"/>
      <w:lvlText w:val="%4."/>
      <w:lvlJc w:val="left"/>
      <w:pPr>
        <w:ind w:left="3237" w:hanging="360"/>
      </w:pPr>
    </w:lvl>
    <w:lvl w:ilvl="4" w:tplc="34090019" w:tentative="1">
      <w:start w:val="1"/>
      <w:numFmt w:val="lowerLetter"/>
      <w:lvlText w:val="%5."/>
      <w:lvlJc w:val="left"/>
      <w:pPr>
        <w:ind w:left="3957" w:hanging="360"/>
      </w:pPr>
    </w:lvl>
    <w:lvl w:ilvl="5" w:tplc="3409001B" w:tentative="1">
      <w:start w:val="1"/>
      <w:numFmt w:val="lowerRoman"/>
      <w:lvlText w:val="%6."/>
      <w:lvlJc w:val="right"/>
      <w:pPr>
        <w:ind w:left="4677" w:hanging="180"/>
      </w:pPr>
    </w:lvl>
    <w:lvl w:ilvl="6" w:tplc="3409000F" w:tentative="1">
      <w:start w:val="1"/>
      <w:numFmt w:val="decimal"/>
      <w:lvlText w:val="%7."/>
      <w:lvlJc w:val="left"/>
      <w:pPr>
        <w:ind w:left="5397" w:hanging="360"/>
      </w:pPr>
    </w:lvl>
    <w:lvl w:ilvl="7" w:tplc="34090019" w:tentative="1">
      <w:start w:val="1"/>
      <w:numFmt w:val="lowerLetter"/>
      <w:lvlText w:val="%8."/>
      <w:lvlJc w:val="left"/>
      <w:pPr>
        <w:ind w:left="6117" w:hanging="360"/>
      </w:pPr>
    </w:lvl>
    <w:lvl w:ilvl="8" w:tplc="3409001B" w:tentative="1">
      <w:start w:val="1"/>
      <w:numFmt w:val="lowerRoman"/>
      <w:lvlText w:val="%9."/>
      <w:lvlJc w:val="right"/>
      <w:pPr>
        <w:ind w:left="6837" w:hanging="180"/>
      </w:pPr>
    </w:lvl>
  </w:abstractNum>
  <w:abstractNum w:abstractNumId="2" w15:restartNumberingAfterBreak="0">
    <w:nsid w:val="0DE77A0D"/>
    <w:multiLevelType w:val="hybridMultilevel"/>
    <w:tmpl w:val="AFC6B6C8"/>
    <w:lvl w:ilvl="0" w:tplc="029EB880">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EB272B3"/>
    <w:multiLevelType w:val="hybridMultilevel"/>
    <w:tmpl w:val="C62E49FC"/>
    <w:lvl w:ilvl="0" w:tplc="0E400846">
      <w:start w:val="1"/>
      <w:numFmt w:val="lowerLetter"/>
      <w:lvlText w:val="%1."/>
      <w:lvlJc w:val="left"/>
      <w:pPr>
        <w:ind w:left="717" w:hanging="360"/>
      </w:pPr>
      <w:rPr>
        <w:rFonts w:hint="default"/>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4" w15:restartNumberingAfterBreak="0">
    <w:nsid w:val="0EDB1F7A"/>
    <w:multiLevelType w:val="hybridMultilevel"/>
    <w:tmpl w:val="A080DAC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E73139"/>
    <w:multiLevelType w:val="hybridMultilevel"/>
    <w:tmpl w:val="4CA278CC"/>
    <w:lvl w:ilvl="0" w:tplc="34090001">
      <w:start w:val="1"/>
      <w:numFmt w:val="bullet"/>
      <w:lvlText w:val=""/>
      <w:lvlJc w:val="left"/>
      <w:pPr>
        <w:ind w:left="2235" w:hanging="360"/>
      </w:pPr>
      <w:rPr>
        <w:rFonts w:ascii="Symbol" w:hAnsi="Symbol" w:hint="default"/>
      </w:rPr>
    </w:lvl>
    <w:lvl w:ilvl="1" w:tplc="34090003" w:tentative="1">
      <w:start w:val="1"/>
      <w:numFmt w:val="bullet"/>
      <w:lvlText w:val="o"/>
      <w:lvlJc w:val="left"/>
      <w:pPr>
        <w:ind w:left="2955" w:hanging="360"/>
      </w:pPr>
      <w:rPr>
        <w:rFonts w:ascii="Courier New" w:hAnsi="Courier New" w:cs="Courier New" w:hint="default"/>
      </w:rPr>
    </w:lvl>
    <w:lvl w:ilvl="2" w:tplc="34090005" w:tentative="1">
      <w:start w:val="1"/>
      <w:numFmt w:val="bullet"/>
      <w:lvlText w:val=""/>
      <w:lvlJc w:val="left"/>
      <w:pPr>
        <w:ind w:left="3675" w:hanging="360"/>
      </w:pPr>
      <w:rPr>
        <w:rFonts w:ascii="Wingdings" w:hAnsi="Wingdings" w:hint="default"/>
      </w:rPr>
    </w:lvl>
    <w:lvl w:ilvl="3" w:tplc="34090001" w:tentative="1">
      <w:start w:val="1"/>
      <w:numFmt w:val="bullet"/>
      <w:lvlText w:val=""/>
      <w:lvlJc w:val="left"/>
      <w:pPr>
        <w:ind w:left="4395" w:hanging="360"/>
      </w:pPr>
      <w:rPr>
        <w:rFonts w:ascii="Symbol" w:hAnsi="Symbol" w:hint="default"/>
      </w:rPr>
    </w:lvl>
    <w:lvl w:ilvl="4" w:tplc="34090003" w:tentative="1">
      <w:start w:val="1"/>
      <w:numFmt w:val="bullet"/>
      <w:lvlText w:val="o"/>
      <w:lvlJc w:val="left"/>
      <w:pPr>
        <w:ind w:left="5115" w:hanging="360"/>
      </w:pPr>
      <w:rPr>
        <w:rFonts w:ascii="Courier New" w:hAnsi="Courier New" w:cs="Courier New" w:hint="default"/>
      </w:rPr>
    </w:lvl>
    <w:lvl w:ilvl="5" w:tplc="34090005" w:tentative="1">
      <w:start w:val="1"/>
      <w:numFmt w:val="bullet"/>
      <w:lvlText w:val=""/>
      <w:lvlJc w:val="left"/>
      <w:pPr>
        <w:ind w:left="5835" w:hanging="360"/>
      </w:pPr>
      <w:rPr>
        <w:rFonts w:ascii="Wingdings" w:hAnsi="Wingdings" w:hint="default"/>
      </w:rPr>
    </w:lvl>
    <w:lvl w:ilvl="6" w:tplc="34090001" w:tentative="1">
      <w:start w:val="1"/>
      <w:numFmt w:val="bullet"/>
      <w:lvlText w:val=""/>
      <w:lvlJc w:val="left"/>
      <w:pPr>
        <w:ind w:left="6555" w:hanging="360"/>
      </w:pPr>
      <w:rPr>
        <w:rFonts w:ascii="Symbol" w:hAnsi="Symbol" w:hint="default"/>
      </w:rPr>
    </w:lvl>
    <w:lvl w:ilvl="7" w:tplc="34090003" w:tentative="1">
      <w:start w:val="1"/>
      <w:numFmt w:val="bullet"/>
      <w:lvlText w:val="o"/>
      <w:lvlJc w:val="left"/>
      <w:pPr>
        <w:ind w:left="7275" w:hanging="360"/>
      </w:pPr>
      <w:rPr>
        <w:rFonts w:ascii="Courier New" w:hAnsi="Courier New" w:cs="Courier New" w:hint="default"/>
      </w:rPr>
    </w:lvl>
    <w:lvl w:ilvl="8" w:tplc="34090005" w:tentative="1">
      <w:start w:val="1"/>
      <w:numFmt w:val="bullet"/>
      <w:lvlText w:val=""/>
      <w:lvlJc w:val="left"/>
      <w:pPr>
        <w:ind w:left="7995" w:hanging="360"/>
      </w:pPr>
      <w:rPr>
        <w:rFonts w:ascii="Wingdings" w:hAnsi="Wingdings" w:hint="default"/>
      </w:rPr>
    </w:lvl>
  </w:abstractNum>
  <w:abstractNum w:abstractNumId="6" w15:restartNumberingAfterBreak="0">
    <w:nsid w:val="12015F28"/>
    <w:multiLevelType w:val="hybridMultilevel"/>
    <w:tmpl w:val="A336C1DA"/>
    <w:lvl w:ilvl="0" w:tplc="34090001">
      <w:start w:val="1"/>
      <w:numFmt w:val="bullet"/>
      <w:lvlText w:val=""/>
      <w:lvlJc w:val="left"/>
      <w:pPr>
        <w:ind w:left="1437" w:hanging="360"/>
      </w:pPr>
      <w:rPr>
        <w:rFonts w:ascii="Symbol" w:hAnsi="Symbol" w:hint="default"/>
      </w:rPr>
    </w:lvl>
    <w:lvl w:ilvl="1" w:tplc="34090003" w:tentative="1">
      <w:start w:val="1"/>
      <w:numFmt w:val="bullet"/>
      <w:lvlText w:val="o"/>
      <w:lvlJc w:val="left"/>
      <w:pPr>
        <w:ind w:left="2157" w:hanging="360"/>
      </w:pPr>
      <w:rPr>
        <w:rFonts w:ascii="Courier New" w:hAnsi="Courier New" w:cs="Courier New" w:hint="default"/>
      </w:rPr>
    </w:lvl>
    <w:lvl w:ilvl="2" w:tplc="34090005" w:tentative="1">
      <w:start w:val="1"/>
      <w:numFmt w:val="bullet"/>
      <w:lvlText w:val=""/>
      <w:lvlJc w:val="left"/>
      <w:pPr>
        <w:ind w:left="2877" w:hanging="360"/>
      </w:pPr>
      <w:rPr>
        <w:rFonts w:ascii="Wingdings" w:hAnsi="Wingdings" w:hint="default"/>
      </w:rPr>
    </w:lvl>
    <w:lvl w:ilvl="3" w:tplc="34090001" w:tentative="1">
      <w:start w:val="1"/>
      <w:numFmt w:val="bullet"/>
      <w:lvlText w:val=""/>
      <w:lvlJc w:val="left"/>
      <w:pPr>
        <w:ind w:left="3597" w:hanging="360"/>
      </w:pPr>
      <w:rPr>
        <w:rFonts w:ascii="Symbol" w:hAnsi="Symbol" w:hint="default"/>
      </w:rPr>
    </w:lvl>
    <w:lvl w:ilvl="4" w:tplc="34090003" w:tentative="1">
      <w:start w:val="1"/>
      <w:numFmt w:val="bullet"/>
      <w:lvlText w:val="o"/>
      <w:lvlJc w:val="left"/>
      <w:pPr>
        <w:ind w:left="4317" w:hanging="360"/>
      </w:pPr>
      <w:rPr>
        <w:rFonts w:ascii="Courier New" w:hAnsi="Courier New" w:cs="Courier New" w:hint="default"/>
      </w:rPr>
    </w:lvl>
    <w:lvl w:ilvl="5" w:tplc="34090005" w:tentative="1">
      <w:start w:val="1"/>
      <w:numFmt w:val="bullet"/>
      <w:lvlText w:val=""/>
      <w:lvlJc w:val="left"/>
      <w:pPr>
        <w:ind w:left="5037" w:hanging="360"/>
      </w:pPr>
      <w:rPr>
        <w:rFonts w:ascii="Wingdings" w:hAnsi="Wingdings" w:hint="default"/>
      </w:rPr>
    </w:lvl>
    <w:lvl w:ilvl="6" w:tplc="34090001" w:tentative="1">
      <w:start w:val="1"/>
      <w:numFmt w:val="bullet"/>
      <w:lvlText w:val=""/>
      <w:lvlJc w:val="left"/>
      <w:pPr>
        <w:ind w:left="5757" w:hanging="360"/>
      </w:pPr>
      <w:rPr>
        <w:rFonts w:ascii="Symbol" w:hAnsi="Symbol" w:hint="default"/>
      </w:rPr>
    </w:lvl>
    <w:lvl w:ilvl="7" w:tplc="34090003" w:tentative="1">
      <w:start w:val="1"/>
      <w:numFmt w:val="bullet"/>
      <w:lvlText w:val="o"/>
      <w:lvlJc w:val="left"/>
      <w:pPr>
        <w:ind w:left="6477" w:hanging="360"/>
      </w:pPr>
      <w:rPr>
        <w:rFonts w:ascii="Courier New" w:hAnsi="Courier New" w:cs="Courier New" w:hint="default"/>
      </w:rPr>
    </w:lvl>
    <w:lvl w:ilvl="8" w:tplc="34090005" w:tentative="1">
      <w:start w:val="1"/>
      <w:numFmt w:val="bullet"/>
      <w:lvlText w:val=""/>
      <w:lvlJc w:val="left"/>
      <w:pPr>
        <w:ind w:left="7197" w:hanging="360"/>
      </w:pPr>
      <w:rPr>
        <w:rFonts w:ascii="Wingdings" w:hAnsi="Wingdings" w:hint="default"/>
      </w:rPr>
    </w:lvl>
  </w:abstractNum>
  <w:abstractNum w:abstractNumId="7" w15:restartNumberingAfterBreak="0">
    <w:nsid w:val="195E6C1C"/>
    <w:multiLevelType w:val="hybridMultilevel"/>
    <w:tmpl w:val="04AA4A80"/>
    <w:lvl w:ilvl="0" w:tplc="715C597A">
      <w:start w:val="1"/>
      <w:numFmt w:val="decimal"/>
      <w:lvlText w:val="%1."/>
      <w:lvlJc w:val="left"/>
      <w:pPr>
        <w:ind w:left="1077" w:hanging="360"/>
      </w:pPr>
      <w:rPr>
        <w:color w:val="auto"/>
      </w:rPr>
    </w:lvl>
    <w:lvl w:ilvl="1" w:tplc="34090019" w:tentative="1">
      <w:start w:val="1"/>
      <w:numFmt w:val="lowerLetter"/>
      <w:lvlText w:val="%2."/>
      <w:lvlJc w:val="left"/>
      <w:pPr>
        <w:ind w:left="1797" w:hanging="360"/>
      </w:pPr>
    </w:lvl>
    <w:lvl w:ilvl="2" w:tplc="3409001B" w:tentative="1">
      <w:start w:val="1"/>
      <w:numFmt w:val="lowerRoman"/>
      <w:lvlText w:val="%3."/>
      <w:lvlJc w:val="right"/>
      <w:pPr>
        <w:ind w:left="2517" w:hanging="180"/>
      </w:pPr>
    </w:lvl>
    <w:lvl w:ilvl="3" w:tplc="3409000F" w:tentative="1">
      <w:start w:val="1"/>
      <w:numFmt w:val="decimal"/>
      <w:lvlText w:val="%4."/>
      <w:lvlJc w:val="left"/>
      <w:pPr>
        <w:ind w:left="3237" w:hanging="360"/>
      </w:pPr>
    </w:lvl>
    <w:lvl w:ilvl="4" w:tplc="34090019" w:tentative="1">
      <w:start w:val="1"/>
      <w:numFmt w:val="lowerLetter"/>
      <w:lvlText w:val="%5."/>
      <w:lvlJc w:val="left"/>
      <w:pPr>
        <w:ind w:left="3957" w:hanging="360"/>
      </w:pPr>
    </w:lvl>
    <w:lvl w:ilvl="5" w:tplc="3409001B" w:tentative="1">
      <w:start w:val="1"/>
      <w:numFmt w:val="lowerRoman"/>
      <w:lvlText w:val="%6."/>
      <w:lvlJc w:val="right"/>
      <w:pPr>
        <w:ind w:left="4677" w:hanging="180"/>
      </w:pPr>
    </w:lvl>
    <w:lvl w:ilvl="6" w:tplc="3409000F" w:tentative="1">
      <w:start w:val="1"/>
      <w:numFmt w:val="decimal"/>
      <w:lvlText w:val="%7."/>
      <w:lvlJc w:val="left"/>
      <w:pPr>
        <w:ind w:left="5397" w:hanging="360"/>
      </w:pPr>
    </w:lvl>
    <w:lvl w:ilvl="7" w:tplc="34090019" w:tentative="1">
      <w:start w:val="1"/>
      <w:numFmt w:val="lowerLetter"/>
      <w:lvlText w:val="%8."/>
      <w:lvlJc w:val="left"/>
      <w:pPr>
        <w:ind w:left="6117" w:hanging="360"/>
      </w:pPr>
    </w:lvl>
    <w:lvl w:ilvl="8" w:tplc="3409001B" w:tentative="1">
      <w:start w:val="1"/>
      <w:numFmt w:val="lowerRoman"/>
      <w:lvlText w:val="%9."/>
      <w:lvlJc w:val="right"/>
      <w:pPr>
        <w:ind w:left="6837" w:hanging="180"/>
      </w:pPr>
    </w:lvl>
  </w:abstractNum>
  <w:abstractNum w:abstractNumId="8" w15:restartNumberingAfterBreak="0">
    <w:nsid w:val="19A3275B"/>
    <w:multiLevelType w:val="hybridMultilevel"/>
    <w:tmpl w:val="1B4A404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FBE6BC5"/>
    <w:multiLevelType w:val="hybridMultilevel"/>
    <w:tmpl w:val="845AF6F6"/>
    <w:lvl w:ilvl="0" w:tplc="3409000F">
      <w:start w:val="1"/>
      <w:numFmt w:val="decimal"/>
      <w:lvlText w:val="%1."/>
      <w:lvlJc w:val="left"/>
      <w:pPr>
        <w:ind w:left="1077" w:hanging="360"/>
      </w:pPr>
    </w:lvl>
    <w:lvl w:ilvl="1" w:tplc="34090019" w:tentative="1">
      <w:start w:val="1"/>
      <w:numFmt w:val="lowerLetter"/>
      <w:lvlText w:val="%2."/>
      <w:lvlJc w:val="left"/>
      <w:pPr>
        <w:ind w:left="1797" w:hanging="360"/>
      </w:pPr>
    </w:lvl>
    <w:lvl w:ilvl="2" w:tplc="3409001B" w:tentative="1">
      <w:start w:val="1"/>
      <w:numFmt w:val="lowerRoman"/>
      <w:lvlText w:val="%3."/>
      <w:lvlJc w:val="right"/>
      <w:pPr>
        <w:ind w:left="2517" w:hanging="180"/>
      </w:pPr>
    </w:lvl>
    <w:lvl w:ilvl="3" w:tplc="3409000F" w:tentative="1">
      <w:start w:val="1"/>
      <w:numFmt w:val="decimal"/>
      <w:lvlText w:val="%4."/>
      <w:lvlJc w:val="left"/>
      <w:pPr>
        <w:ind w:left="3237" w:hanging="360"/>
      </w:pPr>
    </w:lvl>
    <w:lvl w:ilvl="4" w:tplc="34090019" w:tentative="1">
      <w:start w:val="1"/>
      <w:numFmt w:val="lowerLetter"/>
      <w:lvlText w:val="%5."/>
      <w:lvlJc w:val="left"/>
      <w:pPr>
        <w:ind w:left="3957" w:hanging="360"/>
      </w:pPr>
    </w:lvl>
    <w:lvl w:ilvl="5" w:tplc="3409001B" w:tentative="1">
      <w:start w:val="1"/>
      <w:numFmt w:val="lowerRoman"/>
      <w:lvlText w:val="%6."/>
      <w:lvlJc w:val="right"/>
      <w:pPr>
        <w:ind w:left="4677" w:hanging="180"/>
      </w:pPr>
    </w:lvl>
    <w:lvl w:ilvl="6" w:tplc="3409000F" w:tentative="1">
      <w:start w:val="1"/>
      <w:numFmt w:val="decimal"/>
      <w:lvlText w:val="%7."/>
      <w:lvlJc w:val="left"/>
      <w:pPr>
        <w:ind w:left="5397" w:hanging="360"/>
      </w:pPr>
    </w:lvl>
    <w:lvl w:ilvl="7" w:tplc="34090019" w:tentative="1">
      <w:start w:val="1"/>
      <w:numFmt w:val="lowerLetter"/>
      <w:lvlText w:val="%8."/>
      <w:lvlJc w:val="left"/>
      <w:pPr>
        <w:ind w:left="6117" w:hanging="360"/>
      </w:pPr>
    </w:lvl>
    <w:lvl w:ilvl="8" w:tplc="3409001B" w:tentative="1">
      <w:start w:val="1"/>
      <w:numFmt w:val="lowerRoman"/>
      <w:lvlText w:val="%9."/>
      <w:lvlJc w:val="right"/>
      <w:pPr>
        <w:ind w:left="6837" w:hanging="180"/>
      </w:pPr>
    </w:lvl>
  </w:abstractNum>
  <w:abstractNum w:abstractNumId="10" w15:restartNumberingAfterBreak="0">
    <w:nsid w:val="283129B3"/>
    <w:multiLevelType w:val="hybridMultilevel"/>
    <w:tmpl w:val="6A84C960"/>
    <w:lvl w:ilvl="0" w:tplc="4BE622F6">
      <w:start w:val="1"/>
      <w:numFmt w:val="decimal"/>
      <w:lvlText w:val="%1."/>
      <w:lvlJc w:val="left"/>
      <w:pPr>
        <w:ind w:left="717" w:hanging="360"/>
      </w:pPr>
      <w:rPr>
        <w:rFonts w:hint="default"/>
        <w:b w:val="0"/>
      </w:rPr>
    </w:lvl>
    <w:lvl w:ilvl="1" w:tplc="34090019">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abstractNum w:abstractNumId="11" w15:restartNumberingAfterBreak="0">
    <w:nsid w:val="2FFE4E8B"/>
    <w:multiLevelType w:val="hybridMultilevel"/>
    <w:tmpl w:val="BB786A80"/>
    <w:lvl w:ilvl="0" w:tplc="34090001">
      <w:start w:val="1"/>
      <w:numFmt w:val="bullet"/>
      <w:lvlText w:val=""/>
      <w:lvlJc w:val="left"/>
      <w:pPr>
        <w:ind w:left="2820" w:hanging="360"/>
      </w:pPr>
      <w:rPr>
        <w:rFonts w:ascii="Symbol" w:hAnsi="Symbol" w:hint="default"/>
      </w:rPr>
    </w:lvl>
    <w:lvl w:ilvl="1" w:tplc="34090003" w:tentative="1">
      <w:start w:val="1"/>
      <w:numFmt w:val="bullet"/>
      <w:lvlText w:val="o"/>
      <w:lvlJc w:val="left"/>
      <w:pPr>
        <w:ind w:left="3540" w:hanging="360"/>
      </w:pPr>
      <w:rPr>
        <w:rFonts w:ascii="Courier New" w:hAnsi="Courier New" w:cs="Courier New" w:hint="default"/>
      </w:rPr>
    </w:lvl>
    <w:lvl w:ilvl="2" w:tplc="34090005" w:tentative="1">
      <w:start w:val="1"/>
      <w:numFmt w:val="bullet"/>
      <w:lvlText w:val=""/>
      <w:lvlJc w:val="left"/>
      <w:pPr>
        <w:ind w:left="4260" w:hanging="360"/>
      </w:pPr>
      <w:rPr>
        <w:rFonts w:ascii="Wingdings" w:hAnsi="Wingdings" w:hint="default"/>
      </w:rPr>
    </w:lvl>
    <w:lvl w:ilvl="3" w:tplc="34090001" w:tentative="1">
      <w:start w:val="1"/>
      <w:numFmt w:val="bullet"/>
      <w:lvlText w:val=""/>
      <w:lvlJc w:val="left"/>
      <w:pPr>
        <w:ind w:left="4980" w:hanging="360"/>
      </w:pPr>
      <w:rPr>
        <w:rFonts w:ascii="Symbol" w:hAnsi="Symbol" w:hint="default"/>
      </w:rPr>
    </w:lvl>
    <w:lvl w:ilvl="4" w:tplc="34090003" w:tentative="1">
      <w:start w:val="1"/>
      <w:numFmt w:val="bullet"/>
      <w:lvlText w:val="o"/>
      <w:lvlJc w:val="left"/>
      <w:pPr>
        <w:ind w:left="5700" w:hanging="360"/>
      </w:pPr>
      <w:rPr>
        <w:rFonts w:ascii="Courier New" w:hAnsi="Courier New" w:cs="Courier New" w:hint="default"/>
      </w:rPr>
    </w:lvl>
    <w:lvl w:ilvl="5" w:tplc="34090005" w:tentative="1">
      <w:start w:val="1"/>
      <w:numFmt w:val="bullet"/>
      <w:lvlText w:val=""/>
      <w:lvlJc w:val="left"/>
      <w:pPr>
        <w:ind w:left="6420" w:hanging="360"/>
      </w:pPr>
      <w:rPr>
        <w:rFonts w:ascii="Wingdings" w:hAnsi="Wingdings" w:hint="default"/>
      </w:rPr>
    </w:lvl>
    <w:lvl w:ilvl="6" w:tplc="34090001" w:tentative="1">
      <w:start w:val="1"/>
      <w:numFmt w:val="bullet"/>
      <w:lvlText w:val=""/>
      <w:lvlJc w:val="left"/>
      <w:pPr>
        <w:ind w:left="7140" w:hanging="360"/>
      </w:pPr>
      <w:rPr>
        <w:rFonts w:ascii="Symbol" w:hAnsi="Symbol" w:hint="default"/>
      </w:rPr>
    </w:lvl>
    <w:lvl w:ilvl="7" w:tplc="34090003" w:tentative="1">
      <w:start w:val="1"/>
      <w:numFmt w:val="bullet"/>
      <w:lvlText w:val="o"/>
      <w:lvlJc w:val="left"/>
      <w:pPr>
        <w:ind w:left="7860" w:hanging="360"/>
      </w:pPr>
      <w:rPr>
        <w:rFonts w:ascii="Courier New" w:hAnsi="Courier New" w:cs="Courier New" w:hint="default"/>
      </w:rPr>
    </w:lvl>
    <w:lvl w:ilvl="8" w:tplc="34090005" w:tentative="1">
      <w:start w:val="1"/>
      <w:numFmt w:val="bullet"/>
      <w:lvlText w:val=""/>
      <w:lvlJc w:val="left"/>
      <w:pPr>
        <w:ind w:left="8580" w:hanging="360"/>
      </w:pPr>
      <w:rPr>
        <w:rFonts w:ascii="Wingdings" w:hAnsi="Wingdings" w:hint="default"/>
      </w:rPr>
    </w:lvl>
  </w:abstractNum>
  <w:abstractNum w:abstractNumId="12" w15:restartNumberingAfterBreak="0">
    <w:nsid w:val="37712AF9"/>
    <w:multiLevelType w:val="hybridMultilevel"/>
    <w:tmpl w:val="97A05F98"/>
    <w:lvl w:ilvl="0" w:tplc="8CD68180">
      <w:start w:val="10"/>
      <w:numFmt w:val="decimal"/>
      <w:lvlText w:val="%1."/>
      <w:lvlJc w:val="left"/>
      <w:pPr>
        <w:ind w:left="717"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A807796"/>
    <w:multiLevelType w:val="hybridMultilevel"/>
    <w:tmpl w:val="21E48194"/>
    <w:lvl w:ilvl="0" w:tplc="734EE112">
      <w:start w:val="1"/>
      <w:numFmt w:val="decimal"/>
      <w:lvlText w:val="%1."/>
      <w:lvlJc w:val="left"/>
      <w:pPr>
        <w:ind w:left="1077" w:hanging="360"/>
      </w:pPr>
      <w:rPr>
        <w:rFonts w:hint="default"/>
      </w:rPr>
    </w:lvl>
    <w:lvl w:ilvl="1" w:tplc="34090019" w:tentative="1">
      <w:start w:val="1"/>
      <w:numFmt w:val="lowerLetter"/>
      <w:lvlText w:val="%2."/>
      <w:lvlJc w:val="left"/>
      <w:pPr>
        <w:ind w:left="1797" w:hanging="360"/>
      </w:pPr>
    </w:lvl>
    <w:lvl w:ilvl="2" w:tplc="3409001B" w:tentative="1">
      <w:start w:val="1"/>
      <w:numFmt w:val="lowerRoman"/>
      <w:lvlText w:val="%3."/>
      <w:lvlJc w:val="right"/>
      <w:pPr>
        <w:ind w:left="2517" w:hanging="180"/>
      </w:pPr>
    </w:lvl>
    <w:lvl w:ilvl="3" w:tplc="3409000F" w:tentative="1">
      <w:start w:val="1"/>
      <w:numFmt w:val="decimal"/>
      <w:lvlText w:val="%4."/>
      <w:lvlJc w:val="left"/>
      <w:pPr>
        <w:ind w:left="3237" w:hanging="360"/>
      </w:pPr>
    </w:lvl>
    <w:lvl w:ilvl="4" w:tplc="34090019" w:tentative="1">
      <w:start w:val="1"/>
      <w:numFmt w:val="lowerLetter"/>
      <w:lvlText w:val="%5."/>
      <w:lvlJc w:val="left"/>
      <w:pPr>
        <w:ind w:left="3957" w:hanging="360"/>
      </w:pPr>
    </w:lvl>
    <w:lvl w:ilvl="5" w:tplc="3409001B" w:tentative="1">
      <w:start w:val="1"/>
      <w:numFmt w:val="lowerRoman"/>
      <w:lvlText w:val="%6."/>
      <w:lvlJc w:val="right"/>
      <w:pPr>
        <w:ind w:left="4677" w:hanging="180"/>
      </w:pPr>
    </w:lvl>
    <w:lvl w:ilvl="6" w:tplc="3409000F" w:tentative="1">
      <w:start w:val="1"/>
      <w:numFmt w:val="decimal"/>
      <w:lvlText w:val="%7."/>
      <w:lvlJc w:val="left"/>
      <w:pPr>
        <w:ind w:left="5397" w:hanging="360"/>
      </w:pPr>
    </w:lvl>
    <w:lvl w:ilvl="7" w:tplc="34090019" w:tentative="1">
      <w:start w:val="1"/>
      <w:numFmt w:val="lowerLetter"/>
      <w:lvlText w:val="%8."/>
      <w:lvlJc w:val="left"/>
      <w:pPr>
        <w:ind w:left="6117" w:hanging="360"/>
      </w:pPr>
    </w:lvl>
    <w:lvl w:ilvl="8" w:tplc="3409001B" w:tentative="1">
      <w:start w:val="1"/>
      <w:numFmt w:val="lowerRoman"/>
      <w:lvlText w:val="%9."/>
      <w:lvlJc w:val="right"/>
      <w:pPr>
        <w:ind w:left="6837" w:hanging="180"/>
      </w:pPr>
    </w:lvl>
  </w:abstractNum>
  <w:abstractNum w:abstractNumId="14" w15:restartNumberingAfterBreak="0">
    <w:nsid w:val="3FAD007B"/>
    <w:multiLevelType w:val="hybridMultilevel"/>
    <w:tmpl w:val="47C8380A"/>
    <w:lvl w:ilvl="0" w:tplc="34090001">
      <w:start w:val="1"/>
      <w:numFmt w:val="bullet"/>
      <w:lvlText w:val=""/>
      <w:lvlJc w:val="left"/>
      <w:pPr>
        <w:ind w:left="2100" w:hanging="360"/>
      </w:pPr>
      <w:rPr>
        <w:rFonts w:ascii="Symbol" w:hAnsi="Symbol" w:hint="default"/>
      </w:rPr>
    </w:lvl>
    <w:lvl w:ilvl="1" w:tplc="34090003" w:tentative="1">
      <w:start w:val="1"/>
      <w:numFmt w:val="bullet"/>
      <w:lvlText w:val="o"/>
      <w:lvlJc w:val="left"/>
      <w:pPr>
        <w:ind w:left="2820" w:hanging="360"/>
      </w:pPr>
      <w:rPr>
        <w:rFonts w:ascii="Courier New" w:hAnsi="Courier New" w:cs="Courier New" w:hint="default"/>
      </w:rPr>
    </w:lvl>
    <w:lvl w:ilvl="2" w:tplc="34090005" w:tentative="1">
      <w:start w:val="1"/>
      <w:numFmt w:val="bullet"/>
      <w:lvlText w:val=""/>
      <w:lvlJc w:val="left"/>
      <w:pPr>
        <w:ind w:left="3540" w:hanging="360"/>
      </w:pPr>
      <w:rPr>
        <w:rFonts w:ascii="Wingdings" w:hAnsi="Wingdings" w:hint="default"/>
      </w:rPr>
    </w:lvl>
    <w:lvl w:ilvl="3" w:tplc="34090001" w:tentative="1">
      <w:start w:val="1"/>
      <w:numFmt w:val="bullet"/>
      <w:lvlText w:val=""/>
      <w:lvlJc w:val="left"/>
      <w:pPr>
        <w:ind w:left="4260" w:hanging="360"/>
      </w:pPr>
      <w:rPr>
        <w:rFonts w:ascii="Symbol" w:hAnsi="Symbol" w:hint="default"/>
      </w:rPr>
    </w:lvl>
    <w:lvl w:ilvl="4" w:tplc="34090003" w:tentative="1">
      <w:start w:val="1"/>
      <w:numFmt w:val="bullet"/>
      <w:lvlText w:val="o"/>
      <w:lvlJc w:val="left"/>
      <w:pPr>
        <w:ind w:left="4980" w:hanging="360"/>
      </w:pPr>
      <w:rPr>
        <w:rFonts w:ascii="Courier New" w:hAnsi="Courier New" w:cs="Courier New" w:hint="default"/>
      </w:rPr>
    </w:lvl>
    <w:lvl w:ilvl="5" w:tplc="34090005" w:tentative="1">
      <w:start w:val="1"/>
      <w:numFmt w:val="bullet"/>
      <w:lvlText w:val=""/>
      <w:lvlJc w:val="left"/>
      <w:pPr>
        <w:ind w:left="5700" w:hanging="360"/>
      </w:pPr>
      <w:rPr>
        <w:rFonts w:ascii="Wingdings" w:hAnsi="Wingdings" w:hint="default"/>
      </w:rPr>
    </w:lvl>
    <w:lvl w:ilvl="6" w:tplc="34090001" w:tentative="1">
      <w:start w:val="1"/>
      <w:numFmt w:val="bullet"/>
      <w:lvlText w:val=""/>
      <w:lvlJc w:val="left"/>
      <w:pPr>
        <w:ind w:left="6420" w:hanging="360"/>
      </w:pPr>
      <w:rPr>
        <w:rFonts w:ascii="Symbol" w:hAnsi="Symbol" w:hint="default"/>
      </w:rPr>
    </w:lvl>
    <w:lvl w:ilvl="7" w:tplc="34090003" w:tentative="1">
      <w:start w:val="1"/>
      <w:numFmt w:val="bullet"/>
      <w:lvlText w:val="o"/>
      <w:lvlJc w:val="left"/>
      <w:pPr>
        <w:ind w:left="7140" w:hanging="360"/>
      </w:pPr>
      <w:rPr>
        <w:rFonts w:ascii="Courier New" w:hAnsi="Courier New" w:cs="Courier New" w:hint="default"/>
      </w:rPr>
    </w:lvl>
    <w:lvl w:ilvl="8" w:tplc="34090005" w:tentative="1">
      <w:start w:val="1"/>
      <w:numFmt w:val="bullet"/>
      <w:lvlText w:val=""/>
      <w:lvlJc w:val="left"/>
      <w:pPr>
        <w:ind w:left="7860" w:hanging="360"/>
      </w:pPr>
      <w:rPr>
        <w:rFonts w:ascii="Wingdings" w:hAnsi="Wingdings" w:hint="default"/>
      </w:rPr>
    </w:lvl>
  </w:abstractNum>
  <w:abstractNum w:abstractNumId="15" w15:restartNumberingAfterBreak="0">
    <w:nsid w:val="403743D5"/>
    <w:multiLevelType w:val="hybridMultilevel"/>
    <w:tmpl w:val="0B28430A"/>
    <w:lvl w:ilvl="0" w:tplc="34090017">
      <w:start w:val="1"/>
      <w:numFmt w:val="lowerLetter"/>
      <w:lvlText w:val="%1)"/>
      <w:lvlJc w:val="left"/>
      <w:pPr>
        <w:ind w:left="1077" w:hanging="360"/>
      </w:pPr>
    </w:lvl>
    <w:lvl w:ilvl="1" w:tplc="34090019" w:tentative="1">
      <w:start w:val="1"/>
      <w:numFmt w:val="lowerLetter"/>
      <w:lvlText w:val="%2."/>
      <w:lvlJc w:val="left"/>
      <w:pPr>
        <w:ind w:left="1797" w:hanging="360"/>
      </w:pPr>
    </w:lvl>
    <w:lvl w:ilvl="2" w:tplc="3409001B" w:tentative="1">
      <w:start w:val="1"/>
      <w:numFmt w:val="lowerRoman"/>
      <w:lvlText w:val="%3."/>
      <w:lvlJc w:val="right"/>
      <w:pPr>
        <w:ind w:left="2517" w:hanging="180"/>
      </w:pPr>
    </w:lvl>
    <w:lvl w:ilvl="3" w:tplc="3409000F" w:tentative="1">
      <w:start w:val="1"/>
      <w:numFmt w:val="decimal"/>
      <w:lvlText w:val="%4."/>
      <w:lvlJc w:val="left"/>
      <w:pPr>
        <w:ind w:left="3237" w:hanging="360"/>
      </w:pPr>
    </w:lvl>
    <w:lvl w:ilvl="4" w:tplc="34090019" w:tentative="1">
      <w:start w:val="1"/>
      <w:numFmt w:val="lowerLetter"/>
      <w:lvlText w:val="%5."/>
      <w:lvlJc w:val="left"/>
      <w:pPr>
        <w:ind w:left="3957" w:hanging="360"/>
      </w:pPr>
    </w:lvl>
    <w:lvl w:ilvl="5" w:tplc="3409001B" w:tentative="1">
      <w:start w:val="1"/>
      <w:numFmt w:val="lowerRoman"/>
      <w:lvlText w:val="%6."/>
      <w:lvlJc w:val="right"/>
      <w:pPr>
        <w:ind w:left="4677" w:hanging="180"/>
      </w:pPr>
    </w:lvl>
    <w:lvl w:ilvl="6" w:tplc="3409000F" w:tentative="1">
      <w:start w:val="1"/>
      <w:numFmt w:val="decimal"/>
      <w:lvlText w:val="%7."/>
      <w:lvlJc w:val="left"/>
      <w:pPr>
        <w:ind w:left="5397" w:hanging="360"/>
      </w:pPr>
    </w:lvl>
    <w:lvl w:ilvl="7" w:tplc="34090019" w:tentative="1">
      <w:start w:val="1"/>
      <w:numFmt w:val="lowerLetter"/>
      <w:lvlText w:val="%8."/>
      <w:lvlJc w:val="left"/>
      <w:pPr>
        <w:ind w:left="6117" w:hanging="360"/>
      </w:pPr>
    </w:lvl>
    <w:lvl w:ilvl="8" w:tplc="3409001B" w:tentative="1">
      <w:start w:val="1"/>
      <w:numFmt w:val="lowerRoman"/>
      <w:lvlText w:val="%9."/>
      <w:lvlJc w:val="right"/>
      <w:pPr>
        <w:ind w:left="6837" w:hanging="180"/>
      </w:pPr>
    </w:lvl>
  </w:abstractNum>
  <w:abstractNum w:abstractNumId="16" w15:restartNumberingAfterBreak="0">
    <w:nsid w:val="41922E52"/>
    <w:multiLevelType w:val="hybridMultilevel"/>
    <w:tmpl w:val="7AE66AC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7" w15:restartNumberingAfterBreak="0">
    <w:nsid w:val="492D0C69"/>
    <w:multiLevelType w:val="hybridMultilevel"/>
    <w:tmpl w:val="9A48613C"/>
    <w:lvl w:ilvl="0" w:tplc="34090017">
      <w:start w:val="1"/>
      <w:numFmt w:val="lowerLetter"/>
      <w:lvlText w:val="%1)"/>
      <w:lvlJc w:val="left"/>
      <w:pPr>
        <w:ind w:left="1077" w:hanging="360"/>
      </w:pPr>
    </w:lvl>
    <w:lvl w:ilvl="1" w:tplc="34090019" w:tentative="1">
      <w:start w:val="1"/>
      <w:numFmt w:val="lowerLetter"/>
      <w:lvlText w:val="%2."/>
      <w:lvlJc w:val="left"/>
      <w:pPr>
        <w:ind w:left="1797" w:hanging="360"/>
      </w:pPr>
    </w:lvl>
    <w:lvl w:ilvl="2" w:tplc="3409001B" w:tentative="1">
      <w:start w:val="1"/>
      <w:numFmt w:val="lowerRoman"/>
      <w:lvlText w:val="%3."/>
      <w:lvlJc w:val="right"/>
      <w:pPr>
        <w:ind w:left="2517" w:hanging="180"/>
      </w:pPr>
    </w:lvl>
    <w:lvl w:ilvl="3" w:tplc="3409000F" w:tentative="1">
      <w:start w:val="1"/>
      <w:numFmt w:val="decimal"/>
      <w:lvlText w:val="%4."/>
      <w:lvlJc w:val="left"/>
      <w:pPr>
        <w:ind w:left="3237" w:hanging="360"/>
      </w:pPr>
    </w:lvl>
    <w:lvl w:ilvl="4" w:tplc="34090019" w:tentative="1">
      <w:start w:val="1"/>
      <w:numFmt w:val="lowerLetter"/>
      <w:lvlText w:val="%5."/>
      <w:lvlJc w:val="left"/>
      <w:pPr>
        <w:ind w:left="3957" w:hanging="360"/>
      </w:pPr>
    </w:lvl>
    <w:lvl w:ilvl="5" w:tplc="3409001B" w:tentative="1">
      <w:start w:val="1"/>
      <w:numFmt w:val="lowerRoman"/>
      <w:lvlText w:val="%6."/>
      <w:lvlJc w:val="right"/>
      <w:pPr>
        <w:ind w:left="4677" w:hanging="180"/>
      </w:pPr>
    </w:lvl>
    <w:lvl w:ilvl="6" w:tplc="3409000F" w:tentative="1">
      <w:start w:val="1"/>
      <w:numFmt w:val="decimal"/>
      <w:lvlText w:val="%7."/>
      <w:lvlJc w:val="left"/>
      <w:pPr>
        <w:ind w:left="5397" w:hanging="360"/>
      </w:pPr>
    </w:lvl>
    <w:lvl w:ilvl="7" w:tplc="34090019" w:tentative="1">
      <w:start w:val="1"/>
      <w:numFmt w:val="lowerLetter"/>
      <w:lvlText w:val="%8."/>
      <w:lvlJc w:val="left"/>
      <w:pPr>
        <w:ind w:left="6117" w:hanging="360"/>
      </w:pPr>
    </w:lvl>
    <w:lvl w:ilvl="8" w:tplc="3409001B" w:tentative="1">
      <w:start w:val="1"/>
      <w:numFmt w:val="lowerRoman"/>
      <w:lvlText w:val="%9."/>
      <w:lvlJc w:val="right"/>
      <w:pPr>
        <w:ind w:left="6837" w:hanging="180"/>
      </w:pPr>
    </w:lvl>
  </w:abstractNum>
  <w:abstractNum w:abstractNumId="18" w15:restartNumberingAfterBreak="0">
    <w:nsid w:val="4999394F"/>
    <w:multiLevelType w:val="hybridMultilevel"/>
    <w:tmpl w:val="72361C16"/>
    <w:lvl w:ilvl="0" w:tplc="34090017">
      <w:start w:val="1"/>
      <w:numFmt w:val="lowerLetter"/>
      <w:lvlText w:val="%1)"/>
      <w:lvlJc w:val="left"/>
      <w:pPr>
        <w:ind w:left="2565" w:hanging="360"/>
      </w:pPr>
    </w:lvl>
    <w:lvl w:ilvl="1" w:tplc="34090019" w:tentative="1">
      <w:start w:val="1"/>
      <w:numFmt w:val="lowerLetter"/>
      <w:lvlText w:val="%2."/>
      <w:lvlJc w:val="left"/>
      <w:pPr>
        <w:ind w:left="3285" w:hanging="360"/>
      </w:pPr>
    </w:lvl>
    <w:lvl w:ilvl="2" w:tplc="3409001B" w:tentative="1">
      <w:start w:val="1"/>
      <w:numFmt w:val="lowerRoman"/>
      <w:lvlText w:val="%3."/>
      <w:lvlJc w:val="right"/>
      <w:pPr>
        <w:ind w:left="4005" w:hanging="180"/>
      </w:pPr>
    </w:lvl>
    <w:lvl w:ilvl="3" w:tplc="3409000F" w:tentative="1">
      <w:start w:val="1"/>
      <w:numFmt w:val="decimal"/>
      <w:lvlText w:val="%4."/>
      <w:lvlJc w:val="left"/>
      <w:pPr>
        <w:ind w:left="4725" w:hanging="360"/>
      </w:pPr>
    </w:lvl>
    <w:lvl w:ilvl="4" w:tplc="34090019" w:tentative="1">
      <w:start w:val="1"/>
      <w:numFmt w:val="lowerLetter"/>
      <w:lvlText w:val="%5."/>
      <w:lvlJc w:val="left"/>
      <w:pPr>
        <w:ind w:left="5445" w:hanging="360"/>
      </w:pPr>
    </w:lvl>
    <w:lvl w:ilvl="5" w:tplc="3409001B" w:tentative="1">
      <w:start w:val="1"/>
      <w:numFmt w:val="lowerRoman"/>
      <w:lvlText w:val="%6."/>
      <w:lvlJc w:val="right"/>
      <w:pPr>
        <w:ind w:left="6165" w:hanging="180"/>
      </w:pPr>
    </w:lvl>
    <w:lvl w:ilvl="6" w:tplc="3409000F" w:tentative="1">
      <w:start w:val="1"/>
      <w:numFmt w:val="decimal"/>
      <w:lvlText w:val="%7."/>
      <w:lvlJc w:val="left"/>
      <w:pPr>
        <w:ind w:left="6885" w:hanging="360"/>
      </w:pPr>
    </w:lvl>
    <w:lvl w:ilvl="7" w:tplc="34090019" w:tentative="1">
      <w:start w:val="1"/>
      <w:numFmt w:val="lowerLetter"/>
      <w:lvlText w:val="%8."/>
      <w:lvlJc w:val="left"/>
      <w:pPr>
        <w:ind w:left="7605" w:hanging="360"/>
      </w:pPr>
    </w:lvl>
    <w:lvl w:ilvl="8" w:tplc="3409001B" w:tentative="1">
      <w:start w:val="1"/>
      <w:numFmt w:val="lowerRoman"/>
      <w:lvlText w:val="%9."/>
      <w:lvlJc w:val="right"/>
      <w:pPr>
        <w:ind w:left="8325" w:hanging="180"/>
      </w:pPr>
    </w:lvl>
  </w:abstractNum>
  <w:abstractNum w:abstractNumId="19" w15:restartNumberingAfterBreak="0">
    <w:nsid w:val="4A4B660F"/>
    <w:multiLevelType w:val="hybridMultilevel"/>
    <w:tmpl w:val="4738BCF4"/>
    <w:lvl w:ilvl="0" w:tplc="602A9DDA">
      <w:start w:val="2"/>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B095EBF"/>
    <w:multiLevelType w:val="hybridMultilevel"/>
    <w:tmpl w:val="0E2E691C"/>
    <w:lvl w:ilvl="0" w:tplc="34090011">
      <w:start w:val="1"/>
      <w:numFmt w:val="decimal"/>
      <w:lvlText w:val="%1)"/>
      <w:lvlJc w:val="left"/>
      <w:pPr>
        <w:ind w:left="4185" w:hanging="360"/>
      </w:pPr>
    </w:lvl>
    <w:lvl w:ilvl="1" w:tplc="34090019" w:tentative="1">
      <w:start w:val="1"/>
      <w:numFmt w:val="lowerLetter"/>
      <w:lvlText w:val="%2."/>
      <w:lvlJc w:val="left"/>
      <w:pPr>
        <w:ind w:left="4905" w:hanging="360"/>
      </w:pPr>
    </w:lvl>
    <w:lvl w:ilvl="2" w:tplc="3409001B" w:tentative="1">
      <w:start w:val="1"/>
      <w:numFmt w:val="lowerRoman"/>
      <w:lvlText w:val="%3."/>
      <w:lvlJc w:val="right"/>
      <w:pPr>
        <w:ind w:left="5625" w:hanging="180"/>
      </w:pPr>
    </w:lvl>
    <w:lvl w:ilvl="3" w:tplc="3409000F" w:tentative="1">
      <w:start w:val="1"/>
      <w:numFmt w:val="decimal"/>
      <w:lvlText w:val="%4."/>
      <w:lvlJc w:val="left"/>
      <w:pPr>
        <w:ind w:left="6345" w:hanging="360"/>
      </w:pPr>
    </w:lvl>
    <w:lvl w:ilvl="4" w:tplc="34090019" w:tentative="1">
      <w:start w:val="1"/>
      <w:numFmt w:val="lowerLetter"/>
      <w:lvlText w:val="%5."/>
      <w:lvlJc w:val="left"/>
      <w:pPr>
        <w:ind w:left="7065" w:hanging="360"/>
      </w:pPr>
    </w:lvl>
    <w:lvl w:ilvl="5" w:tplc="3409001B" w:tentative="1">
      <w:start w:val="1"/>
      <w:numFmt w:val="lowerRoman"/>
      <w:lvlText w:val="%6."/>
      <w:lvlJc w:val="right"/>
      <w:pPr>
        <w:ind w:left="7785" w:hanging="180"/>
      </w:pPr>
    </w:lvl>
    <w:lvl w:ilvl="6" w:tplc="3409000F" w:tentative="1">
      <w:start w:val="1"/>
      <w:numFmt w:val="decimal"/>
      <w:lvlText w:val="%7."/>
      <w:lvlJc w:val="left"/>
      <w:pPr>
        <w:ind w:left="8505" w:hanging="360"/>
      </w:pPr>
    </w:lvl>
    <w:lvl w:ilvl="7" w:tplc="34090019" w:tentative="1">
      <w:start w:val="1"/>
      <w:numFmt w:val="lowerLetter"/>
      <w:lvlText w:val="%8."/>
      <w:lvlJc w:val="left"/>
      <w:pPr>
        <w:ind w:left="9225" w:hanging="360"/>
      </w:pPr>
    </w:lvl>
    <w:lvl w:ilvl="8" w:tplc="3409001B" w:tentative="1">
      <w:start w:val="1"/>
      <w:numFmt w:val="lowerRoman"/>
      <w:lvlText w:val="%9."/>
      <w:lvlJc w:val="right"/>
      <w:pPr>
        <w:ind w:left="9945" w:hanging="180"/>
      </w:pPr>
    </w:lvl>
  </w:abstractNum>
  <w:abstractNum w:abstractNumId="21" w15:restartNumberingAfterBreak="0">
    <w:nsid w:val="4FC0441D"/>
    <w:multiLevelType w:val="hybridMultilevel"/>
    <w:tmpl w:val="A050AD7C"/>
    <w:lvl w:ilvl="0" w:tplc="3409000F">
      <w:start w:val="1"/>
      <w:numFmt w:val="decimal"/>
      <w:lvlText w:val="%1."/>
      <w:lvlJc w:val="left"/>
      <w:pPr>
        <w:ind w:left="1077" w:hanging="360"/>
      </w:pPr>
    </w:lvl>
    <w:lvl w:ilvl="1" w:tplc="34090019" w:tentative="1">
      <w:start w:val="1"/>
      <w:numFmt w:val="lowerLetter"/>
      <w:lvlText w:val="%2."/>
      <w:lvlJc w:val="left"/>
      <w:pPr>
        <w:ind w:left="1797" w:hanging="360"/>
      </w:pPr>
    </w:lvl>
    <w:lvl w:ilvl="2" w:tplc="3409001B" w:tentative="1">
      <w:start w:val="1"/>
      <w:numFmt w:val="lowerRoman"/>
      <w:lvlText w:val="%3."/>
      <w:lvlJc w:val="right"/>
      <w:pPr>
        <w:ind w:left="2517" w:hanging="180"/>
      </w:pPr>
    </w:lvl>
    <w:lvl w:ilvl="3" w:tplc="3409000F" w:tentative="1">
      <w:start w:val="1"/>
      <w:numFmt w:val="decimal"/>
      <w:lvlText w:val="%4."/>
      <w:lvlJc w:val="left"/>
      <w:pPr>
        <w:ind w:left="3237" w:hanging="360"/>
      </w:pPr>
    </w:lvl>
    <w:lvl w:ilvl="4" w:tplc="34090019" w:tentative="1">
      <w:start w:val="1"/>
      <w:numFmt w:val="lowerLetter"/>
      <w:lvlText w:val="%5."/>
      <w:lvlJc w:val="left"/>
      <w:pPr>
        <w:ind w:left="3957" w:hanging="360"/>
      </w:pPr>
    </w:lvl>
    <w:lvl w:ilvl="5" w:tplc="3409001B" w:tentative="1">
      <w:start w:val="1"/>
      <w:numFmt w:val="lowerRoman"/>
      <w:lvlText w:val="%6."/>
      <w:lvlJc w:val="right"/>
      <w:pPr>
        <w:ind w:left="4677" w:hanging="180"/>
      </w:pPr>
    </w:lvl>
    <w:lvl w:ilvl="6" w:tplc="3409000F" w:tentative="1">
      <w:start w:val="1"/>
      <w:numFmt w:val="decimal"/>
      <w:lvlText w:val="%7."/>
      <w:lvlJc w:val="left"/>
      <w:pPr>
        <w:ind w:left="5397" w:hanging="360"/>
      </w:pPr>
    </w:lvl>
    <w:lvl w:ilvl="7" w:tplc="34090019" w:tentative="1">
      <w:start w:val="1"/>
      <w:numFmt w:val="lowerLetter"/>
      <w:lvlText w:val="%8."/>
      <w:lvlJc w:val="left"/>
      <w:pPr>
        <w:ind w:left="6117" w:hanging="360"/>
      </w:pPr>
    </w:lvl>
    <w:lvl w:ilvl="8" w:tplc="3409001B" w:tentative="1">
      <w:start w:val="1"/>
      <w:numFmt w:val="lowerRoman"/>
      <w:lvlText w:val="%9."/>
      <w:lvlJc w:val="right"/>
      <w:pPr>
        <w:ind w:left="6837" w:hanging="180"/>
      </w:pPr>
    </w:lvl>
  </w:abstractNum>
  <w:abstractNum w:abstractNumId="22" w15:restartNumberingAfterBreak="0">
    <w:nsid w:val="51AE5299"/>
    <w:multiLevelType w:val="hybridMultilevel"/>
    <w:tmpl w:val="14960A62"/>
    <w:lvl w:ilvl="0" w:tplc="3409000F">
      <w:start w:val="1"/>
      <w:numFmt w:val="decimal"/>
      <w:lvlText w:val="%1."/>
      <w:lvlJc w:val="left"/>
      <w:pPr>
        <w:ind w:left="1077" w:hanging="360"/>
      </w:pPr>
    </w:lvl>
    <w:lvl w:ilvl="1" w:tplc="34090019" w:tentative="1">
      <w:start w:val="1"/>
      <w:numFmt w:val="lowerLetter"/>
      <w:lvlText w:val="%2."/>
      <w:lvlJc w:val="left"/>
      <w:pPr>
        <w:ind w:left="1797" w:hanging="360"/>
      </w:pPr>
    </w:lvl>
    <w:lvl w:ilvl="2" w:tplc="3409001B" w:tentative="1">
      <w:start w:val="1"/>
      <w:numFmt w:val="lowerRoman"/>
      <w:lvlText w:val="%3."/>
      <w:lvlJc w:val="right"/>
      <w:pPr>
        <w:ind w:left="2517" w:hanging="180"/>
      </w:pPr>
    </w:lvl>
    <w:lvl w:ilvl="3" w:tplc="3409000F" w:tentative="1">
      <w:start w:val="1"/>
      <w:numFmt w:val="decimal"/>
      <w:lvlText w:val="%4."/>
      <w:lvlJc w:val="left"/>
      <w:pPr>
        <w:ind w:left="3237" w:hanging="360"/>
      </w:pPr>
    </w:lvl>
    <w:lvl w:ilvl="4" w:tplc="34090019" w:tentative="1">
      <w:start w:val="1"/>
      <w:numFmt w:val="lowerLetter"/>
      <w:lvlText w:val="%5."/>
      <w:lvlJc w:val="left"/>
      <w:pPr>
        <w:ind w:left="3957" w:hanging="360"/>
      </w:pPr>
    </w:lvl>
    <w:lvl w:ilvl="5" w:tplc="3409001B" w:tentative="1">
      <w:start w:val="1"/>
      <w:numFmt w:val="lowerRoman"/>
      <w:lvlText w:val="%6."/>
      <w:lvlJc w:val="right"/>
      <w:pPr>
        <w:ind w:left="4677" w:hanging="180"/>
      </w:pPr>
    </w:lvl>
    <w:lvl w:ilvl="6" w:tplc="3409000F" w:tentative="1">
      <w:start w:val="1"/>
      <w:numFmt w:val="decimal"/>
      <w:lvlText w:val="%7."/>
      <w:lvlJc w:val="left"/>
      <w:pPr>
        <w:ind w:left="5397" w:hanging="360"/>
      </w:pPr>
    </w:lvl>
    <w:lvl w:ilvl="7" w:tplc="34090019" w:tentative="1">
      <w:start w:val="1"/>
      <w:numFmt w:val="lowerLetter"/>
      <w:lvlText w:val="%8."/>
      <w:lvlJc w:val="left"/>
      <w:pPr>
        <w:ind w:left="6117" w:hanging="360"/>
      </w:pPr>
    </w:lvl>
    <w:lvl w:ilvl="8" w:tplc="3409001B" w:tentative="1">
      <w:start w:val="1"/>
      <w:numFmt w:val="lowerRoman"/>
      <w:lvlText w:val="%9."/>
      <w:lvlJc w:val="right"/>
      <w:pPr>
        <w:ind w:left="6837" w:hanging="180"/>
      </w:pPr>
    </w:lvl>
  </w:abstractNum>
  <w:abstractNum w:abstractNumId="23" w15:restartNumberingAfterBreak="0">
    <w:nsid w:val="551B2A22"/>
    <w:multiLevelType w:val="hybridMultilevel"/>
    <w:tmpl w:val="13F29522"/>
    <w:lvl w:ilvl="0" w:tplc="3409000F">
      <w:start w:val="1"/>
      <w:numFmt w:val="decimal"/>
      <w:lvlText w:val="%1."/>
      <w:lvlJc w:val="left"/>
      <w:pPr>
        <w:ind w:left="1437" w:hanging="360"/>
      </w:pPr>
    </w:lvl>
    <w:lvl w:ilvl="1" w:tplc="34090019" w:tentative="1">
      <w:start w:val="1"/>
      <w:numFmt w:val="lowerLetter"/>
      <w:lvlText w:val="%2."/>
      <w:lvlJc w:val="left"/>
      <w:pPr>
        <w:ind w:left="2157" w:hanging="360"/>
      </w:pPr>
    </w:lvl>
    <w:lvl w:ilvl="2" w:tplc="3409001B" w:tentative="1">
      <w:start w:val="1"/>
      <w:numFmt w:val="lowerRoman"/>
      <w:lvlText w:val="%3."/>
      <w:lvlJc w:val="right"/>
      <w:pPr>
        <w:ind w:left="2877" w:hanging="180"/>
      </w:pPr>
    </w:lvl>
    <w:lvl w:ilvl="3" w:tplc="3409000F" w:tentative="1">
      <w:start w:val="1"/>
      <w:numFmt w:val="decimal"/>
      <w:lvlText w:val="%4."/>
      <w:lvlJc w:val="left"/>
      <w:pPr>
        <w:ind w:left="3597" w:hanging="360"/>
      </w:pPr>
    </w:lvl>
    <w:lvl w:ilvl="4" w:tplc="34090019" w:tentative="1">
      <w:start w:val="1"/>
      <w:numFmt w:val="lowerLetter"/>
      <w:lvlText w:val="%5."/>
      <w:lvlJc w:val="left"/>
      <w:pPr>
        <w:ind w:left="4317" w:hanging="360"/>
      </w:pPr>
    </w:lvl>
    <w:lvl w:ilvl="5" w:tplc="3409001B" w:tentative="1">
      <w:start w:val="1"/>
      <w:numFmt w:val="lowerRoman"/>
      <w:lvlText w:val="%6."/>
      <w:lvlJc w:val="right"/>
      <w:pPr>
        <w:ind w:left="5037" w:hanging="180"/>
      </w:pPr>
    </w:lvl>
    <w:lvl w:ilvl="6" w:tplc="3409000F" w:tentative="1">
      <w:start w:val="1"/>
      <w:numFmt w:val="decimal"/>
      <w:lvlText w:val="%7."/>
      <w:lvlJc w:val="left"/>
      <w:pPr>
        <w:ind w:left="5757" w:hanging="360"/>
      </w:pPr>
    </w:lvl>
    <w:lvl w:ilvl="7" w:tplc="34090019" w:tentative="1">
      <w:start w:val="1"/>
      <w:numFmt w:val="lowerLetter"/>
      <w:lvlText w:val="%8."/>
      <w:lvlJc w:val="left"/>
      <w:pPr>
        <w:ind w:left="6477" w:hanging="360"/>
      </w:pPr>
    </w:lvl>
    <w:lvl w:ilvl="8" w:tplc="3409001B" w:tentative="1">
      <w:start w:val="1"/>
      <w:numFmt w:val="lowerRoman"/>
      <w:lvlText w:val="%9."/>
      <w:lvlJc w:val="right"/>
      <w:pPr>
        <w:ind w:left="7197" w:hanging="180"/>
      </w:pPr>
    </w:lvl>
  </w:abstractNum>
  <w:abstractNum w:abstractNumId="24" w15:restartNumberingAfterBreak="0">
    <w:nsid w:val="571178F0"/>
    <w:multiLevelType w:val="hybridMultilevel"/>
    <w:tmpl w:val="BBD2E9E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75F13FE"/>
    <w:multiLevelType w:val="hybridMultilevel"/>
    <w:tmpl w:val="42C63B54"/>
    <w:lvl w:ilvl="0" w:tplc="34090001">
      <w:start w:val="1"/>
      <w:numFmt w:val="bullet"/>
      <w:lvlText w:val=""/>
      <w:lvlJc w:val="left"/>
      <w:pPr>
        <w:ind w:left="2850" w:hanging="360"/>
      </w:pPr>
      <w:rPr>
        <w:rFonts w:ascii="Symbol" w:hAnsi="Symbol" w:hint="default"/>
      </w:rPr>
    </w:lvl>
    <w:lvl w:ilvl="1" w:tplc="34090003" w:tentative="1">
      <w:start w:val="1"/>
      <w:numFmt w:val="bullet"/>
      <w:lvlText w:val="o"/>
      <w:lvlJc w:val="left"/>
      <w:pPr>
        <w:ind w:left="3570" w:hanging="360"/>
      </w:pPr>
      <w:rPr>
        <w:rFonts w:ascii="Courier New" w:hAnsi="Courier New" w:cs="Courier New" w:hint="default"/>
      </w:rPr>
    </w:lvl>
    <w:lvl w:ilvl="2" w:tplc="34090005" w:tentative="1">
      <w:start w:val="1"/>
      <w:numFmt w:val="bullet"/>
      <w:lvlText w:val=""/>
      <w:lvlJc w:val="left"/>
      <w:pPr>
        <w:ind w:left="4290" w:hanging="360"/>
      </w:pPr>
      <w:rPr>
        <w:rFonts w:ascii="Wingdings" w:hAnsi="Wingdings" w:hint="default"/>
      </w:rPr>
    </w:lvl>
    <w:lvl w:ilvl="3" w:tplc="34090001" w:tentative="1">
      <w:start w:val="1"/>
      <w:numFmt w:val="bullet"/>
      <w:lvlText w:val=""/>
      <w:lvlJc w:val="left"/>
      <w:pPr>
        <w:ind w:left="5010" w:hanging="360"/>
      </w:pPr>
      <w:rPr>
        <w:rFonts w:ascii="Symbol" w:hAnsi="Symbol" w:hint="default"/>
      </w:rPr>
    </w:lvl>
    <w:lvl w:ilvl="4" w:tplc="34090003" w:tentative="1">
      <w:start w:val="1"/>
      <w:numFmt w:val="bullet"/>
      <w:lvlText w:val="o"/>
      <w:lvlJc w:val="left"/>
      <w:pPr>
        <w:ind w:left="5730" w:hanging="360"/>
      </w:pPr>
      <w:rPr>
        <w:rFonts w:ascii="Courier New" w:hAnsi="Courier New" w:cs="Courier New" w:hint="default"/>
      </w:rPr>
    </w:lvl>
    <w:lvl w:ilvl="5" w:tplc="34090005" w:tentative="1">
      <w:start w:val="1"/>
      <w:numFmt w:val="bullet"/>
      <w:lvlText w:val=""/>
      <w:lvlJc w:val="left"/>
      <w:pPr>
        <w:ind w:left="6450" w:hanging="360"/>
      </w:pPr>
      <w:rPr>
        <w:rFonts w:ascii="Wingdings" w:hAnsi="Wingdings" w:hint="default"/>
      </w:rPr>
    </w:lvl>
    <w:lvl w:ilvl="6" w:tplc="34090001" w:tentative="1">
      <w:start w:val="1"/>
      <w:numFmt w:val="bullet"/>
      <w:lvlText w:val=""/>
      <w:lvlJc w:val="left"/>
      <w:pPr>
        <w:ind w:left="7170" w:hanging="360"/>
      </w:pPr>
      <w:rPr>
        <w:rFonts w:ascii="Symbol" w:hAnsi="Symbol" w:hint="default"/>
      </w:rPr>
    </w:lvl>
    <w:lvl w:ilvl="7" w:tplc="34090003" w:tentative="1">
      <w:start w:val="1"/>
      <w:numFmt w:val="bullet"/>
      <w:lvlText w:val="o"/>
      <w:lvlJc w:val="left"/>
      <w:pPr>
        <w:ind w:left="7890" w:hanging="360"/>
      </w:pPr>
      <w:rPr>
        <w:rFonts w:ascii="Courier New" w:hAnsi="Courier New" w:cs="Courier New" w:hint="default"/>
      </w:rPr>
    </w:lvl>
    <w:lvl w:ilvl="8" w:tplc="34090005" w:tentative="1">
      <w:start w:val="1"/>
      <w:numFmt w:val="bullet"/>
      <w:lvlText w:val=""/>
      <w:lvlJc w:val="left"/>
      <w:pPr>
        <w:ind w:left="8610" w:hanging="360"/>
      </w:pPr>
      <w:rPr>
        <w:rFonts w:ascii="Wingdings" w:hAnsi="Wingdings" w:hint="default"/>
      </w:rPr>
    </w:lvl>
  </w:abstractNum>
  <w:abstractNum w:abstractNumId="26" w15:restartNumberingAfterBreak="0">
    <w:nsid w:val="6015418B"/>
    <w:multiLevelType w:val="hybridMultilevel"/>
    <w:tmpl w:val="4F862B08"/>
    <w:lvl w:ilvl="0" w:tplc="3409000F">
      <w:start w:val="1"/>
      <w:numFmt w:val="decimal"/>
      <w:lvlText w:val="%1."/>
      <w:lvlJc w:val="left"/>
      <w:pPr>
        <w:ind w:left="1077" w:hanging="360"/>
      </w:pPr>
    </w:lvl>
    <w:lvl w:ilvl="1" w:tplc="34090019" w:tentative="1">
      <w:start w:val="1"/>
      <w:numFmt w:val="lowerLetter"/>
      <w:lvlText w:val="%2."/>
      <w:lvlJc w:val="left"/>
      <w:pPr>
        <w:ind w:left="1797" w:hanging="360"/>
      </w:pPr>
    </w:lvl>
    <w:lvl w:ilvl="2" w:tplc="3409001B" w:tentative="1">
      <w:start w:val="1"/>
      <w:numFmt w:val="lowerRoman"/>
      <w:lvlText w:val="%3."/>
      <w:lvlJc w:val="right"/>
      <w:pPr>
        <w:ind w:left="2517" w:hanging="180"/>
      </w:pPr>
    </w:lvl>
    <w:lvl w:ilvl="3" w:tplc="3409000F" w:tentative="1">
      <w:start w:val="1"/>
      <w:numFmt w:val="decimal"/>
      <w:lvlText w:val="%4."/>
      <w:lvlJc w:val="left"/>
      <w:pPr>
        <w:ind w:left="3237" w:hanging="360"/>
      </w:pPr>
    </w:lvl>
    <w:lvl w:ilvl="4" w:tplc="34090019" w:tentative="1">
      <w:start w:val="1"/>
      <w:numFmt w:val="lowerLetter"/>
      <w:lvlText w:val="%5."/>
      <w:lvlJc w:val="left"/>
      <w:pPr>
        <w:ind w:left="3957" w:hanging="360"/>
      </w:pPr>
    </w:lvl>
    <w:lvl w:ilvl="5" w:tplc="3409001B" w:tentative="1">
      <w:start w:val="1"/>
      <w:numFmt w:val="lowerRoman"/>
      <w:lvlText w:val="%6."/>
      <w:lvlJc w:val="right"/>
      <w:pPr>
        <w:ind w:left="4677" w:hanging="180"/>
      </w:pPr>
    </w:lvl>
    <w:lvl w:ilvl="6" w:tplc="3409000F" w:tentative="1">
      <w:start w:val="1"/>
      <w:numFmt w:val="decimal"/>
      <w:lvlText w:val="%7."/>
      <w:lvlJc w:val="left"/>
      <w:pPr>
        <w:ind w:left="5397" w:hanging="360"/>
      </w:pPr>
    </w:lvl>
    <w:lvl w:ilvl="7" w:tplc="34090019" w:tentative="1">
      <w:start w:val="1"/>
      <w:numFmt w:val="lowerLetter"/>
      <w:lvlText w:val="%8."/>
      <w:lvlJc w:val="left"/>
      <w:pPr>
        <w:ind w:left="6117" w:hanging="360"/>
      </w:pPr>
    </w:lvl>
    <w:lvl w:ilvl="8" w:tplc="3409001B" w:tentative="1">
      <w:start w:val="1"/>
      <w:numFmt w:val="lowerRoman"/>
      <w:lvlText w:val="%9."/>
      <w:lvlJc w:val="right"/>
      <w:pPr>
        <w:ind w:left="6837" w:hanging="180"/>
      </w:pPr>
    </w:lvl>
  </w:abstractNum>
  <w:abstractNum w:abstractNumId="27" w15:restartNumberingAfterBreak="0">
    <w:nsid w:val="63B56C9B"/>
    <w:multiLevelType w:val="hybridMultilevel"/>
    <w:tmpl w:val="5F4E9FCC"/>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059615E"/>
    <w:multiLevelType w:val="hybridMultilevel"/>
    <w:tmpl w:val="2E7EEA36"/>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9" w15:restartNumberingAfterBreak="0">
    <w:nsid w:val="72807B52"/>
    <w:multiLevelType w:val="hybridMultilevel"/>
    <w:tmpl w:val="738060F6"/>
    <w:lvl w:ilvl="0" w:tplc="3409000F">
      <w:start w:val="1"/>
      <w:numFmt w:val="decimal"/>
      <w:lvlText w:val="%1."/>
      <w:lvlJc w:val="left"/>
      <w:pPr>
        <w:ind w:left="1077" w:hanging="360"/>
      </w:pPr>
    </w:lvl>
    <w:lvl w:ilvl="1" w:tplc="34090019" w:tentative="1">
      <w:start w:val="1"/>
      <w:numFmt w:val="lowerLetter"/>
      <w:lvlText w:val="%2."/>
      <w:lvlJc w:val="left"/>
      <w:pPr>
        <w:ind w:left="1797" w:hanging="360"/>
      </w:pPr>
    </w:lvl>
    <w:lvl w:ilvl="2" w:tplc="3409001B" w:tentative="1">
      <w:start w:val="1"/>
      <w:numFmt w:val="lowerRoman"/>
      <w:lvlText w:val="%3."/>
      <w:lvlJc w:val="right"/>
      <w:pPr>
        <w:ind w:left="2517" w:hanging="180"/>
      </w:pPr>
    </w:lvl>
    <w:lvl w:ilvl="3" w:tplc="3409000F" w:tentative="1">
      <w:start w:val="1"/>
      <w:numFmt w:val="decimal"/>
      <w:lvlText w:val="%4."/>
      <w:lvlJc w:val="left"/>
      <w:pPr>
        <w:ind w:left="3237" w:hanging="360"/>
      </w:pPr>
    </w:lvl>
    <w:lvl w:ilvl="4" w:tplc="34090019" w:tentative="1">
      <w:start w:val="1"/>
      <w:numFmt w:val="lowerLetter"/>
      <w:lvlText w:val="%5."/>
      <w:lvlJc w:val="left"/>
      <w:pPr>
        <w:ind w:left="3957" w:hanging="360"/>
      </w:pPr>
    </w:lvl>
    <w:lvl w:ilvl="5" w:tplc="3409001B" w:tentative="1">
      <w:start w:val="1"/>
      <w:numFmt w:val="lowerRoman"/>
      <w:lvlText w:val="%6."/>
      <w:lvlJc w:val="right"/>
      <w:pPr>
        <w:ind w:left="4677" w:hanging="180"/>
      </w:pPr>
    </w:lvl>
    <w:lvl w:ilvl="6" w:tplc="3409000F" w:tentative="1">
      <w:start w:val="1"/>
      <w:numFmt w:val="decimal"/>
      <w:lvlText w:val="%7."/>
      <w:lvlJc w:val="left"/>
      <w:pPr>
        <w:ind w:left="5397" w:hanging="360"/>
      </w:pPr>
    </w:lvl>
    <w:lvl w:ilvl="7" w:tplc="34090019" w:tentative="1">
      <w:start w:val="1"/>
      <w:numFmt w:val="lowerLetter"/>
      <w:lvlText w:val="%8."/>
      <w:lvlJc w:val="left"/>
      <w:pPr>
        <w:ind w:left="6117" w:hanging="360"/>
      </w:pPr>
    </w:lvl>
    <w:lvl w:ilvl="8" w:tplc="3409001B" w:tentative="1">
      <w:start w:val="1"/>
      <w:numFmt w:val="lowerRoman"/>
      <w:lvlText w:val="%9."/>
      <w:lvlJc w:val="right"/>
      <w:pPr>
        <w:ind w:left="6837" w:hanging="180"/>
      </w:pPr>
    </w:lvl>
  </w:abstractNum>
  <w:abstractNum w:abstractNumId="30" w15:restartNumberingAfterBreak="0">
    <w:nsid w:val="756168F6"/>
    <w:multiLevelType w:val="hybridMultilevel"/>
    <w:tmpl w:val="2A52E020"/>
    <w:lvl w:ilvl="0" w:tplc="81DC5130">
      <w:start w:val="3"/>
      <w:numFmt w:val="lowerLetter"/>
      <w:lvlText w:val="%1."/>
      <w:lvlJc w:val="left"/>
      <w:pPr>
        <w:ind w:left="717" w:hanging="360"/>
      </w:pPr>
      <w:rPr>
        <w:rFonts w:hint="default"/>
      </w:rPr>
    </w:lvl>
    <w:lvl w:ilvl="1" w:tplc="34090019" w:tentative="1">
      <w:start w:val="1"/>
      <w:numFmt w:val="lowerLetter"/>
      <w:lvlText w:val="%2."/>
      <w:lvlJc w:val="left"/>
      <w:pPr>
        <w:ind w:left="1437" w:hanging="360"/>
      </w:pPr>
    </w:lvl>
    <w:lvl w:ilvl="2" w:tplc="3409001B" w:tentative="1">
      <w:start w:val="1"/>
      <w:numFmt w:val="lowerRoman"/>
      <w:lvlText w:val="%3."/>
      <w:lvlJc w:val="right"/>
      <w:pPr>
        <w:ind w:left="2157" w:hanging="180"/>
      </w:pPr>
    </w:lvl>
    <w:lvl w:ilvl="3" w:tplc="3409000F" w:tentative="1">
      <w:start w:val="1"/>
      <w:numFmt w:val="decimal"/>
      <w:lvlText w:val="%4."/>
      <w:lvlJc w:val="left"/>
      <w:pPr>
        <w:ind w:left="2877" w:hanging="360"/>
      </w:pPr>
    </w:lvl>
    <w:lvl w:ilvl="4" w:tplc="34090019" w:tentative="1">
      <w:start w:val="1"/>
      <w:numFmt w:val="lowerLetter"/>
      <w:lvlText w:val="%5."/>
      <w:lvlJc w:val="left"/>
      <w:pPr>
        <w:ind w:left="3597" w:hanging="360"/>
      </w:pPr>
    </w:lvl>
    <w:lvl w:ilvl="5" w:tplc="3409001B" w:tentative="1">
      <w:start w:val="1"/>
      <w:numFmt w:val="lowerRoman"/>
      <w:lvlText w:val="%6."/>
      <w:lvlJc w:val="right"/>
      <w:pPr>
        <w:ind w:left="4317" w:hanging="180"/>
      </w:pPr>
    </w:lvl>
    <w:lvl w:ilvl="6" w:tplc="3409000F" w:tentative="1">
      <w:start w:val="1"/>
      <w:numFmt w:val="decimal"/>
      <w:lvlText w:val="%7."/>
      <w:lvlJc w:val="left"/>
      <w:pPr>
        <w:ind w:left="5037" w:hanging="360"/>
      </w:pPr>
    </w:lvl>
    <w:lvl w:ilvl="7" w:tplc="34090019" w:tentative="1">
      <w:start w:val="1"/>
      <w:numFmt w:val="lowerLetter"/>
      <w:lvlText w:val="%8."/>
      <w:lvlJc w:val="left"/>
      <w:pPr>
        <w:ind w:left="5757" w:hanging="360"/>
      </w:pPr>
    </w:lvl>
    <w:lvl w:ilvl="8" w:tplc="3409001B" w:tentative="1">
      <w:start w:val="1"/>
      <w:numFmt w:val="lowerRoman"/>
      <w:lvlText w:val="%9."/>
      <w:lvlJc w:val="right"/>
      <w:pPr>
        <w:ind w:left="6477" w:hanging="180"/>
      </w:pPr>
    </w:lvl>
  </w:abstractNum>
  <w:num w:numId="1">
    <w:abstractNumId w:val="16"/>
  </w:num>
  <w:num w:numId="2">
    <w:abstractNumId w:val="10"/>
  </w:num>
  <w:num w:numId="3">
    <w:abstractNumId w:val="5"/>
  </w:num>
  <w:num w:numId="4">
    <w:abstractNumId w:val="20"/>
  </w:num>
  <w:num w:numId="5">
    <w:abstractNumId w:val="8"/>
  </w:num>
  <w:num w:numId="6">
    <w:abstractNumId w:val="18"/>
  </w:num>
  <w:num w:numId="7">
    <w:abstractNumId w:val="29"/>
  </w:num>
  <w:num w:numId="8">
    <w:abstractNumId w:val="24"/>
  </w:num>
  <w:num w:numId="9">
    <w:abstractNumId w:val="14"/>
  </w:num>
  <w:num w:numId="10">
    <w:abstractNumId w:val="11"/>
  </w:num>
  <w:num w:numId="11">
    <w:abstractNumId w:val="3"/>
  </w:num>
  <w:num w:numId="12">
    <w:abstractNumId w:val="0"/>
  </w:num>
  <w:num w:numId="13">
    <w:abstractNumId w:val="28"/>
  </w:num>
  <w:num w:numId="14">
    <w:abstractNumId w:val="2"/>
  </w:num>
  <w:num w:numId="15">
    <w:abstractNumId w:val="12"/>
  </w:num>
  <w:num w:numId="16">
    <w:abstractNumId w:val="30"/>
  </w:num>
  <w:num w:numId="17">
    <w:abstractNumId w:val="19"/>
  </w:num>
  <w:num w:numId="18">
    <w:abstractNumId w:val="25"/>
  </w:num>
  <w:num w:numId="19">
    <w:abstractNumId w:val="9"/>
  </w:num>
  <w:num w:numId="20">
    <w:abstractNumId w:val="15"/>
  </w:num>
  <w:num w:numId="21">
    <w:abstractNumId w:val="17"/>
  </w:num>
  <w:num w:numId="22">
    <w:abstractNumId w:val="7"/>
  </w:num>
  <w:num w:numId="23">
    <w:abstractNumId w:val="27"/>
  </w:num>
  <w:num w:numId="24">
    <w:abstractNumId w:val="22"/>
  </w:num>
  <w:num w:numId="25">
    <w:abstractNumId w:val="21"/>
  </w:num>
  <w:num w:numId="26">
    <w:abstractNumId w:val="1"/>
  </w:num>
  <w:num w:numId="27">
    <w:abstractNumId w:val="23"/>
  </w:num>
  <w:num w:numId="28">
    <w:abstractNumId w:val="13"/>
  </w:num>
  <w:num w:numId="29">
    <w:abstractNumId w:val="4"/>
  </w:num>
  <w:num w:numId="30">
    <w:abstractNumId w:val="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5B"/>
    <w:rsid w:val="000123E4"/>
    <w:rsid w:val="00023DBA"/>
    <w:rsid w:val="00041C89"/>
    <w:rsid w:val="0004293A"/>
    <w:rsid w:val="00047FBF"/>
    <w:rsid w:val="00057C32"/>
    <w:rsid w:val="00064B2C"/>
    <w:rsid w:val="00085ACF"/>
    <w:rsid w:val="000878F6"/>
    <w:rsid w:val="00093431"/>
    <w:rsid w:val="000A0117"/>
    <w:rsid w:val="000B0BA6"/>
    <w:rsid w:val="000C4768"/>
    <w:rsid w:val="000F08E8"/>
    <w:rsid w:val="000F5841"/>
    <w:rsid w:val="001028BB"/>
    <w:rsid w:val="00107C08"/>
    <w:rsid w:val="00115E39"/>
    <w:rsid w:val="00115F41"/>
    <w:rsid w:val="00125FFA"/>
    <w:rsid w:val="001302D0"/>
    <w:rsid w:val="00147E93"/>
    <w:rsid w:val="00151039"/>
    <w:rsid w:val="00155E58"/>
    <w:rsid w:val="001623C2"/>
    <w:rsid w:val="00164058"/>
    <w:rsid w:val="001A2B10"/>
    <w:rsid w:val="001B1C24"/>
    <w:rsid w:val="001C192D"/>
    <w:rsid w:val="001D22A8"/>
    <w:rsid w:val="001F153D"/>
    <w:rsid w:val="00210A4C"/>
    <w:rsid w:val="002324B5"/>
    <w:rsid w:val="00234A12"/>
    <w:rsid w:val="00267751"/>
    <w:rsid w:val="002870DE"/>
    <w:rsid w:val="002872E5"/>
    <w:rsid w:val="002E08D1"/>
    <w:rsid w:val="002F3A2D"/>
    <w:rsid w:val="002F77EC"/>
    <w:rsid w:val="00307F7B"/>
    <w:rsid w:val="003302EA"/>
    <w:rsid w:val="003350FB"/>
    <w:rsid w:val="00336ECA"/>
    <w:rsid w:val="00337268"/>
    <w:rsid w:val="00353E82"/>
    <w:rsid w:val="003648F0"/>
    <w:rsid w:val="003810C2"/>
    <w:rsid w:val="00387F67"/>
    <w:rsid w:val="00394336"/>
    <w:rsid w:val="003A7C23"/>
    <w:rsid w:val="003B4A86"/>
    <w:rsid w:val="003D035B"/>
    <w:rsid w:val="003F4708"/>
    <w:rsid w:val="003F4D48"/>
    <w:rsid w:val="00422D9E"/>
    <w:rsid w:val="00423454"/>
    <w:rsid w:val="004272B9"/>
    <w:rsid w:val="004767E9"/>
    <w:rsid w:val="00492E71"/>
    <w:rsid w:val="004B69D2"/>
    <w:rsid w:val="004C6B27"/>
    <w:rsid w:val="00512C86"/>
    <w:rsid w:val="00526A17"/>
    <w:rsid w:val="00532B7E"/>
    <w:rsid w:val="0053401A"/>
    <w:rsid w:val="00557A46"/>
    <w:rsid w:val="00564782"/>
    <w:rsid w:val="005660B5"/>
    <w:rsid w:val="00566723"/>
    <w:rsid w:val="00573087"/>
    <w:rsid w:val="00585752"/>
    <w:rsid w:val="005B0BCD"/>
    <w:rsid w:val="005C4BA8"/>
    <w:rsid w:val="00634CBB"/>
    <w:rsid w:val="006427C7"/>
    <w:rsid w:val="00656F96"/>
    <w:rsid w:val="006633FE"/>
    <w:rsid w:val="00676FB4"/>
    <w:rsid w:val="00693C9F"/>
    <w:rsid w:val="0069687F"/>
    <w:rsid w:val="006A2B61"/>
    <w:rsid w:val="006A5257"/>
    <w:rsid w:val="006A6877"/>
    <w:rsid w:val="006B174A"/>
    <w:rsid w:val="006B56F8"/>
    <w:rsid w:val="006C55E6"/>
    <w:rsid w:val="006E2972"/>
    <w:rsid w:val="006F088E"/>
    <w:rsid w:val="006F4196"/>
    <w:rsid w:val="00703A9D"/>
    <w:rsid w:val="00713180"/>
    <w:rsid w:val="00722B47"/>
    <w:rsid w:val="00737ACC"/>
    <w:rsid w:val="00771C4E"/>
    <w:rsid w:val="007724BE"/>
    <w:rsid w:val="007726EA"/>
    <w:rsid w:val="00797960"/>
    <w:rsid w:val="007C1FB3"/>
    <w:rsid w:val="007D4DFE"/>
    <w:rsid w:val="007D71C4"/>
    <w:rsid w:val="007D71E4"/>
    <w:rsid w:val="007E7148"/>
    <w:rsid w:val="007F29AF"/>
    <w:rsid w:val="008034A3"/>
    <w:rsid w:val="0080544F"/>
    <w:rsid w:val="0083360B"/>
    <w:rsid w:val="00841294"/>
    <w:rsid w:val="00887E1E"/>
    <w:rsid w:val="00897870"/>
    <w:rsid w:val="008A34F2"/>
    <w:rsid w:val="008C49C9"/>
    <w:rsid w:val="008D20EA"/>
    <w:rsid w:val="008E5D42"/>
    <w:rsid w:val="008E741C"/>
    <w:rsid w:val="008F2155"/>
    <w:rsid w:val="00910121"/>
    <w:rsid w:val="00914E38"/>
    <w:rsid w:val="00921CF7"/>
    <w:rsid w:val="00922408"/>
    <w:rsid w:val="00931AF9"/>
    <w:rsid w:val="00933A3E"/>
    <w:rsid w:val="009446B3"/>
    <w:rsid w:val="00985E5A"/>
    <w:rsid w:val="00995BBC"/>
    <w:rsid w:val="00997E9D"/>
    <w:rsid w:val="009B4F0D"/>
    <w:rsid w:val="009C7B0F"/>
    <w:rsid w:val="00A24A99"/>
    <w:rsid w:val="00A267AB"/>
    <w:rsid w:val="00A63EC6"/>
    <w:rsid w:val="00A66975"/>
    <w:rsid w:val="00A75226"/>
    <w:rsid w:val="00A92873"/>
    <w:rsid w:val="00A96F5F"/>
    <w:rsid w:val="00AA13EE"/>
    <w:rsid w:val="00AA24EE"/>
    <w:rsid w:val="00AC0DAA"/>
    <w:rsid w:val="00AD2E34"/>
    <w:rsid w:val="00B154BD"/>
    <w:rsid w:val="00B341AC"/>
    <w:rsid w:val="00B45799"/>
    <w:rsid w:val="00B474B5"/>
    <w:rsid w:val="00B5640F"/>
    <w:rsid w:val="00B64816"/>
    <w:rsid w:val="00B67A01"/>
    <w:rsid w:val="00B739B3"/>
    <w:rsid w:val="00B97EDC"/>
    <w:rsid w:val="00BA77CF"/>
    <w:rsid w:val="00BB4E2B"/>
    <w:rsid w:val="00BD1D44"/>
    <w:rsid w:val="00BD2861"/>
    <w:rsid w:val="00BD501B"/>
    <w:rsid w:val="00BF384A"/>
    <w:rsid w:val="00C02BAB"/>
    <w:rsid w:val="00C03A75"/>
    <w:rsid w:val="00C05611"/>
    <w:rsid w:val="00C23E6A"/>
    <w:rsid w:val="00C27B83"/>
    <w:rsid w:val="00C6484E"/>
    <w:rsid w:val="00C839AF"/>
    <w:rsid w:val="00C87018"/>
    <w:rsid w:val="00CA1852"/>
    <w:rsid w:val="00CA3ECE"/>
    <w:rsid w:val="00CA7FCB"/>
    <w:rsid w:val="00CB1C43"/>
    <w:rsid w:val="00CD3583"/>
    <w:rsid w:val="00CE6209"/>
    <w:rsid w:val="00CF2D4C"/>
    <w:rsid w:val="00CF4972"/>
    <w:rsid w:val="00D17AB5"/>
    <w:rsid w:val="00D352A5"/>
    <w:rsid w:val="00D7328A"/>
    <w:rsid w:val="00D82A70"/>
    <w:rsid w:val="00DA1240"/>
    <w:rsid w:val="00DA747A"/>
    <w:rsid w:val="00DB19B7"/>
    <w:rsid w:val="00DC549B"/>
    <w:rsid w:val="00DD3218"/>
    <w:rsid w:val="00DF1E37"/>
    <w:rsid w:val="00DF3597"/>
    <w:rsid w:val="00E006BF"/>
    <w:rsid w:val="00E16C7F"/>
    <w:rsid w:val="00E26541"/>
    <w:rsid w:val="00E50B1A"/>
    <w:rsid w:val="00E739FD"/>
    <w:rsid w:val="00E76DE5"/>
    <w:rsid w:val="00E771CD"/>
    <w:rsid w:val="00E81A3A"/>
    <w:rsid w:val="00E85CEB"/>
    <w:rsid w:val="00E90522"/>
    <w:rsid w:val="00E9149F"/>
    <w:rsid w:val="00EA01DC"/>
    <w:rsid w:val="00EA4885"/>
    <w:rsid w:val="00EA7780"/>
    <w:rsid w:val="00EC2B62"/>
    <w:rsid w:val="00EE03B3"/>
    <w:rsid w:val="00EE0462"/>
    <w:rsid w:val="00F020F4"/>
    <w:rsid w:val="00F077DA"/>
    <w:rsid w:val="00F1114B"/>
    <w:rsid w:val="00F154CC"/>
    <w:rsid w:val="00F169F4"/>
    <w:rsid w:val="00F21FF6"/>
    <w:rsid w:val="00F23C45"/>
    <w:rsid w:val="00F6125B"/>
    <w:rsid w:val="00F618C7"/>
    <w:rsid w:val="00F66CBF"/>
    <w:rsid w:val="00F705A6"/>
    <w:rsid w:val="00FB20BE"/>
    <w:rsid w:val="00FB7651"/>
    <w:rsid w:val="00FD5AD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BF6DE"/>
  <w15:chartTrackingRefBased/>
  <w15:docId w15:val="{CC212B94-7247-43E7-9C5E-36A989C3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35B"/>
    <w:pPr>
      <w:spacing w:after="600"/>
      <w:ind w:left="714" w:hanging="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35B"/>
  </w:style>
  <w:style w:type="paragraph" w:styleId="Footer">
    <w:name w:val="footer"/>
    <w:basedOn w:val="Normal"/>
    <w:link w:val="FooterChar"/>
    <w:uiPriority w:val="99"/>
    <w:unhideWhenUsed/>
    <w:rsid w:val="003D0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35B"/>
  </w:style>
  <w:style w:type="paragraph" w:styleId="FootnoteText">
    <w:name w:val="footnote text"/>
    <w:basedOn w:val="Normal"/>
    <w:link w:val="FootnoteTextChar"/>
    <w:uiPriority w:val="99"/>
    <w:unhideWhenUsed/>
    <w:rsid w:val="003D035B"/>
    <w:pPr>
      <w:spacing w:after="0" w:line="240" w:lineRule="auto"/>
    </w:pPr>
    <w:rPr>
      <w:sz w:val="20"/>
      <w:szCs w:val="20"/>
    </w:rPr>
  </w:style>
  <w:style w:type="character" w:customStyle="1" w:styleId="FootnoteTextChar">
    <w:name w:val="Footnote Text Char"/>
    <w:basedOn w:val="DefaultParagraphFont"/>
    <w:link w:val="FootnoteText"/>
    <w:uiPriority w:val="99"/>
    <w:rsid w:val="003D035B"/>
    <w:rPr>
      <w:sz w:val="20"/>
      <w:szCs w:val="20"/>
    </w:rPr>
  </w:style>
  <w:style w:type="character" w:styleId="FootnoteReference">
    <w:name w:val="footnote reference"/>
    <w:aliases w:val=" BVI fnr,(NECG) Footnote Reference,16 Point,4_G,BVI fnr,Footnote Reference Number,Footnote number,Footnotes refss,RSC_WP (footnote reference),Ref,SUPERS,Superscript 6 Point,Times 10 Point,de nota al pie,ftref"/>
    <w:basedOn w:val="DefaultParagraphFont"/>
    <w:uiPriority w:val="99"/>
    <w:unhideWhenUsed/>
    <w:rsid w:val="003D035B"/>
    <w:rPr>
      <w:vertAlign w:val="superscript"/>
    </w:rPr>
  </w:style>
  <w:style w:type="paragraph" w:styleId="ListParagraph">
    <w:name w:val="List Paragraph"/>
    <w:basedOn w:val="Normal"/>
    <w:uiPriority w:val="34"/>
    <w:qFormat/>
    <w:rsid w:val="003D035B"/>
    <w:pPr>
      <w:ind w:left="720"/>
      <w:contextualSpacing/>
    </w:pPr>
  </w:style>
  <w:style w:type="character" w:styleId="Hyperlink">
    <w:name w:val="Hyperlink"/>
    <w:basedOn w:val="DefaultParagraphFont"/>
    <w:uiPriority w:val="99"/>
    <w:unhideWhenUsed/>
    <w:rsid w:val="003D035B"/>
    <w:rPr>
      <w:color w:val="0563C1" w:themeColor="hyperlink"/>
      <w:u w:val="single"/>
    </w:rPr>
  </w:style>
  <w:style w:type="paragraph" w:styleId="NormalWeb">
    <w:name w:val="Normal (Web)"/>
    <w:basedOn w:val="Normal"/>
    <w:uiPriority w:val="99"/>
    <w:unhideWhenUsed/>
    <w:rsid w:val="003D035B"/>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en-PH"/>
    </w:rPr>
  </w:style>
  <w:style w:type="character" w:styleId="FollowedHyperlink">
    <w:name w:val="FollowedHyperlink"/>
    <w:basedOn w:val="DefaultParagraphFont"/>
    <w:uiPriority w:val="99"/>
    <w:semiHidden/>
    <w:unhideWhenUsed/>
    <w:rsid w:val="008A34F2"/>
    <w:rPr>
      <w:color w:val="954F72" w:themeColor="followedHyperlink"/>
      <w:u w:val="single"/>
    </w:rPr>
  </w:style>
  <w:style w:type="paragraph" w:styleId="BalloonText">
    <w:name w:val="Balloon Text"/>
    <w:basedOn w:val="Normal"/>
    <w:link w:val="BalloonTextChar"/>
    <w:uiPriority w:val="99"/>
    <w:semiHidden/>
    <w:unhideWhenUsed/>
    <w:rsid w:val="00164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58"/>
    <w:rPr>
      <w:rFonts w:ascii="Segoe UI" w:hAnsi="Segoe UI" w:cs="Segoe UI"/>
      <w:sz w:val="18"/>
      <w:szCs w:val="18"/>
    </w:rPr>
  </w:style>
  <w:style w:type="character" w:styleId="CommentReference">
    <w:name w:val="annotation reference"/>
    <w:basedOn w:val="DefaultParagraphFont"/>
    <w:uiPriority w:val="99"/>
    <w:semiHidden/>
    <w:unhideWhenUsed/>
    <w:rsid w:val="00353E82"/>
    <w:rPr>
      <w:sz w:val="16"/>
      <w:szCs w:val="16"/>
    </w:rPr>
  </w:style>
  <w:style w:type="paragraph" w:styleId="CommentText">
    <w:name w:val="annotation text"/>
    <w:basedOn w:val="Normal"/>
    <w:link w:val="CommentTextChar"/>
    <w:uiPriority w:val="99"/>
    <w:semiHidden/>
    <w:unhideWhenUsed/>
    <w:rsid w:val="00353E82"/>
    <w:pPr>
      <w:spacing w:line="240" w:lineRule="auto"/>
    </w:pPr>
    <w:rPr>
      <w:sz w:val="20"/>
      <w:szCs w:val="20"/>
    </w:rPr>
  </w:style>
  <w:style w:type="character" w:customStyle="1" w:styleId="CommentTextChar">
    <w:name w:val="Comment Text Char"/>
    <w:basedOn w:val="DefaultParagraphFont"/>
    <w:link w:val="CommentText"/>
    <w:uiPriority w:val="99"/>
    <w:semiHidden/>
    <w:rsid w:val="00353E82"/>
    <w:rPr>
      <w:sz w:val="20"/>
      <w:szCs w:val="20"/>
    </w:rPr>
  </w:style>
  <w:style w:type="paragraph" w:styleId="CommentSubject">
    <w:name w:val="annotation subject"/>
    <w:basedOn w:val="CommentText"/>
    <w:next w:val="CommentText"/>
    <w:link w:val="CommentSubjectChar"/>
    <w:uiPriority w:val="99"/>
    <w:semiHidden/>
    <w:unhideWhenUsed/>
    <w:rsid w:val="00353E82"/>
    <w:rPr>
      <w:b/>
      <w:bCs/>
    </w:rPr>
  </w:style>
  <w:style w:type="character" w:customStyle="1" w:styleId="CommentSubjectChar">
    <w:name w:val="Comment Subject Char"/>
    <w:basedOn w:val="CommentTextChar"/>
    <w:link w:val="CommentSubject"/>
    <w:uiPriority w:val="99"/>
    <w:semiHidden/>
    <w:rsid w:val="00353E82"/>
    <w:rPr>
      <w:b/>
      <w:bCs/>
      <w:sz w:val="20"/>
      <w:szCs w:val="20"/>
    </w:rPr>
  </w:style>
  <w:style w:type="character" w:customStyle="1" w:styleId="UnresolvedMention">
    <w:name w:val="Unresolved Mention"/>
    <w:basedOn w:val="DefaultParagraphFont"/>
    <w:uiPriority w:val="99"/>
    <w:semiHidden/>
    <w:unhideWhenUsed/>
    <w:rsid w:val="00703A9D"/>
    <w:rPr>
      <w:color w:val="808080"/>
      <w:shd w:val="clear" w:color="auto" w:fill="E6E6E6"/>
    </w:rPr>
  </w:style>
  <w:style w:type="paragraph" w:styleId="NoSpacing">
    <w:name w:val="No Spacing"/>
    <w:uiPriority w:val="1"/>
    <w:qFormat/>
    <w:rsid w:val="00125FFA"/>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9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hr.gov.ph/chr-expresses-alarm-over-high-number-of-deaths-commences-motu-proprio-investigations/" TargetMode="External"/><Relationship Id="rId18" Type="http://schemas.openxmlformats.org/officeDocument/2006/relationships/hyperlink" Target="http://chr.gov.ph/statement-of-the-commission-on-human-rights-on-the-directive-to-submit-a-list-of-drug-personalities-at-the-barangay-leve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egnet.anu.edu.au/sites/default/files/uploads/2017-03/In-Defense-of-the-Right-to-Life-IL-and-Death-Penalty-in-the-Philippines.pdf" TargetMode="External"/><Relationship Id="rId7" Type="http://schemas.openxmlformats.org/officeDocument/2006/relationships/endnotes" Target="endnotes.xml"/><Relationship Id="rId12" Type="http://schemas.openxmlformats.org/officeDocument/2006/relationships/hyperlink" Target="http://chr.gov.ph/statement-of-the-commission-on-human-rights-on-the-governments-measures-in-pursuing-personalities-involved-in-illegal-drugs-2/" TargetMode="External"/><Relationship Id="rId17" Type="http://schemas.openxmlformats.org/officeDocument/2006/relationships/hyperlink" Target="http://chr.gov.ph/chr-hopeful-with-pdeas-lead-in-the-drug-campaig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r.gov.ph/statement-of-the-commission-on-human-rights-on-the-sws-survey-on-peoples-perception-of-the-extrajudicial-killing-situation-in-the-country/" TargetMode="External"/><Relationship Id="rId20" Type="http://schemas.openxmlformats.org/officeDocument/2006/relationships/hyperlink" Target="http://chr.gov.ph/statement-of-the-chr-on-the-plan-of-pdea-to-release-the-names-of-barangay-officials-who-are-allegedly-involved-in-the-illegal-drug-trade/"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hr.gov.ph/elementor-6967/" TargetMode="External"/><Relationship Id="rId24" Type="http://schemas.openxmlformats.org/officeDocument/2006/relationships/hyperlink" Target="https://nobox.ph/post/policy-forum-summary" TargetMode="External"/><Relationship Id="rId5" Type="http://schemas.openxmlformats.org/officeDocument/2006/relationships/webSettings" Target="webSettings.xml"/><Relationship Id="rId15" Type="http://schemas.openxmlformats.org/officeDocument/2006/relationships/hyperlink" Target="http://chr.gov.ph/chr-concerned-over-president-dutertes-remarks-against-un-special-rapporteur-human-rights-defenders/" TargetMode="External"/><Relationship Id="rId23" Type="http://schemas.openxmlformats.org/officeDocument/2006/relationships/hyperlink" Target="http://chr.gov.ph/dilg-proposal-to-use-stickers-to-identify-drug-free-homes-chr-a2017-005/" TargetMode="External"/><Relationship Id="rId28" Type="http://schemas.openxmlformats.org/officeDocument/2006/relationships/customXml" Target="../customXml/item2.xml"/><Relationship Id="rId10" Type="http://schemas.openxmlformats.org/officeDocument/2006/relationships/hyperlink" Target="http://chr.gov.ph/chr-statement-on-the-resumption-of-oplan-tokhang/" TargetMode="External"/><Relationship Id="rId19" Type="http://schemas.openxmlformats.org/officeDocument/2006/relationships/hyperlink" Target="http://chr.gov.ph/statement-of-the-chr-on-sc-decision-ordering-pnp-to-submit-data-on-anti-illegal-drugs-campaign/" TargetMode="External"/><Relationship Id="rId4" Type="http://schemas.openxmlformats.org/officeDocument/2006/relationships/settings" Target="settings.xml"/><Relationship Id="rId9" Type="http://schemas.openxmlformats.org/officeDocument/2006/relationships/hyperlink" Target="file:///C:/Users/Marizen%20Santos/Documents/Work/2018%20-%20CHR/UN%20Mechanisms/HRC/,%20http:/chr.gov.ph/chr-statement-on-the-suspension-of-the-anti-drug-campaign/" TargetMode="External"/><Relationship Id="rId14" Type="http://schemas.openxmlformats.org/officeDocument/2006/relationships/hyperlink" Target="http://chr.gov.ph/chr-calls-for-review-of-house-to-house-drug-testing-policy-stresses-need-to-protect-rights-of-all/" TargetMode="External"/><Relationship Id="rId22" Type="http://schemas.openxmlformats.org/officeDocument/2006/relationships/hyperlink" Target="http://chr.gov.ph/wp-content/uploads/2018/03/Denunciation-of-and-Withdrawal-from-International-Treatise-to-Reimpose-the-Death-Penalty.pdf"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pdea.gov.ph/images/Laws/EO_No.15series2017.pdf" TargetMode="External"/><Relationship Id="rId13" Type="http://schemas.openxmlformats.org/officeDocument/2006/relationships/hyperlink" Target="http://pdea.gov.ph/2-uncategorised/279-realnumbersph" TargetMode="External"/><Relationship Id="rId18" Type="http://schemas.openxmlformats.org/officeDocument/2006/relationships/hyperlink" Target="http://regnet.anu.edu.au/sites/default/files/uploads/2017-03/In-Defense-of-the-Right-to-Life-IL-and-Death-Penalty-in-the-Philippines.pdf" TargetMode="External"/><Relationship Id="rId26" Type="http://schemas.openxmlformats.org/officeDocument/2006/relationships/hyperlink" Target="http://chr.gov.ph/6933-2/" TargetMode="External"/><Relationship Id="rId39" Type="http://schemas.openxmlformats.org/officeDocument/2006/relationships/hyperlink" Target="http://chr.gov.ph/wp-content/uploads/2018/03/Denunciation-of-and-Withdrawal-from-International-Treatise-to-Reimpose-the-Death-Penalty.pdf" TargetMode="External"/><Relationship Id="rId3" Type="http://schemas.openxmlformats.org/officeDocument/2006/relationships/hyperlink" Target="http://www.officialgazette.gov.ph/downloads/2014/07jul/20140715-RA-10640-BSA.pdf" TargetMode="External"/><Relationship Id="rId21" Type="http://schemas.openxmlformats.org/officeDocument/2006/relationships/hyperlink" Target="https://www.rappler.com/nation/198171-full-text-philippines-rodrigo-duterte-statement-international-criminal-court-withdrawal?utm_source=feedburner&amp;utm_medium=feed&amp;utm_campaign=Feed%3A+rappler+%28Rappler%29" TargetMode="External"/><Relationship Id="rId34" Type="http://schemas.openxmlformats.org/officeDocument/2006/relationships/hyperlink" Target="http://chr.gov.ph/chr-hopeful-with-pdeas-lead-in-the-drug-campaign/" TargetMode="External"/><Relationship Id="rId42" Type="http://schemas.openxmlformats.org/officeDocument/2006/relationships/hyperlink" Target="https://www.rappler.com/nation/168924-free-legal-assistance-group-drug-issues-different-perspectives-policy-forum" TargetMode="External"/><Relationship Id="rId7" Type="http://schemas.openxmlformats.org/officeDocument/2006/relationships/hyperlink" Target="http://www.calambamisocc.gov.ph/index.php/60-capital-outlay/411-pnp-oplan-tokhang" TargetMode="External"/><Relationship Id="rId12" Type="http://schemas.openxmlformats.org/officeDocument/2006/relationships/hyperlink" Target="http://www.rappler.com/newsbreak/iq/145814-numbers-statistics-philippines-war-drugs" TargetMode="External"/><Relationship Id="rId17" Type="http://schemas.openxmlformats.org/officeDocument/2006/relationships/hyperlink" Target="http://chr.gov.ph/wp-content/uploads/2018/01/19-May-2017-Statement-of-CHR-Commissioner-Karen-Gomez-Dumpit-on-the-Fact-Finding-Report-of-the-Regional-Internal-Affairs-Service-%E2%80%93-National-Capital-Region-concerning-Manila-Police-District.pdf" TargetMode="External"/><Relationship Id="rId25" Type="http://schemas.openxmlformats.org/officeDocument/2006/relationships/hyperlink" Target="http://chr.gov.ph/chr-statement-on-the-suspension-of-the-anti-drug-campaign/" TargetMode="External"/><Relationship Id="rId33" Type="http://schemas.openxmlformats.org/officeDocument/2006/relationships/hyperlink" Target="http://chr.gov.ph/statement-of-the-commission-on-human-rights-on-the-sws-survey-on-peoples-perception-of-the-extrajudicial-killing-situation-in-the-country/" TargetMode="External"/><Relationship Id="rId38" Type="http://schemas.openxmlformats.org/officeDocument/2006/relationships/hyperlink" Target="http://regnet.anu.edu.au/sites/default/files/uploads/2017-03/In-Defense-of-the-Right-to-Life-IL-and-Death-Penalty-in-the-Philippines.pdf" TargetMode="External"/><Relationship Id="rId2" Type="http://schemas.openxmlformats.org/officeDocument/2006/relationships/hyperlink" Target="http://pdea.gov.ph/images/Laws/RA9165.pdf" TargetMode="External"/><Relationship Id="rId16" Type="http://schemas.openxmlformats.org/officeDocument/2006/relationships/hyperlink" Target="https://www.rappler.com/nation/168172-chr-free-detainees-secret-cell-tondo-police-station" TargetMode="External"/><Relationship Id="rId20" Type="http://schemas.openxmlformats.org/officeDocument/2006/relationships/hyperlink" Target="https://treaties.un.org/doc/Publication/CN/2018/CN.138.2018-Eng.pdf" TargetMode="External"/><Relationship Id="rId29" Type="http://schemas.openxmlformats.org/officeDocument/2006/relationships/hyperlink" Target="http://chr.gov.ph/statement-of-the-commission-on-human-rights-on-the-governments-measures-in-pursuing-personalities-involved-in-illegal-drugs-2/" TargetMode="External"/><Relationship Id="rId41" Type="http://schemas.openxmlformats.org/officeDocument/2006/relationships/hyperlink" Target="https://nobox.ph/post/policy-forum-summary" TargetMode="External"/><Relationship Id="rId1" Type="http://schemas.openxmlformats.org/officeDocument/2006/relationships/hyperlink" Target="https://www.right-docs.org/doc/a-hrc-res-28-28/" TargetMode="External"/><Relationship Id="rId6" Type="http://schemas.openxmlformats.org/officeDocument/2006/relationships/hyperlink" Target="https://www.ddb.gov.ph/major-programs-and-projects" TargetMode="External"/><Relationship Id="rId11" Type="http://schemas.openxmlformats.org/officeDocument/2006/relationships/hyperlink" Target="https://www.dswd.gov.ph/yakap-bayan-turns-more-drug-surrenderers-to-community-volunteers-leaders-in-quezon-province/" TargetMode="External"/><Relationship Id="rId24" Type="http://schemas.openxmlformats.org/officeDocument/2006/relationships/hyperlink" Target="https://www.icc-cpi.int/Pages/item.aspx?name=180208-otp-stat" TargetMode="External"/><Relationship Id="rId32" Type="http://schemas.openxmlformats.org/officeDocument/2006/relationships/hyperlink" Target="http://chr.gov.ph/chr-concerned-over-president-dutertes-remarks-against-un-special-rapporteur-human-rights-defenders/" TargetMode="External"/><Relationship Id="rId37" Type="http://schemas.openxmlformats.org/officeDocument/2006/relationships/hyperlink" Target="http://chr.gov.ph/statement-of-the-chr-on-the-plan-of-pdea-to-release-the-names-of-barangay-officials-who-are-allegedly-involved-in-the-illegal-drug-trade/" TargetMode="External"/><Relationship Id="rId40" Type="http://schemas.openxmlformats.org/officeDocument/2006/relationships/hyperlink" Target="http://chr.gov.ph/dilg-proposal-to-use-stickers-to-identify-drug-free-homes-chr-a2017-005/" TargetMode="External"/><Relationship Id="rId5" Type="http://schemas.openxmlformats.org/officeDocument/2006/relationships/hyperlink" Target="http://pdea.gov.ph/laws-and-regulations/amendment-to-the-guidelines-on-the-irr-of-sec-21-of-ra-9165-as-amended-by-ra-10640" TargetMode="External"/><Relationship Id="rId15" Type="http://schemas.openxmlformats.org/officeDocument/2006/relationships/hyperlink" Target="https://www.philstar.com/metro/2018/01/01/1773514/yearender-jail-congestion-rate-595-amid-drug-war" TargetMode="External"/><Relationship Id="rId23" Type="http://schemas.openxmlformats.org/officeDocument/2006/relationships/hyperlink" Target="https://www.icc-cpi.int/philippines" TargetMode="External"/><Relationship Id="rId28" Type="http://schemas.openxmlformats.org/officeDocument/2006/relationships/hyperlink" Target="http://chr.gov.ph/elementor-6967/" TargetMode="External"/><Relationship Id="rId36" Type="http://schemas.openxmlformats.org/officeDocument/2006/relationships/hyperlink" Target="http://chr.gov.ph/statement-of-the-chr-on-sc-decision-ordering-pnp-to-submit-data-on-anti-illegal-drugs-campaign/" TargetMode="External"/><Relationship Id="rId10" Type="http://schemas.openxmlformats.org/officeDocument/2006/relationships/hyperlink" Target="https://www.doh.gov.ph/sites/default/files/basic-page/3.%20Anti-Drug%20Campaign.pdf" TargetMode="External"/><Relationship Id="rId19" Type="http://schemas.openxmlformats.org/officeDocument/2006/relationships/hyperlink" Target="https://news.mb.com.ph/2018/01/12/revival-of-death-penalty-not-against-treaty-obligation-palace/" TargetMode="External"/><Relationship Id="rId31" Type="http://schemas.openxmlformats.org/officeDocument/2006/relationships/hyperlink" Target="http://chr.gov.ph/chr-calls-for-review-of-house-to-house-drug-testing-policy-stresses-need-to-protect-rights-of-all/" TargetMode="External"/><Relationship Id="rId4" Type="http://schemas.openxmlformats.org/officeDocument/2006/relationships/hyperlink" Target="http://pdea.gov.ph/images/Laws/IRR_Sec_21_RA9165.pdf" TargetMode="External"/><Relationship Id="rId9" Type="http://schemas.openxmlformats.org/officeDocument/2006/relationships/hyperlink" Target="http://www.sunstar.com.ph/article/1613688/Cebu/Feature/Special-Report-After-Tokhang-more-than-40000-drug-users-still-not-in-rehab-(First-of-four-parts)" TargetMode="External"/><Relationship Id="rId14" Type="http://schemas.openxmlformats.org/officeDocument/2006/relationships/hyperlink" Target="http://newsinfo.inquirer.net/825678/story-in-numbers-war-on-drugs" TargetMode="External"/><Relationship Id="rId22" Type="http://schemas.openxmlformats.org/officeDocument/2006/relationships/hyperlink" Target="http://legal.un.org/icc/statute/99_corr/cstatute.htm" TargetMode="External"/><Relationship Id="rId27" Type="http://schemas.openxmlformats.org/officeDocument/2006/relationships/hyperlink" Target="http://chr.gov.ph/chr-statement-on-the-resumption-of-oplan-tokhang/" TargetMode="External"/><Relationship Id="rId30" Type="http://schemas.openxmlformats.org/officeDocument/2006/relationships/hyperlink" Target="http://chr.gov.ph/chr-expresses-alarm-over-high-number-of-deaths-commences-motu-proprio-investigations/" TargetMode="External"/><Relationship Id="rId35" Type="http://schemas.openxmlformats.org/officeDocument/2006/relationships/hyperlink" Target="http://chr.gov.ph/statement-of-the-commission-on-human-rights-on-the-directive-to-submit-a-list-of-drug-personalities-at-the-barangay-le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04A50A-93A4-4C9E-8BD0-F71AD5371CB5}">
  <ds:schemaRefs>
    <ds:schemaRef ds:uri="http://schemas.openxmlformats.org/officeDocument/2006/bibliography"/>
  </ds:schemaRefs>
</ds:datastoreItem>
</file>

<file path=customXml/itemProps2.xml><?xml version="1.0" encoding="utf-8"?>
<ds:datastoreItem xmlns:ds="http://schemas.openxmlformats.org/officeDocument/2006/customXml" ds:itemID="{E8DC6D52-2297-4898-A083-130A64053546}"/>
</file>

<file path=customXml/itemProps3.xml><?xml version="1.0" encoding="utf-8"?>
<ds:datastoreItem xmlns:ds="http://schemas.openxmlformats.org/officeDocument/2006/customXml" ds:itemID="{893A08D8-0460-4F56-A4B5-FCC63D692958}"/>
</file>

<file path=customXml/itemProps4.xml><?xml version="1.0" encoding="utf-8"?>
<ds:datastoreItem xmlns:ds="http://schemas.openxmlformats.org/officeDocument/2006/customXml" ds:itemID="{F42238BA-6F7E-487F-A4E2-2D071917EB24}"/>
</file>

<file path=docProps/app.xml><?xml version="1.0" encoding="utf-8"?>
<Properties xmlns="http://schemas.openxmlformats.org/officeDocument/2006/extended-properties" xmlns:vt="http://schemas.openxmlformats.org/officeDocument/2006/docPropsVTypes">
  <Template>Normal.dotm</Template>
  <TotalTime>0</TotalTime>
  <Pages>11</Pages>
  <Words>4057</Words>
  <Characters>23126</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CHR62</dc:creator>
  <cp:keywords/>
  <dc:description/>
  <cp:lastModifiedBy>OHCHR-ROLDS</cp:lastModifiedBy>
  <cp:revision>2</cp:revision>
  <cp:lastPrinted>2018-03-26T02:38:00Z</cp:lastPrinted>
  <dcterms:created xsi:type="dcterms:W3CDTF">2018-05-22T07:58:00Z</dcterms:created>
  <dcterms:modified xsi:type="dcterms:W3CDTF">2018-05-22T07:58:00Z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