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F06BF" w14:textId="06824668" w:rsidR="00A12531" w:rsidRPr="006C187F" w:rsidRDefault="006C187F" w:rsidP="006C187F">
      <w:pPr>
        <w:jc w:val="center"/>
        <w:rPr>
          <w:b/>
          <w:i/>
          <w:sz w:val="24"/>
          <w:szCs w:val="24"/>
        </w:rPr>
      </w:pPr>
      <w:bookmarkStart w:id="0" w:name="_GoBack"/>
      <w:r w:rsidRPr="006C187F">
        <w:rPr>
          <w:b/>
          <w:sz w:val="24"/>
          <w:szCs w:val="24"/>
        </w:rPr>
        <w:t xml:space="preserve">Global Drug Policy Observatory </w:t>
      </w:r>
      <w:bookmarkEnd w:id="0"/>
      <w:r w:rsidRPr="006C187F">
        <w:rPr>
          <w:b/>
          <w:sz w:val="24"/>
          <w:szCs w:val="24"/>
        </w:rPr>
        <w:t>(GDPO) submission to the Office of the High Commissioner on Human Rights’ report on the implementation of the UNGASS joint commitment to effectively addressing and countering the world drug problem with regard to human rights.</w:t>
      </w:r>
    </w:p>
    <w:p w14:paraId="0A17B8D8" w14:textId="03417E1F" w:rsidR="00783C97" w:rsidRDefault="006C187F" w:rsidP="0015202B">
      <w:pPr>
        <w:spacing w:line="240" w:lineRule="auto"/>
        <w:jc w:val="both"/>
      </w:pPr>
      <w:r>
        <w:t xml:space="preserve">Based within Swansea University, UK, the GDPO </w:t>
      </w:r>
      <w:r w:rsidR="00783C97">
        <w:t>is an impact-oriented research unit that aims to promote evidence and human rights-based drug policy through the comprehensive and rigorous reporting, monitoring and analysis of policy developments at national and international levels (</w:t>
      </w:r>
      <w:hyperlink r:id="rId8" w:history="1">
        <w:r w:rsidR="00783C97" w:rsidRPr="00712944">
          <w:rPr>
            <w:rStyle w:val="Hyperlink"/>
          </w:rPr>
          <w:t>www.swansea.ac.uk/gdpo/</w:t>
        </w:r>
      </w:hyperlink>
      <w:r w:rsidR="00783C97">
        <w:t>)</w:t>
      </w:r>
      <w:r w:rsidR="005C192E">
        <w:t>.</w:t>
      </w:r>
      <w:r w:rsidR="00783C97">
        <w:t xml:space="preserve">  </w:t>
      </w:r>
    </w:p>
    <w:p w14:paraId="29640301" w14:textId="0A1938C5" w:rsidR="009807AF" w:rsidRDefault="00783C97" w:rsidP="0015202B">
      <w:pPr>
        <w:spacing w:line="240" w:lineRule="auto"/>
        <w:jc w:val="both"/>
      </w:pPr>
      <w:r>
        <w:t>In accordance with</w:t>
      </w:r>
      <w:r w:rsidR="00AB53F9">
        <w:t xml:space="preserve"> the Human Rights Council</w:t>
      </w:r>
      <w:r w:rsidR="0015202B">
        <w:t>’</w:t>
      </w:r>
      <w:r w:rsidR="00AB53F9">
        <w:t xml:space="preserve">s </w:t>
      </w:r>
      <w:r w:rsidR="005C192E">
        <w:t xml:space="preserve">(HRC) </w:t>
      </w:r>
      <w:r w:rsidR="00AB53F9">
        <w:t>Resolution 37/42,</w:t>
      </w:r>
      <w:r w:rsidR="0015202B">
        <w:rPr>
          <w:rStyle w:val="EndnoteReference"/>
        </w:rPr>
        <w:endnoteReference w:id="1"/>
      </w:r>
      <w:r w:rsidR="00AB53F9">
        <w:t xml:space="preserve"> this contribution aims to feed into the report of the Office of the High Commissioner for Human Rights (OHRHR) on the implementation of the UNGASS Outcome Document, ‘Our joint commitment to effectively addressing and countering the world drug problem.’  This submission relates to </w:t>
      </w:r>
      <w:r w:rsidR="0015202B">
        <w:t xml:space="preserve">the crucial yet largely overlooked issue of metrics and indicators as they </w:t>
      </w:r>
      <w:r w:rsidR="008E4DCC">
        <w:t>pertain</w:t>
      </w:r>
      <w:r w:rsidR="0015202B">
        <w:t xml:space="preserve"> to the intersection of drug policy and human rights.</w:t>
      </w:r>
    </w:p>
    <w:p w14:paraId="42995069" w14:textId="1918389B" w:rsidR="004D3580" w:rsidRPr="0015202B" w:rsidRDefault="005C192E">
      <w:pPr>
        <w:rPr>
          <w:b/>
          <w:i/>
        </w:rPr>
      </w:pPr>
      <w:r>
        <w:rPr>
          <w:b/>
          <w:i/>
        </w:rPr>
        <w:t xml:space="preserve">Context and </w:t>
      </w:r>
      <w:r w:rsidR="004D3580" w:rsidRPr="0015202B">
        <w:rPr>
          <w:b/>
          <w:i/>
        </w:rPr>
        <w:t>Overview</w:t>
      </w:r>
    </w:p>
    <w:p w14:paraId="10B7E30F" w14:textId="3D6F51E4" w:rsidR="00695700" w:rsidRDefault="00417402" w:rsidP="00695700">
      <w:pPr>
        <w:jc w:val="both"/>
      </w:pPr>
      <w:r>
        <w:t xml:space="preserve">Measurement and data have long been integral to the way the international community has worked to address what has become known somewhat vaguely as </w:t>
      </w:r>
      <w:r w:rsidR="008469FE">
        <w:t>the ‘</w:t>
      </w:r>
      <w:r>
        <w:t xml:space="preserve">world drug problem.’  From the early years of the current UN based international control framework, </w:t>
      </w:r>
      <w:r w:rsidR="005856CE">
        <w:t xml:space="preserve">states have, as required by the </w:t>
      </w:r>
      <w:r w:rsidR="007B4357">
        <w:t xml:space="preserve">three </w:t>
      </w:r>
      <w:r w:rsidR="005856CE">
        <w:t xml:space="preserve">drug control conventions, furnished </w:t>
      </w:r>
      <w:r>
        <w:t>statistics</w:t>
      </w:r>
      <w:r w:rsidR="00B564E8">
        <w:t xml:space="preserve"> on the licit </w:t>
      </w:r>
      <w:r w:rsidR="005856CE">
        <w:t>trade in drugs and precursors</w:t>
      </w:r>
      <w:r w:rsidR="00593963">
        <w:t xml:space="preserve"> to the </w:t>
      </w:r>
      <w:r w:rsidR="00C7562E">
        <w:t>treat</w:t>
      </w:r>
      <w:r w:rsidR="00BD7AE1">
        <w:t>ies’</w:t>
      </w:r>
      <w:r w:rsidR="00C7562E">
        <w:t xml:space="preserve"> </w:t>
      </w:r>
      <w:r w:rsidR="002E2CD3">
        <w:t>monitoring body</w:t>
      </w:r>
      <w:r w:rsidR="00C7562E">
        <w:t xml:space="preserve">, the International Narcotics Control Board.  </w:t>
      </w:r>
      <w:r w:rsidR="005856CE">
        <w:t xml:space="preserve">Accompanying this process, mechanisms have also evolved to capture data </w:t>
      </w:r>
      <w:r w:rsidR="00C7562E">
        <w:t xml:space="preserve">on the </w:t>
      </w:r>
      <w:r w:rsidR="007B4357">
        <w:t>state of the</w:t>
      </w:r>
      <w:r w:rsidR="005856CE">
        <w:t xml:space="preserve"> illicit market</w:t>
      </w:r>
      <w:r w:rsidR="007B4357">
        <w:t>.  In recent years, the United Nations Office on Drugs and Crime’s (UNODC) Annual Report Questionnaire (ARQ) has been central to this process.</w:t>
      </w:r>
      <w:r w:rsidR="00593963">
        <w:t xml:space="preserve"> </w:t>
      </w:r>
      <w:r w:rsidR="00C7562E">
        <w:t xml:space="preserve"> </w:t>
      </w:r>
      <w:r w:rsidR="00593963">
        <w:t xml:space="preserve">Since 1997 </w:t>
      </w:r>
      <w:r w:rsidR="00C7562E">
        <w:t>it has provided the core</w:t>
      </w:r>
      <w:r w:rsidR="00593963">
        <w:t xml:space="preserve"> data </w:t>
      </w:r>
      <w:r w:rsidR="00C7562E">
        <w:t>for</w:t>
      </w:r>
      <w:r w:rsidR="00593963">
        <w:t xml:space="preserve"> </w:t>
      </w:r>
      <w:r w:rsidR="00C7562E">
        <w:t xml:space="preserve">the </w:t>
      </w:r>
      <w:r w:rsidR="00593963">
        <w:t>UNODC</w:t>
      </w:r>
      <w:r w:rsidR="00590AB0">
        <w:t>’</w:t>
      </w:r>
      <w:r w:rsidR="00593963">
        <w:t xml:space="preserve">s flagship publication, </w:t>
      </w:r>
      <w:r w:rsidR="00C7562E">
        <w:t xml:space="preserve">the </w:t>
      </w:r>
      <w:r w:rsidR="00593963" w:rsidRPr="00C7562E">
        <w:rPr>
          <w:i/>
        </w:rPr>
        <w:t>World Drug Report</w:t>
      </w:r>
      <w:r w:rsidR="005F75A7">
        <w:t xml:space="preserve">; a </w:t>
      </w:r>
      <w:r w:rsidR="005E09D4">
        <w:t>document</w:t>
      </w:r>
      <w:r w:rsidR="00C7562E">
        <w:t xml:space="preserve"> </w:t>
      </w:r>
      <w:r w:rsidR="005F75A7">
        <w:t xml:space="preserve">that does much to set the tone of discussion and </w:t>
      </w:r>
      <w:r w:rsidR="00C7562E">
        <w:t>the ‘</w:t>
      </w:r>
      <w:r w:rsidR="005F75A7">
        <w:t>mood music</w:t>
      </w:r>
      <w:r w:rsidR="00C7562E">
        <w:t>’</w:t>
      </w:r>
      <w:r w:rsidR="005F75A7">
        <w:t xml:space="preserve"> for international debate</w:t>
      </w:r>
      <w:r w:rsidR="009807AF">
        <w:t xml:space="preserve"> with</w:t>
      </w:r>
      <w:r w:rsidR="002C35ED">
        <w:t>in</w:t>
      </w:r>
      <w:r w:rsidR="009807AF">
        <w:t xml:space="preserve"> the UN</w:t>
      </w:r>
      <w:r w:rsidR="00C7562E">
        <w:t>’s</w:t>
      </w:r>
      <w:r w:rsidR="009807AF">
        <w:t xml:space="preserve"> </w:t>
      </w:r>
      <w:r w:rsidR="00C7562E">
        <w:t>central</w:t>
      </w:r>
      <w:r w:rsidR="009807AF">
        <w:t xml:space="preserve"> policy making body on the issue area, the Commission on </w:t>
      </w:r>
      <w:r w:rsidR="00C7562E">
        <w:t>Narcotic</w:t>
      </w:r>
      <w:r w:rsidR="009807AF">
        <w:t xml:space="preserve"> Drugs</w:t>
      </w:r>
      <w:r w:rsidR="00C7562E">
        <w:t xml:space="preserve"> (CND)</w:t>
      </w:r>
      <w:r w:rsidR="009807AF">
        <w:t xml:space="preserve">. </w:t>
      </w:r>
      <w:r w:rsidR="00C7562E">
        <w:t xml:space="preserve"> </w:t>
      </w:r>
      <w:r w:rsidR="007B4357">
        <w:t>Beyond fundamental issues relating to states’ self-reporting on illicit market</w:t>
      </w:r>
      <w:r w:rsidR="00C7562E">
        <w:t>s</w:t>
      </w:r>
      <w:r w:rsidR="007B4357">
        <w:t xml:space="preserve"> within their borders, critiques of the ARQ </w:t>
      </w:r>
      <w:r w:rsidR="009A0375">
        <w:t>also raise questions concerning its dominant focus on scale, flows and process.  While admittedly</w:t>
      </w:r>
      <w:r w:rsidR="00B873B0">
        <w:t xml:space="preserve"> undergoing some refinement in relation to </w:t>
      </w:r>
      <w:r w:rsidR="00695700">
        <w:t xml:space="preserve">among other things the </w:t>
      </w:r>
      <w:r w:rsidR="00B873B0">
        <w:t xml:space="preserve">health consequences of drug use, iterations of the Questionnaire devote relatively little attention to the </w:t>
      </w:r>
      <w:r w:rsidR="009A0375">
        <w:t>outcomes of drug policy interventions.</w:t>
      </w:r>
      <w:r w:rsidR="00B873B0">
        <w:t xml:space="preserve">  Such a disconnect has profound implications for monitoring the intersection between drug policy and human rights; a crucial nexus that is, at the rhetorical level at least, becoming ever more prominent within </w:t>
      </w:r>
      <w:r w:rsidR="00695700">
        <w:t xml:space="preserve">a range of </w:t>
      </w:r>
      <w:r w:rsidR="00B873B0">
        <w:t>UN</w:t>
      </w:r>
      <w:r w:rsidR="00695700">
        <w:t xml:space="preserve"> structures</w:t>
      </w:r>
      <w:r w:rsidR="00593963">
        <w:t xml:space="preserve"> and for</w:t>
      </w:r>
      <w:r w:rsidR="002C35ED">
        <w:t>a</w:t>
      </w:r>
      <w:r w:rsidR="00B873B0">
        <w:t xml:space="preserve">.   </w:t>
      </w:r>
      <w:r w:rsidR="009A0375">
        <w:t xml:space="preserve"> </w:t>
      </w:r>
    </w:p>
    <w:p w14:paraId="3515DDD5" w14:textId="767C8E8E" w:rsidR="004D3580" w:rsidRDefault="00695700" w:rsidP="00695700">
      <w:pPr>
        <w:jc w:val="both"/>
      </w:pPr>
      <w:r>
        <w:t xml:space="preserve">Traditionally an issue deemed to be of limited relevance in Vienna, the home of the UN drug control </w:t>
      </w:r>
      <w:r w:rsidR="001B7995">
        <w:t>apparatus, the</w:t>
      </w:r>
      <w:r>
        <w:t xml:space="preserve"> last decade or so has seen the issue of human rights become an increasing area of concern</w:t>
      </w:r>
      <w:r w:rsidR="001B7995">
        <w:t xml:space="preserve">.  Growing </w:t>
      </w:r>
      <w:r>
        <w:t>number</w:t>
      </w:r>
      <w:r w:rsidR="001B7995">
        <w:t>s</w:t>
      </w:r>
      <w:r>
        <w:t xml:space="preserve"> of member states </w:t>
      </w:r>
      <w:r w:rsidR="001B7995">
        <w:t xml:space="preserve">are </w:t>
      </w:r>
      <w:r>
        <w:t>appreciat</w:t>
      </w:r>
      <w:r w:rsidR="001B7995">
        <w:t>ing</w:t>
      </w:r>
      <w:r>
        <w:t xml:space="preserve"> the close connections between the </w:t>
      </w:r>
      <w:r w:rsidR="001B7995">
        <w:t>implementation</w:t>
      </w:r>
      <w:r>
        <w:t xml:space="preserve"> of national drug policies within the overarching architecture of the drug control </w:t>
      </w:r>
      <w:r w:rsidR="001B7995">
        <w:t>conventions</w:t>
      </w:r>
      <w:r>
        <w:t xml:space="preserve"> and human rights norms and obligations </w:t>
      </w:r>
      <w:r w:rsidR="001B7995">
        <w:t xml:space="preserve">deriving from other parts of the UN system. </w:t>
      </w:r>
      <w:r>
        <w:t xml:space="preserve"> </w:t>
      </w:r>
      <w:r w:rsidR="007B4357">
        <w:t xml:space="preserve">  </w:t>
      </w:r>
      <w:r w:rsidR="000C3A08">
        <w:t>Language around human rights and drugs has been evolving – albeit slowly - for some time,</w:t>
      </w:r>
      <w:r w:rsidR="000C3A08">
        <w:rPr>
          <w:rStyle w:val="EndnoteReference"/>
        </w:rPr>
        <w:endnoteReference w:id="2"/>
      </w:r>
      <w:r w:rsidR="000C3A08">
        <w:t xml:space="preserve"> with t</w:t>
      </w:r>
      <w:r w:rsidR="00593963">
        <w:t xml:space="preserve">he most recent and significant expression of this shift in perspective </w:t>
      </w:r>
      <w:r w:rsidR="000C3A08">
        <w:t xml:space="preserve">identifiable </w:t>
      </w:r>
      <w:r w:rsidR="00593963">
        <w:t xml:space="preserve">in the </w:t>
      </w:r>
      <w:r w:rsidR="00FA3809" w:rsidRPr="00FA3809">
        <w:rPr>
          <w:i/>
        </w:rPr>
        <w:t>Outcome Document of the 2016 United Nations General Assembly Special Session on the World Drug Problem</w:t>
      </w:r>
      <w:r w:rsidR="00FA3809">
        <w:t xml:space="preserve">.  </w:t>
      </w:r>
      <w:r w:rsidR="007E480D">
        <w:t>T</w:t>
      </w:r>
      <w:r w:rsidR="00FA3809">
        <w:t xml:space="preserve">his contains a welcome increase in references to </w:t>
      </w:r>
      <w:r w:rsidR="008A264A">
        <w:t xml:space="preserve">a range of </w:t>
      </w:r>
      <w:r w:rsidR="00FA3809">
        <w:t>human rights</w:t>
      </w:r>
      <w:r w:rsidR="007C319F" w:rsidRPr="007C319F">
        <w:t xml:space="preserve"> </w:t>
      </w:r>
      <w:r w:rsidR="007C319F">
        <w:t>compared to earlier soft law instruments</w:t>
      </w:r>
      <w:r w:rsidR="005F75A7">
        <w:t>, including notably a specific chapter devoted to ‘Operational recommendations on cross-cutting issues: drugs and human rights, youth</w:t>
      </w:r>
      <w:r w:rsidR="002C35ED">
        <w:t>,</w:t>
      </w:r>
      <w:r w:rsidR="005F75A7">
        <w:t xml:space="preserve"> children, women and communities.’  </w:t>
      </w:r>
      <w:r w:rsidR="00723025">
        <w:t>Reflecting the general situation in Vienna, w</w:t>
      </w:r>
      <w:r w:rsidR="005F75A7">
        <w:t xml:space="preserve">hat is lacking within the Outcome </w:t>
      </w:r>
      <w:r w:rsidR="007C319F">
        <w:t>Document</w:t>
      </w:r>
      <w:r w:rsidR="005F75A7">
        <w:t xml:space="preserve">, however, is </w:t>
      </w:r>
      <w:r w:rsidR="005F75A7" w:rsidRPr="004D0518">
        <w:rPr>
          <w:i/>
        </w:rPr>
        <w:t>specific</w:t>
      </w:r>
      <w:r w:rsidR="005F75A7">
        <w:t xml:space="preserve"> mention of mechanisms to monitor</w:t>
      </w:r>
      <w:r w:rsidR="007C319F">
        <w:t xml:space="preserve"> state adherence to the high-level commitments to human rights as agreed in New York in April 2016. Analysis of the drafting process suggests such an omission is the </w:t>
      </w:r>
      <w:r w:rsidR="007C319F">
        <w:lastRenderedPageBreak/>
        <w:t xml:space="preserve">result of the </w:t>
      </w:r>
      <w:r w:rsidR="00FA1408">
        <w:t>consensus-based</w:t>
      </w:r>
      <w:r w:rsidR="007C319F">
        <w:t xml:space="preserve"> negotiations for the document; a process that while producing high-level references to human rights obligations also ultimately </w:t>
      </w:r>
      <w:r w:rsidR="00FA1408">
        <w:t>resulted in a necessarily</w:t>
      </w:r>
      <w:r w:rsidR="007C319F">
        <w:t xml:space="preserve"> vague and imprecise final text.</w:t>
      </w:r>
      <w:r w:rsidR="00237FA0">
        <w:rPr>
          <w:rStyle w:val="EndnoteReference"/>
        </w:rPr>
        <w:endnoteReference w:id="3"/>
      </w:r>
      <w:r w:rsidR="007C319F">
        <w:t xml:space="preserve"> </w:t>
      </w:r>
      <w:r w:rsidR="00FA1408">
        <w:t xml:space="preserve"> </w:t>
      </w:r>
      <w:r w:rsidR="009807AF">
        <w:t xml:space="preserve">That sensitivities and diverging perspectives around the </w:t>
      </w:r>
      <w:r w:rsidR="006E2A38">
        <w:t>issue</w:t>
      </w:r>
      <w:r w:rsidR="009807AF">
        <w:t xml:space="preserve"> of human rights </w:t>
      </w:r>
      <w:r w:rsidR="008A264A">
        <w:t xml:space="preserve">and associated </w:t>
      </w:r>
      <w:r w:rsidR="009807AF">
        <w:t xml:space="preserve">indicators among member states </w:t>
      </w:r>
      <w:r w:rsidR="00BB4D88">
        <w:t xml:space="preserve">continues to </w:t>
      </w:r>
      <w:r w:rsidR="006E2A38">
        <w:t>exist</w:t>
      </w:r>
      <w:r w:rsidR="009807AF">
        <w:t xml:space="preserve"> </w:t>
      </w:r>
      <w:r w:rsidR="008A264A">
        <w:t>was</w:t>
      </w:r>
      <w:r w:rsidR="008469FE">
        <w:t xml:space="preserve"> </w:t>
      </w:r>
      <w:r w:rsidR="009807AF">
        <w:t xml:space="preserve"> </w:t>
      </w:r>
      <w:r w:rsidR="008A264A">
        <w:t xml:space="preserve">in </w:t>
      </w:r>
      <w:r w:rsidR="006E2A38">
        <w:t>evidence</w:t>
      </w:r>
      <w:r w:rsidR="009807AF">
        <w:t xml:space="preserve"> </w:t>
      </w:r>
      <w:r w:rsidR="00FA1408">
        <w:t xml:space="preserve">during discussions in early 2018 to review the ARQs. </w:t>
      </w:r>
      <w:r w:rsidR="009807AF">
        <w:t xml:space="preserve"> Then there was little </w:t>
      </w:r>
      <w:r w:rsidR="006E2A38">
        <w:t>appetite</w:t>
      </w:r>
      <w:r w:rsidR="009807AF">
        <w:t xml:space="preserve"> to include within a revised </w:t>
      </w:r>
      <w:r w:rsidR="006E2A38">
        <w:t>Questionnaire</w:t>
      </w:r>
      <w:r w:rsidR="009807AF">
        <w:t xml:space="preserve"> any</w:t>
      </w:r>
      <w:r w:rsidR="006E2A38">
        <w:t xml:space="preserve"> references to human rights, even in terms of proxy indicators such as levels of incarceration for drug offences.</w:t>
      </w:r>
      <w:r w:rsidR="002C35ED">
        <w:t xml:space="preserve">  This was the case despite the increased profile of human rights </w:t>
      </w:r>
      <w:r w:rsidR="008A264A">
        <w:t xml:space="preserve">throughout </w:t>
      </w:r>
      <w:r w:rsidR="002C35ED">
        <w:t>the Outcome Document.</w:t>
      </w:r>
      <w:r w:rsidR="00237FA0">
        <w:rPr>
          <w:rStyle w:val="EndnoteReference"/>
        </w:rPr>
        <w:endnoteReference w:id="4"/>
      </w:r>
    </w:p>
    <w:p w14:paraId="1B0F3237" w14:textId="51E4FACC" w:rsidR="005C192E" w:rsidRPr="005C192E" w:rsidRDefault="00611587" w:rsidP="00695700">
      <w:pPr>
        <w:jc w:val="both"/>
        <w:rPr>
          <w:b/>
          <w:i/>
        </w:rPr>
      </w:pPr>
      <w:r>
        <w:rPr>
          <w:b/>
          <w:i/>
        </w:rPr>
        <w:t>R</w:t>
      </w:r>
      <w:r w:rsidR="005C192E" w:rsidRPr="005C192E">
        <w:rPr>
          <w:b/>
          <w:i/>
        </w:rPr>
        <w:t>efocusing of drug policy metrics</w:t>
      </w:r>
      <w:r>
        <w:rPr>
          <w:b/>
          <w:i/>
        </w:rPr>
        <w:t xml:space="preserve">: Opportunities and Entry Points </w:t>
      </w:r>
      <w:r w:rsidR="005C192E" w:rsidRPr="005C192E">
        <w:rPr>
          <w:b/>
          <w:i/>
        </w:rPr>
        <w:t xml:space="preserve"> </w:t>
      </w:r>
    </w:p>
    <w:p w14:paraId="7B228480" w14:textId="781DFE70" w:rsidR="00C54E39" w:rsidRDefault="006C615B" w:rsidP="00695700">
      <w:pPr>
        <w:jc w:val="both"/>
      </w:pPr>
      <w:r>
        <w:t>A refocusing of the traditional metrics frameworks to incorporate the myriad human rights dimensions of drug policy is clearly not an easy task.  Indeed, it might be argued that technical and political complexities of any transition go a long way to explain relative stasis on the issue.  That said, with an increasing drive to develop system-wide coherence on drugs and include a range of UN entities beyond those based in Vienna, as expressed in the Outcome Documents (</w:t>
      </w:r>
      <w:r w:rsidR="00324FF1">
        <w:t>Preamble</w:t>
      </w:r>
      <w:r>
        <w:t>)</w:t>
      </w:r>
      <w:r w:rsidR="00C54E39">
        <w:t xml:space="preserve"> and elsewhere</w:t>
      </w:r>
      <w:r>
        <w:t xml:space="preserve">, has come increased opportunities to </w:t>
      </w:r>
      <w:r w:rsidR="00BB4D88">
        <w:t>initiate</w:t>
      </w:r>
      <w:r w:rsidR="00D329BC">
        <w:t xml:space="preserve"> change.  This might involve the use of existing data sets from part</w:t>
      </w:r>
      <w:r w:rsidR="00324FF1">
        <w:t>s of</w:t>
      </w:r>
      <w:r w:rsidR="00D329BC">
        <w:t xml:space="preserve"> the UN system not currently deployed, such as </w:t>
      </w:r>
      <w:r w:rsidR="005C192E">
        <w:t xml:space="preserve">in the field of </w:t>
      </w:r>
      <w:r w:rsidR="00D329BC">
        <w:t>human development and those relating to the Sustainable Development Agenda and the related Sustainable Development Goals (SDGs) (see below)</w:t>
      </w:r>
      <w:r w:rsidR="00324FF1">
        <w:t>.</w:t>
      </w:r>
      <w:r w:rsidR="00D329BC">
        <w:t xml:space="preserve"> </w:t>
      </w:r>
      <w:r w:rsidR="00324FF1">
        <w:t xml:space="preserve">Additionally, </w:t>
      </w:r>
      <w:r w:rsidR="00D329BC">
        <w:t>issue specific expertise of bodies such as the OHCHR</w:t>
      </w:r>
      <w:r w:rsidR="00324FF1">
        <w:t xml:space="preserve"> should not be overlooked</w:t>
      </w:r>
      <w:r w:rsidR="00D329BC">
        <w:t>.</w:t>
      </w:r>
      <w:r w:rsidR="00324FF1">
        <w:rPr>
          <w:rStyle w:val="EndnoteReference"/>
        </w:rPr>
        <w:endnoteReference w:id="5"/>
      </w:r>
      <w:r w:rsidR="00D329BC">
        <w:t xml:space="preserve"> </w:t>
      </w:r>
      <w:r>
        <w:t xml:space="preserve"> </w:t>
      </w:r>
      <w:r w:rsidR="00C54E39">
        <w:t>New approaches might include a combination of structural, process and outcome indicators to best assess states’ drug policy implementation against hum</w:t>
      </w:r>
      <w:r w:rsidR="00433B85">
        <w:t>an rights obligations.</w:t>
      </w:r>
      <w:r w:rsidR="00433B85">
        <w:rPr>
          <w:rStyle w:val="EndnoteReference"/>
        </w:rPr>
        <w:endnoteReference w:id="6"/>
      </w:r>
    </w:p>
    <w:p w14:paraId="2628A0A4" w14:textId="65510D5B" w:rsidR="008503FD" w:rsidRDefault="009807AF" w:rsidP="00695700">
      <w:pPr>
        <w:jc w:val="both"/>
      </w:pPr>
      <w:r>
        <w:t>Within this context,</w:t>
      </w:r>
      <w:r w:rsidR="006E2A38">
        <w:t xml:space="preserve"> the </w:t>
      </w:r>
      <w:r w:rsidR="00B83B4B">
        <w:t xml:space="preserve">forthcoming report by Office of the High Commissioner for Human Rights represents a key opportunity to highlight the importance of indicators relating to drug policy and human rights and </w:t>
      </w:r>
      <w:r w:rsidR="00723025">
        <w:t xml:space="preserve">to </w:t>
      </w:r>
      <w:r w:rsidR="00B83B4B">
        <w:t xml:space="preserve">encourage member states to engage in </w:t>
      </w:r>
      <w:r w:rsidR="00723025">
        <w:t xml:space="preserve">the development of </w:t>
      </w:r>
      <w:r w:rsidR="00B83B4B">
        <w:t xml:space="preserve">monitoring </w:t>
      </w:r>
      <w:r w:rsidR="008503FD">
        <w:t xml:space="preserve">structures.  </w:t>
      </w:r>
      <w:r w:rsidR="00500D04">
        <w:t xml:space="preserve">The rationale for such an endeavour can be found within both the Outcome Document and </w:t>
      </w:r>
      <w:r w:rsidR="00CA3EF6">
        <w:t xml:space="preserve">to a lesser extent </w:t>
      </w:r>
      <w:r w:rsidR="00500D04">
        <w:t>Human Rights Council Resolution 37/42.</w:t>
      </w:r>
    </w:p>
    <w:p w14:paraId="579AA8F3" w14:textId="498E8BB1" w:rsidR="00BB4D88" w:rsidRDefault="003E0E4C" w:rsidP="00695700">
      <w:pPr>
        <w:jc w:val="both"/>
      </w:pPr>
      <w:r>
        <w:t xml:space="preserve">Regarding the former, there are various points in the text that </w:t>
      </w:r>
      <w:r w:rsidR="004D0518">
        <w:t xml:space="preserve">can be seen to </w:t>
      </w:r>
      <w:r>
        <w:t xml:space="preserve">refer </w:t>
      </w:r>
      <w:r w:rsidR="00FB54EB">
        <w:t>in</w:t>
      </w:r>
      <w:r>
        <w:t xml:space="preserve"> one way or another to measurement, indicators and data collection</w:t>
      </w:r>
      <w:r w:rsidR="00FB54EB">
        <w:t xml:space="preserve"> </w:t>
      </w:r>
      <w:r w:rsidR="00CE1221">
        <w:t xml:space="preserve">that </w:t>
      </w:r>
      <w:r w:rsidR="00FB54EB">
        <w:t>relat</w:t>
      </w:r>
      <w:r w:rsidR="00CE1221">
        <w:t xml:space="preserve">e </w:t>
      </w:r>
      <w:r w:rsidR="00FB54EB">
        <w:t>to human rights</w:t>
      </w:r>
      <w:r>
        <w:t>.  These range f</w:t>
      </w:r>
      <w:r w:rsidR="00D30629">
        <w:t xml:space="preserve">rom </w:t>
      </w:r>
      <w:r>
        <w:t>references to the collection and analysis of data ‘</w:t>
      </w:r>
      <w:r w:rsidR="00FB54EB">
        <w:t>including</w:t>
      </w:r>
      <w:r>
        <w:t xml:space="preserve"> age- and gender-related data’ within the preamble to </w:t>
      </w:r>
      <w:r w:rsidR="00096CE3">
        <w:t xml:space="preserve">operative paragraphs relating to </w:t>
      </w:r>
      <w:r>
        <w:t>dat</w:t>
      </w:r>
      <w:r w:rsidR="00CE1221">
        <w:t>a</w:t>
      </w:r>
      <w:r>
        <w:t xml:space="preserve"> collection regarding supply reduction </w:t>
      </w:r>
      <w:r w:rsidR="00CE1221">
        <w:t xml:space="preserve">measures </w:t>
      </w:r>
      <w:r>
        <w:t>(OP3c)</w:t>
      </w:r>
      <w:r w:rsidR="00E96D6A">
        <w:t xml:space="preserve">, </w:t>
      </w:r>
      <w:r w:rsidR="00FB54EB">
        <w:t xml:space="preserve">access to controlled substances exclusively for medical and </w:t>
      </w:r>
      <w:r w:rsidR="00CE1221">
        <w:t>scientific</w:t>
      </w:r>
      <w:r w:rsidR="00FB54EB">
        <w:t xml:space="preserve"> purposes, (OP2f)</w:t>
      </w:r>
      <w:r w:rsidR="00E96D6A">
        <w:t xml:space="preserve"> and mainstreaming a gender perspective (OP4</w:t>
      </w:r>
      <w:r w:rsidR="008F60AD">
        <w:t>g)</w:t>
      </w:r>
      <w:r w:rsidR="00CE1221">
        <w:t>.</w:t>
      </w:r>
      <w:r w:rsidR="00FB54EB">
        <w:t xml:space="preserve"> </w:t>
      </w:r>
      <w:r w:rsidR="00CE1221">
        <w:t xml:space="preserve"> </w:t>
      </w:r>
      <w:r w:rsidR="00BF4A22">
        <w:t xml:space="preserve">This last point was also echoed within HRC Resolution 37/42 at </w:t>
      </w:r>
      <w:r w:rsidR="00CA3EF6">
        <w:t xml:space="preserve">OP4. </w:t>
      </w:r>
      <w:r w:rsidR="00CE1221">
        <w:t xml:space="preserve">Of specific note, however, are </w:t>
      </w:r>
      <w:r w:rsidR="008F60AD">
        <w:t>several</w:t>
      </w:r>
      <w:r w:rsidR="00CE1221">
        <w:t xml:space="preserve"> other operative paragraphs</w:t>
      </w:r>
      <w:r w:rsidR="008F60AD">
        <w:t xml:space="preserve"> </w:t>
      </w:r>
      <w:r w:rsidR="00CA3EF6">
        <w:t xml:space="preserve">within the Document </w:t>
      </w:r>
      <w:r w:rsidR="008F60AD">
        <w:t xml:space="preserve">that offer clear entry points to increase attention </w:t>
      </w:r>
      <w:r w:rsidR="008E4D62">
        <w:t xml:space="preserve">and promote specificity </w:t>
      </w:r>
      <w:r w:rsidR="008F60AD">
        <w:t xml:space="preserve">on the issue.  </w:t>
      </w:r>
    </w:p>
    <w:p w14:paraId="7DB8B9ED" w14:textId="75C64AEC" w:rsidR="003E0E4C" w:rsidRDefault="008F60AD" w:rsidP="00695700">
      <w:pPr>
        <w:jc w:val="both"/>
      </w:pPr>
      <w:r>
        <w:t xml:space="preserve">First is </w:t>
      </w:r>
      <w:r w:rsidR="00096CE3">
        <w:t xml:space="preserve">that recommending </w:t>
      </w:r>
      <w:r>
        <w:t>states</w:t>
      </w:r>
      <w:r w:rsidR="00096CE3">
        <w:t xml:space="preserve"> to</w:t>
      </w:r>
      <w:r>
        <w:t xml:space="preserve"> ‘Consider, on a voluntary basis, when furnishing info</w:t>
      </w:r>
      <w:r w:rsidR="00096CE3">
        <w:t>rm</w:t>
      </w:r>
      <w:r>
        <w:t xml:space="preserve">ation to the Commission on </w:t>
      </w:r>
      <w:r w:rsidR="00096CE3">
        <w:t>Narcotic</w:t>
      </w:r>
      <w:r>
        <w:t xml:space="preserve"> Drugs  pursuant to the three international drug control </w:t>
      </w:r>
      <w:r w:rsidR="00096CE3">
        <w:t>conventions</w:t>
      </w:r>
      <w:r>
        <w:t xml:space="preserve"> and </w:t>
      </w:r>
      <w:r w:rsidR="00096CE3">
        <w:t>relevant</w:t>
      </w:r>
      <w:r>
        <w:t xml:space="preserve"> Commission resolution</w:t>
      </w:r>
      <w:r w:rsidR="00096CE3">
        <w:t>s</w:t>
      </w:r>
      <w:r>
        <w:t>, the inclusion of information concerning, inter alia, the promotion of human rights and the health, safety and welfare of all individuals, communities and society in the context of their domestic implementation of these conventions, including recent developments, best practice an</w:t>
      </w:r>
      <w:r w:rsidR="00096CE3">
        <w:t xml:space="preserve">d challenges.’ (OP4h).  This appears to be a clear invitation </w:t>
      </w:r>
      <w:r w:rsidR="004D0518">
        <w:t xml:space="preserve">to </w:t>
      </w:r>
      <w:r w:rsidR="00096CE3">
        <w:t>states</w:t>
      </w:r>
      <w:r w:rsidR="004D0518">
        <w:t xml:space="preserve"> to present information to the CND on a range of human rights indicators as they pertain to the implementation of </w:t>
      </w:r>
      <w:r w:rsidR="009114EF">
        <w:t>domestic</w:t>
      </w:r>
      <w:r w:rsidR="004D0518">
        <w:t xml:space="preserve"> drug policy and as such warrants attention.   This is </w:t>
      </w:r>
      <w:r w:rsidR="009114EF">
        <w:t>particularly</w:t>
      </w:r>
      <w:r w:rsidR="004D0518">
        <w:t xml:space="preserve"> so when linked to references elsewhere in the Outcome </w:t>
      </w:r>
      <w:r w:rsidR="009114EF">
        <w:t>Document</w:t>
      </w:r>
      <w:r w:rsidR="004D0518">
        <w:t xml:space="preserve"> </w:t>
      </w:r>
      <w:r w:rsidR="009114EF">
        <w:t xml:space="preserve">to not only </w:t>
      </w:r>
      <w:r w:rsidR="0094683A">
        <w:t>the Universal Declaration on Human Rights and ‘other relevant international instruments’ (Preamble)</w:t>
      </w:r>
      <w:r w:rsidR="009114EF">
        <w:t xml:space="preserve">, but also ‘the systematic collection…of reliable and comparable data on drug use and epidemiology, including on social, economic and other </w:t>
      </w:r>
      <w:r w:rsidR="009114EF" w:rsidRPr="009114EF">
        <w:rPr>
          <w:i/>
        </w:rPr>
        <w:t>risk factors</w:t>
      </w:r>
      <w:r w:rsidR="009114EF">
        <w:t>….’ (emphasis added) (OP1h).</w:t>
      </w:r>
      <w:r w:rsidR="004D0518">
        <w:t xml:space="preserve">  </w:t>
      </w:r>
      <w:r w:rsidR="0094683A">
        <w:t xml:space="preserve">OP4h </w:t>
      </w:r>
      <w:r w:rsidR="00BA5943">
        <w:t>can</w:t>
      </w:r>
      <w:r w:rsidR="0094683A">
        <w:t xml:space="preserve"> also read alongside OP5u.  In relation to  ‘Evolving reality, trends and existing </w:t>
      </w:r>
      <w:r w:rsidR="0094683A">
        <w:lastRenderedPageBreak/>
        <w:t>circumstances, emerging and persistent chall</w:t>
      </w:r>
      <w:r w:rsidR="008E4D62">
        <w:t>en</w:t>
      </w:r>
      <w:r w:rsidR="0094683A">
        <w:t xml:space="preserve">ges and </w:t>
      </w:r>
      <w:r w:rsidR="008E4D62">
        <w:t>threats’ this</w:t>
      </w:r>
      <w:r w:rsidR="0094683A">
        <w:t xml:space="preserve"> </w:t>
      </w:r>
      <w:r w:rsidR="008E4D62">
        <w:t>encourages</w:t>
      </w:r>
      <w:r w:rsidR="0094683A">
        <w:t xml:space="preserve"> states to ‘Promote, as appropriate, the use </w:t>
      </w:r>
      <w:r w:rsidR="008E4D62">
        <w:t xml:space="preserve">and analysis of relevant, reliable and objective data generated by national and regional monitoring and evaluation to improve the implementation of comprehensive, integrated and balanced national drug control strategies, policies and programmes in conformity with the three international drug control instruments and </w:t>
      </w:r>
      <w:r w:rsidR="008E4D62" w:rsidRPr="008E4D62">
        <w:rPr>
          <w:i/>
        </w:rPr>
        <w:t>other relevant international instruments</w:t>
      </w:r>
      <w:r w:rsidR="008E4D62">
        <w:t xml:space="preserve">…’ (emphasis added).  </w:t>
      </w:r>
      <w:r w:rsidR="00CA3EF6">
        <w:t>O</w:t>
      </w:r>
      <w:r w:rsidR="008E4D62">
        <w:t xml:space="preserve">f </w:t>
      </w:r>
      <w:r w:rsidR="00CA3EF6">
        <w:t xml:space="preserve">further </w:t>
      </w:r>
      <w:r w:rsidR="008E4D62">
        <w:t xml:space="preserve">note is the reference within the Outcome Document to ‘human development indicators’ (OP6g). Although inclusion within the text relates specifically to </w:t>
      </w:r>
      <w:r w:rsidR="001F590C">
        <w:t xml:space="preserve">the impact assessment of alternative development programmes, including preventative alternative development, a broader definition of human development beyond rural areas allows for its application across a range of policy outcomes. </w:t>
      </w:r>
      <w:r w:rsidR="00BA5943">
        <w:t xml:space="preserve"> This is an important monitoring mechanism that, when </w:t>
      </w:r>
      <w:r w:rsidR="006C187F">
        <w:t>paired with</w:t>
      </w:r>
      <w:r w:rsidR="00BA5943">
        <w:t xml:space="preserve"> efforts to achieve the Sustainable Development Goals, appears to offer great potential in the </w:t>
      </w:r>
      <w:r w:rsidR="00693DC1">
        <w:t>pursuit</w:t>
      </w:r>
      <w:r w:rsidR="00BA5943">
        <w:t xml:space="preserve"> of human rights </w:t>
      </w:r>
      <w:r w:rsidR="00693DC1">
        <w:t>aligned</w:t>
      </w:r>
      <w:r w:rsidR="00BA5943">
        <w:t xml:space="preserve"> drug </w:t>
      </w:r>
      <w:r w:rsidR="00693DC1">
        <w:t>policy</w:t>
      </w:r>
      <w:r w:rsidR="00BA5943">
        <w:t>.</w:t>
      </w:r>
      <w:r w:rsidR="00D329BC">
        <w:rPr>
          <w:rStyle w:val="EndnoteReference"/>
        </w:rPr>
        <w:endnoteReference w:id="7"/>
      </w:r>
      <w:r w:rsidR="00BA5943">
        <w:t xml:space="preserve"> </w:t>
      </w:r>
    </w:p>
    <w:p w14:paraId="58B58161" w14:textId="58764601" w:rsidR="008503FD" w:rsidRDefault="00BF4A22" w:rsidP="00695700">
      <w:pPr>
        <w:jc w:val="both"/>
        <w:rPr>
          <w:b/>
          <w:i/>
        </w:rPr>
      </w:pPr>
      <w:r w:rsidRPr="00BF4A22">
        <w:rPr>
          <w:b/>
          <w:i/>
        </w:rPr>
        <w:t>Conclusions</w:t>
      </w:r>
    </w:p>
    <w:p w14:paraId="4C686715" w14:textId="4401BF41" w:rsidR="00611587" w:rsidRDefault="00B571AC" w:rsidP="00695700">
      <w:pPr>
        <w:jc w:val="both"/>
      </w:pPr>
      <w:r>
        <w:t>The existence of such references within the Outcome Document provide the OHCHR with a timely opportunity to strengthen the place of metrics and indicators relating to drug policy and human rights within current UN documentation and associated discourse</w:t>
      </w:r>
      <w:r w:rsidR="008469FE">
        <w:t xml:space="preserve">, especially in regard to the sixty-second session of the CND.  </w:t>
      </w:r>
      <w:r>
        <w:t xml:space="preserve">When viewed in combination with the system-wide commitments to the SDGs, the </w:t>
      </w:r>
      <w:r w:rsidR="007520E9">
        <w:t>Document</w:t>
      </w:r>
      <w:r>
        <w:t xml:space="preserve"> offers a </w:t>
      </w:r>
      <w:r w:rsidR="00364F25">
        <w:t xml:space="preserve">starting point </w:t>
      </w:r>
      <w:r>
        <w:t xml:space="preserve">from which to develop </w:t>
      </w:r>
      <w:r w:rsidR="007520E9">
        <w:t>much needed</w:t>
      </w:r>
      <w:r>
        <w:t xml:space="preserve"> </w:t>
      </w:r>
      <w:r w:rsidR="007520E9">
        <w:t>levels</w:t>
      </w:r>
      <w:r>
        <w:t xml:space="preserve"> of specificity and move beyond high level and often vague </w:t>
      </w:r>
      <w:r w:rsidR="007520E9">
        <w:t>recommendations.  Although, as analysis of debate at recent CND sessions revels,</w:t>
      </w:r>
      <w:r w:rsidR="007520E9">
        <w:rPr>
          <w:rStyle w:val="EndnoteReference"/>
        </w:rPr>
        <w:endnoteReference w:id="8"/>
      </w:r>
      <w:r w:rsidR="007520E9">
        <w:t xml:space="preserve"> the issue of human rights remains contested territory, OP4h </w:t>
      </w:r>
      <w:r w:rsidR="00364F25">
        <w:t xml:space="preserve">in particular </w:t>
      </w:r>
      <w:r w:rsidR="007520E9">
        <w:t xml:space="preserve">offers those states willing to engage with human rights indicators a structured opportunity to feed </w:t>
      </w:r>
      <w:r w:rsidR="00364F25">
        <w:t xml:space="preserve">information to the CND and hence raise its profile. Mindful of the opportunity presented, in addition to utilizing specific aspects of the Outcome Document the OHCHR may wish to consider </w:t>
      </w:r>
      <w:r w:rsidR="00305BAB">
        <w:t xml:space="preserve">incorporation </w:t>
      </w:r>
      <w:r w:rsidR="003E350E">
        <w:t xml:space="preserve">in </w:t>
      </w:r>
      <w:r w:rsidR="00305BAB">
        <w:t>its</w:t>
      </w:r>
      <w:r w:rsidR="003E350E">
        <w:t xml:space="preserve"> report </w:t>
      </w:r>
      <w:r w:rsidR="00364F25">
        <w:t xml:space="preserve">of </w:t>
      </w:r>
      <w:r w:rsidR="003E350E">
        <w:t>several process-oriented recommendations.  Th</w:t>
      </w:r>
      <w:r w:rsidR="00305BAB">
        <w:t>e</w:t>
      </w:r>
      <w:r w:rsidR="003E350E">
        <w:t>s</w:t>
      </w:r>
      <w:r w:rsidR="00305BAB">
        <w:t>e</w:t>
      </w:r>
      <w:r w:rsidR="003E350E">
        <w:t xml:space="preserve"> include:</w:t>
      </w:r>
    </w:p>
    <w:p w14:paraId="774C073E" w14:textId="015073A1" w:rsidR="003E350E" w:rsidRDefault="003E350E" w:rsidP="003E350E">
      <w:pPr>
        <w:pStyle w:val="ListParagraph"/>
        <w:numPr>
          <w:ilvl w:val="0"/>
          <w:numId w:val="1"/>
        </w:numPr>
        <w:jc w:val="both"/>
      </w:pPr>
      <w:r>
        <w:t xml:space="preserve">Support for the creation of an external advisory committee to </w:t>
      </w:r>
      <w:r w:rsidR="00B51952">
        <w:t xml:space="preserve">utilize expertise and </w:t>
      </w:r>
      <w:r>
        <w:t>help develop system-wide coherence on drug policy metrics, including in relation to human rights</w:t>
      </w:r>
      <w:r w:rsidR="00305BAB">
        <w:t>.</w:t>
      </w:r>
    </w:p>
    <w:p w14:paraId="45BCFA08" w14:textId="6DAB6290" w:rsidR="00CB230B" w:rsidRDefault="00CB230B" w:rsidP="003E350E">
      <w:pPr>
        <w:pStyle w:val="ListParagraph"/>
        <w:numPr>
          <w:ilvl w:val="0"/>
          <w:numId w:val="1"/>
        </w:numPr>
        <w:jc w:val="both"/>
      </w:pPr>
      <w:r>
        <w:t>Consideration of regular assessments of the state of human rights vis-à-vis drug control that could be fed</w:t>
      </w:r>
      <w:r w:rsidR="00B51952">
        <w:t>, independent of the ARQ, to</w:t>
      </w:r>
      <w:r>
        <w:t xml:space="preserve"> the UNODC for inclusion into the World Drug Report. </w:t>
      </w:r>
    </w:p>
    <w:p w14:paraId="2068C416" w14:textId="5B19A312" w:rsidR="00CB230B" w:rsidRDefault="00CB230B" w:rsidP="003E350E">
      <w:pPr>
        <w:pStyle w:val="ListParagraph"/>
        <w:numPr>
          <w:ilvl w:val="0"/>
          <w:numId w:val="1"/>
        </w:numPr>
        <w:jc w:val="both"/>
      </w:pPr>
      <w:r>
        <w:t>Mindful of the current stasis on human rights indicators in Vienna, consideration of utilizing existing human rights monitoring mechanisms</w:t>
      </w:r>
      <w:r w:rsidR="00353971">
        <w:t xml:space="preserve"> in</w:t>
      </w:r>
      <w:r w:rsidR="00B51952">
        <w:t xml:space="preserve"> </w:t>
      </w:r>
      <w:r>
        <w:t xml:space="preserve">Geneva to monitor drug policy, for example the Universal periodic review (As mentioned in the </w:t>
      </w:r>
      <w:r w:rsidR="00305BAB">
        <w:t>Preamble</w:t>
      </w:r>
      <w:r>
        <w:t xml:space="preserve"> of HRC </w:t>
      </w:r>
      <w:r w:rsidR="00305BAB">
        <w:t>Resolution</w:t>
      </w:r>
      <w:r>
        <w:t xml:space="preserve"> 37/42)</w:t>
      </w:r>
    </w:p>
    <w:p w14:paraId="664F3FDB" w14:textId="6AB83A7D" w:rsidR="00CB230B" w:rsidRPr="00611587" w:rsidRDefault="00305BAB" w:rsidP="003E350E">
      <w:pPr>
        <w:pStyle w:val="ListParagraph"/>
        <w:numPr>
          <w:ilvl w:val="0"/>
          <w:numId w:val="1"/>
        </w:numPr>
        <w:jc w:val="both"/>
      </w:pPr>
      <w:r>
        <w:t xml:space="preserve">Work, as appropriate, with in the first instance a small number of member states to develop appropriate human rights indicators as they relate to drug policy. </w:t>
      </w:r>
    </w:p>
    <w:p w14:paraId="645E7A61" w14:textId="71CC1101" w:rsidR="00BF4A22" w:rsidRDefault="00BF4A22" w:rsidP="00695700">
      <w:pPr>
        <w:jc w:val="both"/>
      </w:pPr>
    </w:p>
    <w:p w14:paraId="3CB5360B" w14:textId="311DCB46" w:rsidR="00353971" w:rsidRDefault="00353971" w:rsidP="00695700">
      <w:pPr>
        <w:jc w:val="both"/>
      </w:pPr>
      <w:r>
        <w:t>DBT 27-06-18</w:t>
      </w:r>
    </w:p>
    <w:sectPr w:rsidR="00353971">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7FAA" w14:textId="77777777" w:rsidR="0053246D" w:rsidRDefault="0053246D" w:rsidP="00BB02FE">
      <w:pPr>
        <w:spacing w:after="0" w:line="240" w:lineRule="auto"/>
      </w:pPr>
      <w:r>
        <w:separator/>
      </w:r>
    </w:p>
  </w:endnote>
  <w:endnote w:type="continuationSeparator" w:id="0">
    <w:p w14:paraId="7417866F" w14:textId="77777777" w:rsidR="0053246D" w:rsidRDefault="0053246D" w:rsidP="00BB02FE">
      <w:pPr>
        <w:spacing w:after="0" w:line="240" w:lineRule="auto"/>
      </w:pPr>
      <w:r>
        <w:continuationSeparator/>
      </w:r>
    </w:p>
  </w:endnote>
  <w:endnote w:id="1">
    <w:p w14:paraId="2ADDD005" w14:textId="1E2460E9" w:rsidR="0015202B" w:rsidRDefault="0015202B">
      <w:pPr>
        <w:pStyle w:val="EndnoteText"/>
      </w:pPr>
      <w:r>
        <w:rPr>
          <w:rStyle w:val="EndnoteReference"/>
        </w:rPr>
        <w:endnoteRef/>
      </w:r>
      <w:r>
        <w:t xml:space="preserve"> </w:t>
      </w:r>
      <w:hyperlink r:id="rId1" w:history="1">
        <w:r w:rsidRPr="00712944">
          <w:rPr>
            <w:rStyle w:val="Hyperlink"/>
          </w:rPr>
          <w:t>https://documents-dds-ny.un.org/doc/UNDOC/GEN/G18/083/15/PDF/G1808315.pdf?OpenElement</w:t>
        </w:r>
      </w:hyperlink>
      <w:r>
        <w:t xml:space="preserve"> </w:t>
      </w:r>
    </w:p>
  </w:endnote>
  <w:endnote w:id="2">
    <w:p w14:paraId="0F128BD2" w14:textId="7C78BA0F" w:rsidR="00324FF1" w:rsidRPr="000C3A08" w:rsidRDefault="00324FF1">
      <w:pPr>
        <w:pStyle w:val="EndnoteText"/>
      </w:pPr>
      <w:r>
        <w:rPr>
          <w:rStyle w:val="EndnoteReference"/>
        </w:rPr>
        <w:endnoteRef/>
      </w:r>
      <w:r w:rsidRPr="000C3A08">
        <w:t xml:space="preserve"> J. Bridge, et al, </w:t>
      </w:r>
      <w:r w:rsidRPr="000C3A08">
        <w:rPr>
          <w:i/>
        </w:rPr>
        <w:t>Edging Forward: How</w:t>
      </w:r>
      <w:r>
        <w:rPr>
          <w:i/>
        </w:rPr>
        <w:t xml:space="preserve"> the UN’s language on drugs has advanced since 1990, </w:t>
      </w:r>
      <w:r>
        <w:t xml:space="preserve">Briefing Paper, September 2017, IDPC, TNI, GDPO, pp. 6-8 </w:t>
      </w:r>
      <w:hyperlink r:id="rId2" w:history="1">
        <w:r w:rsidRPr="00712944">
          <w:rPr>
            <w:rStyle w:val="Hyperlink"/>
          </w:rPr>
          <w:t>http://fileserver.idpc.net/library/Edging-Forward_FINAL.pdf</w:t>
        </w:r>
      </w:hyperlink>
      <w:r>
        <w:t xml:space="preserve"> </w:t>
      </w:r>
    </w:p>
  </w:endnote>
  <w:endnote w:id="3">
    <w:p w14:paraId="7D9088D2" w14:textId="6099E3A5" w:rsidR="00324FF1" w:rsidRPr="00237FA0" w:rsidRDefault="00324FF1">
      <w:pPr>
        <w:pStyle w:val="EndnoteText"/>
      </w:pPr>
      <w:r>
        <w:rPr>
          <w:rStyle w:val="EndnoteReference"/>
        </w:rPr>
        <w:endnoteRef/>
      </w:r>
      <w:r>
        <w:t xml:space="preserve"> Dave Bewley-Taylor, </w:t>
      </w:r>
      <w:r>
        <w:rPr>
          <w:i/>
        </w:rPr>
        <w:t xml:space="preserve">Towards Metrics that Measure Outcomes that Matter, </w:t>
      </w:r>
      <w:r>
        <w:t xml:space="preserve">Policy Brief 10, April 2016, GDPO </w:t>
      </w:r>
      <w:hyperlink r:id="rId3" w:history="1">
        <w:r w:rsidRPr="00712944">
          <w:rPr>
            <w:rStyle w:val="Hyperlink"/>
          </w:rPr>
          <w:t>https://www.swansea.ac.uk/media/GDPO%20Metrics%20WEB_FINAL.pdf</w:t>
        </w:r>
      </w:hyperlink>
      <w:r>
        <w:t xml:space="preserve"> </w:t>
      </w:r>
    </w:p>
  </w:endnote>
  <w:endnote w:id="4">
    <w:p w14:paraId="5DF66D5C" w14:textId="041B570D" w:rsidR="00324FF1" w:rsidRPr="007E480D" w:rsidRDefault="00324FF1">
      <w:pPr>
        <w:pStyle w:val="EndnoteText"/>
      </w:pPr>
      <w:r>
        <w:rPr>
          <w:rStyle w:val="EndnoteReference"/>
        </w:rPr>
        <w:endnoteRef/>
      </w:r>
      <w:r>
        <w:t xml:space="preserve"> David R Bewley-Taylor and Marie Nougier, ‘Measuring the ‘World Drug Problem’: 2019 and Beyond,’ in Axel Klein and Blaine Stothard (eds.), </w:t>
      </w:r>
      <w:r>
        <w:rPr>
          <w:i/>
        </w:rPr>
        <w:t xml:space="preserve">Collapse of the Global Order on Drugs: From UNGASSS 2016 to Review 2019, </w:t>
      </w:r>
      <w:r>
        <w:t>Emerald Publishing (Forthcoming), pp. 66-83</w:t>
      </w:r>
    </w:p>
  </w:endnote>
  <w:endnote w:id="5">
    <w:p w14:paraId="52E9A486" w14:textId="0D09B91F" w:rsidR="00324FF1" w:rsidRDefault="00324FF1">
      <w:pPr>
        <w:pStyle w:val="EndnoteText"/>
      </w:pPr>
      <w:r>
        <w:rPr>
          <w:rStyle w:val="EndnoteReference"/>
        </w:rPr>
        <w:endnoteRef/>
      </w:r>
      <w:r>
        <w:t xml:space="preserve"> See for example, OHCHR</w:t>
      </w:r>
      <w:r w:rsidR="00C54E39">
        <w:t xml:space="preserve">, Report on Indicators for Promoting and Monitoring the Implementation of Human Rights, 2008 </w:t>
      </w:r>
      <w:hyperlink r:id="rId4" w:history="1">
        <w:r w:rsidR="00C54E39" w:rsidRPr="00712944">
          <w:rPr>
            <w:rStyle w:val="Hyperlink"/>
          </w:rPr>
          <w:t>http://www2.ohchr.org/english/issues/indicators/docs/HRI.MC.2008.3_en.pdf</w:t>
        </w:r>
      </w:hyperlink>
      <w:r w:rsidR="00C54E39">
        <w:t xml:space="preserve"> and Human Rights Indicators: A Guide to Measurement and Implementation </w:t>
      </w:r>
      <w:hyperlink r:id="rId5" w:history="1">
        <w:r w:rsidR="00C54E39" w:rsidRPr="00712944">
          <w:rPr>
            <w:rStyle w:val="Hyperlink"/>
          </w:rPr>
          <w:t>https://ohchr.org/Documents/Publications/Human_rights_indicators_en.pdf</w:t>
        </w:r>
      </w:hyperlink>
      <w:r w:rsidR="00C54E39">
        <w:t xml:space="preserve"> </w:t>
      </w:r>
    </w:p>
  </w:endnote>
  <w:endnote w:id="6">
    <w:p w14:paraId="1E7D3673" w14:textId="4606388B" w:rsidR="00433B85" w:rsidRPr="00433B85" w:rsidRDefault="00433B85">
      <w:pPr>
        <w:pStyle w:val="EndnoteText"/>
      </w:pPr>
      <w:r>
        <w:rPr>
          <w:rStyle w:val="EndnoteReference"/>
        </w:rPr>
        <w:endnoteRef/>
      </w:r>
      <w:r>
        <w:t xml:space="preserve"> See for example, Damon Barrett, </w:t>
      </w:r>
      <w:r>
        <w:rPr>
          <w:i/>
        </w:rPr>
        <w:t xml:space="preserve">Drug Policy and Human Rights in Europe: Managing Tensions, Maximizing Complementarities, </w:t>
      </w:r>
      <w:r>
        <w:t>Co-operation Group to Combat Drug Abuse and Trafficking in Drugs, Council of Europe, January 2018, pp. 13-15</w:t>
      </w:r>
    </w:p>
  </w:endnote>
  <w:endnote w:id="7">
    <w:p w14:paraId="5239D640" w14:textId="6E31E68F" w:rsidR="00324FF1" w:rsidRPr="00D329BC" w:rsidRDefault="00324FF1">
      <w:pPr>
        <w:pStyle w:val="EndnoteText"/>
      </w:pPr>
      <w:r>
        <w:rPr>
          <w:rStyle w:val="EndnoteReference"/>
        </w:rPr>
        <w:endnoteRef/>
      </w:r>
      <w:r>
        <w:t xml:space="preserve"> International Expert Group on Drug Policy Metrics, </w:t>
      </w:r>
      <w:r>
        <w:rPr>
          <w:i/>
        </w:rPr>
        <w:t xml:space="preserve">Aligning Agendas: Drugs, Sustainable Development and the Drive for Policy Coherence, </w:t>
      </w:r>
      <w:r>
        <w:t xml:space="preserve">SSRC-IPI, February 2018, </w:t>
      </w:r>
      <w:hyperlink r:id="rId6" w:history="1">
        <w:r w:rsidRPr="00712944">
          <w:rPr>
            <w:rStyle w:val="Hyperlink"/>
          </w:rPr>
          <w:t>https://www.ipinst.org/wp-content/uploads/2018/02/1802_Aligning-Agendas.pdf</w:t>
        </w:r>
      </w:hyperlink>
      <w:r>
        <w:t xml:space="preserve"> </w:t>
      </w:r>
      <w:r w:rsidR="00433B85">
        <w:t xml:space="preserve">and David R. Bewley-Taylor, ‘Refocusing Metrics: can the sustainable development goals help break the “metrics trap”  and modernise international drug control policy?’, </w:t>
      </w:r>
      <w:r w:rsidR="00433B85" w:rsidRPr="006C187F">
        <w:rPr>
          <w:i/>
        </w:rPr>
        <w:t>Drugs and Alcohol Today</w:t>
      </w:r>
      <w:r w:rsidR="00433B85">
        <w:t xml:space="preserve">, Volume 17, Number 2, 2017, pp. </w:t>
      </w:r>
      <w:r w:rsidR="006C187F">
        <w:t xml:space="preserve">98-112. </w:t>
      </w:r>
    </w:p>
  </w:endnote>
  <w:endnote w:id="8">
    <w:p w14:paraId="302FD49A" w14:textId="453FF81A" w:rsidR="007520E9" w:rsidRDefault="007520E9">
      <w:pPr>
        <w:pStyle w:val="EndnoteText"/>
      </w:pPr>
      <w:r>
        <w:rPr>
          <w:rStyle w:val="EndnoteReference"/>
        </w:rPr>
        <w:endnoteRef/>
      </w:r>
      <w:r>
        <w:t xml:space="preserve"> </w:t>
      </w:r>
      <w:r w:rsidR="00B51952">
        <w:t xml:space="preserve">For example see </w:t>
      </w:r>
      <w:r w:rsidR="00305BAB">
        <w:t xml:space="preserve">IDPC, The 2018 Commission on Narcotic Drugs.  Report of </w:t>
      </w:r>
      <w:r>
        <w:t>Proceedings</w:t>
      </w:r>
      <w:r w:rsidR="00305BAB">
        <w:t xml:space="preserve">.  June 2018, pp. 6-7 </w:t>
      </w:r>
      <w:r>
        <w:t xml:space="preserve"> </w:t>
      </w:r>
      <w:hyperlink r:id="rId7" w:history="1">
        <w:r w:rsidR="00305BAB" w:rsidRPr="00712944">
          <w:rPr>
            <w:rStyle w:val="Hyperlink"/>
          </w:rPr>
          <w:t>http://fileserver.idpc.net/library/CND-Proceedings-Report-2018_18.06.pdf</w:t>
        </w:r>
      </w:hyperlink>
      <w:r w:rsidR="00305B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767583"/>
      <w:docPartObj>
        <w:docPartGallery w:val="Page Numbers (Bottom of Page)"/>
        <w:docPartUnique/>
      </w:docPartObj>
    </w:sdtPr>
    <w:sdtEndPr>
      <w:rPr>
        <w:color w:val="7F7F7F" w:themeColor="background1" w:themeShade="7F"/>
        <w:spacing w:val="60"/>
      </w:rPr>
    </w:sdtEndPr>
    <w:sdtContent>
      <w:p w14:paraId="6E8E8FE6" w14:textId="1FFFA7F9" w:rsidR="00324FF1" w:rsidRDefault="00324F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4492">
          <w:rPr>
            <w:noProof/>
          </w:rPr>
          <w:t>2</w:t>
        </w:r>
        <w:r>
          <w:rPr>
            <w:noProof/>
          </w:rPr>
          <w:fldChar w:fldCharType="end"/>
        </w:r>
        <w:r>
          <w:t xml:space="preserve"> | </w:t>
        </w:r>
        <w:r>
          <w:rPr>
            <w:color w:val="7F7F7F" w:themeColor="background1" w:themeShade="7F"/>
            <w:spacing w:val="60"/>
          </w:rPr>
          <w:t>Page</w:t>
        </w:r>
      </w:p>
    </w:sdtContent>
  </w:sdt>
  <w:p w14:paraId="423D625E" w14:textId="77777777" w:rsidR="00324FF1" w:rsidRDefault="00324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2279" w14:textId="77777777" w:rsidR="0053246D" w:rsidRDefault="0053246D" w:rsidP="00BB02FE">
      <w:pPr>
        <w:spacing w:after="0" w:line="240" w:lineRule="auto"/>
      </w:pPr>
      <w:r>
        <w:separator/>
      </w:r>
    </w:p>
  </w:footnote>
  <w:footnote w:type="continuationSeparator" w:id="0">
    <w:p w14:paraId="78077356" w14:textId="77777777" w:rsidR="0053246D" w:rsidRDefault="0053246D" w:rsidP="00BB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467B"/>
    <w:multiLevelType w:val="hybridMultilevel"/>
    <w:tmpl w:val="2D2E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31"/>
    <w:rsid w:val="0004016E"/>
    <w:rsid w:val="00096CE3"/>
    <w:rsid w:val="000C3A08"/>
    <w:rsid w:val="0015202B"/>
    <w:rsid w:val="001B7995"/>
    <w:rsid w:val="001F590C"/>
    <w:rsid w:val="00237FA0"/>
    <w:rsid w:val="00243089"/>
    <w:rsid w:val="002C35ED"/>
    <w:rsid w:val="002E2CD3"/>
    <w:rsid w:val="002F6248"/>
    <w:rsid w:val="00305BAB"/>
    <w:rsid w:val="00324FF1"/>
    <w:rsid w:val="00353971"/>
    <w:rsid w:val="00364F25"/>
    <w:rsid w:val="003E0E4C"/>
    <w:rsid w:val="003E350E"/>
    <w:rsid w:val="00417402"/>
    <w:rsid w:val="00433B85"/>
    <w:rsid w:val="004D0518"/>
    <w:rsid w:val="004D3580"/>
    <w:rsid w:val="00500D04"/>
    <w:rsid w:val="0053246D"/>
    <w:rsid w:val="005856CE"/>
    <w:rsid w:val="00590AB0"/>
    <w:rsid w:val="00593963"/>
    <w:rsid w:val="005C192E"/>
    <w:rsid w:val="005E09D4"/>
    <w:rsid w:val="005F75A7"/>
    <w:rsid w:val="00611587"/>
    <w:rsid w:val="00693DC1"/>
    <w:rsid w:val="00695700"/>
    <w:rsid w:val="006C187F"/>
    <w:rsid w:val="006C615B"/>
    <w:rsid w:val="006E2A38"/>
    <w:rsid w:val="00723025"/>
    <w:rsid w:val="007520E9"/>
    <w:rsid w:val="00783C97"/>
    <w:rsid w:val="007B4357"/>
    <w:rsid w:val="007C319F"/>
    <w:rsid w:val="007E480D"/>
    <w:rsid w:val="008469FE"/>
    <w:rsid w:val="008503FD"/>
    <w:rsid w:val="00881379"/>
    <w:rsid w:val="008A264A"/>
    <w:rsid w:val="008E4D62"/>
    <w:rsid w:val="008E4DCC"/>
    <w:rsid w:val="008F60AD"/>
    <w:rsid w:val="009114EF"/>
    <w:rsid w:val="0094683A"/>
    <w:rsid w:val="00961113"/>
    <w:rsid w:val="0096582C"/>
    <w:rsid w:val="009807AF"/>
    <w:rsid w:val="009A0375"/>
    <w:rsid w:val="00A12531"/>
    <w:rsid w:val="00AB53F9"/>
    <w:rsid w:val="00B51952"/>
    <w:rsid w:val="00B564E8"/>
    <w:rsid w:val="00B571AC"/>
    <w:rsid w:val="00B7078C"/>
    <w:rsid w:val="00B83B4B"/>
    <w:rsid w:val="00B873B0"/>
    <w:rsid w:val="00BA5943"/>
    <w:rsid w:val="00BB02FE"/>
    <w:rsid w:val="00BB4D88"/>
    <w:rsid w:val="00BD7AE1"/>
    <w:rsid w:val="00BF4A22"/>
    <w:rsid w:val="00C11AFC"/>
    <w:rsid w:val="00C54E39"/>
    <w:rsid w:val="00C7562E"/>
    <w:rsid w:val="00CA3EF6"/>
    <w:rsid w:val="00CB230B"/>
    <w:rsid w:val="00CC4D47"/>
    <w:rsid w:val="00CE1221"/>
    <w:rsid w:val="00D30629"/>
    <w:rsid w:val="00D329BC"/>
    <w:rsid w:val="00D75951"/>
    <w:rsid w:val="00DD4492"/>
    <w:rsid w:val="00E96D6A"/>
    <w:rsid w:val="00FA1408"/>
    <w:rsid w:val="00FA3809"/>
    <w:rsid w:val="00FB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E670"/>
  <w15:chartTrackingRefBased/>
  <w15:docId w15:val="{32AB5476-0713-4C7B-BF77-5E6BBE7B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2FE"/>
  </w:style>
  <w:style w:type="paragraph" w:styleId="Footer">
    <w:name w:val="footer"/>
    <w:basedOn w:val="Normal"/>
    <w:link w:val="FooterChar"/>
    <w:uiPriority w:val="99"/>
    <w:unhideWhenUsed/>
    <w:rsid w:val="00BB0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2FE"/>
  </w:style>
  <w:style w:type="paragraph" w:styleId="EndnoteText">
    <w:name w:val="endnote text"/>
    <w:basedOn w:val="Normal"/>
    <w:link w:val="EndnoteTextChar"/>
    <w:uiPriority w:val="99"/>
    <w:semiHidden/>
    <w:unhideWhenUsed/>
    <w:rsid w:val="000C3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A08"/>
    <w:rPr>
      <w:sz w:val="20"/>
      <w:szCs w:val="20"/>
    </w:rPr>
  </w:style>
  <w:style w:type="character" w:styleId="EndnoteReference">
    <w:name w:val="endnote reference"/>
    <w:basedOn w:val="DefaultParagraphFont"/>
    <w:uiPriority w:val="99"/>
    <w:semiHidden/>
    <w:unhideWhenUsed/>
    <w:rsid w:val="000C3A08"/>
    <w:rPr>
      <w:vertAlign w:val="superscript"/>
    </w:rPr>
  </w:style>
  <w:style w:type="character" w:styleId="Hyperlink">
    <w:name w:val="Hyperlink"/>
    <w:basedOn w:val="DefaultParagraphFont"/>
    <w:uiPriority w:val="99"/>
    <w:unhideWhenUsed/>
    <w:rsid w:val="000C3A08"/>
    <w:rPr>
      <w:color w:val="0563C1" w:themeColor="hyperlink"/>
      <w:u w:val="single"/>
    </w:rPr>
  </w:style>
  <w:style w:type="character" w:customStyle="1" w:styleId="UnresolvedMention">
    <w:name w:val="Unresolved Mention"/>
    <w:basedOn w:val="DefaultParagraphFont"/>
    <w:uiPriority w:val="99"/>
    <w:semiHidden/>
    <w:unhideWhenUsed/>
    <w:rsid w:val="000C3A08"/>
    <w:rPr>
      <w:color w:val="605E5C"/>
      <w:shd w:val="clear" w:color="auto" w:fill="E1DFDD"/>
    </w:rPr>
  </w:style>
  <w:style w:type="paragraph" w:styleId="ListParagraph">
    <w:name w:val="List Paragraph"/>
    <w:basedOn w:val="Normal"/>
    <w:uiPriority w:val="34"/>
    <w:qFormat/>
    <w:rsid w:val="003E350E"/>
    <w:pPr>
      <w:ind w:left="720"/>
      <w:contextualSpacing/>
    </w:pPr>
  </w:style>
  <w:style w:type="paragraph" w:styleId="BalloonText">
    <w:name w:val="Balloon Text"/>
    <w:basedOn w:val="Normal"/>
    <w:link w:val="BalloonTextChar"/>
    <w:uiPriority w:val="99"/>
    <w:semiHidden/>
    <w:unhideWhenUsed/>
    <w:rsid w:val="00590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ac.uk/gdpo/"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www.swansea.ac.uk/media/GDPO%20Metrics%20WEB_FINAL.pdf" TargetMode="External"/><Relationship Id="rId7" Type="http://schemas.openxmlformats.org/officeDocument/2006/relationships/hyperlink" Target="http://fileserver.idpc.net/library/CND-Proceedings-Report-2018_18.06.pdf" TargetMode="External"/><Relationship Id="rId2" Type="http://schemas.openxmlformats.org/officeDocument/2006/relationships/hyperlink" Target="http://fileserver.idpc.net/library/Edging-Forward_FINAL.pdf" TargetMode="External"/><Relationship Id="rId1" Type="http://schemas.openxmlformats.org/officeDocument/2006/relationships/hyperlink" Target="https://documents-dds-ny.un.org/doc/UNDOC/GEN/G18/083/15/PDF/G1808315.pdf?OpenElement" TargetMode="External"/><Relationship Id="rId6" Type="http://schemas.openxmlformats.org/officeDocument/2006/relationships/hyperlink" Target="https://www.ipinst.org/wp-content/uploads/2018/02/1802_Aligning-Agendas.pdf" TargetMode="External"/><Relationship Id="rId5" Type="http://schemas.openxmlformats.org/officeDocument/2006/relationships/hyperlink" Target="https://ohchr.org/Documents/Publications/Human_rights_indicators_en.pdf" TargetMode="External"/><Relationship Id="rId4" Type="http://schemas.openxmlformats.org/officeDocument/2006/relationships/hyperlink" Target="http://www2.ohchr.org/english/issues/indicators/docs/HRI.MC.2008.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A4A38A-F274-4610-A970-D500B76CE8BC}">
  <ds:schemaRefs>
    <ds:schemaRef ds:uri="http://schemas.openxmlformats.org/officeDocument/2006/bibliography"/>
  </ds:schemaRefs>
</ds:datastoreItem>
</file>

<file path=customXml/itemProps2.xml><?xml version="1.0" encoding="utf-8"?>
<ds:datastoreItem xmlns:ds="http://schemas.openxmlformats.org/officeDocument/2006/customXml" ds:itemID="{65E58B82-0E39-43F6-A3AC-8344BB43F190}"/>
</file>

<file path=customXml/itemProps3.xml><?xml version="1.0" encoding="utf-8"?>
<ds:datastoreItem xmlns:ds="http://schemas.openxmlformats.org/officeDocument/2006/customXml" ds:itemID="{19BA3CD3-B13F-4CD2-B343-8CA914383AC8}"/>
</file>

<file path=customXml/itemProps4.xml><?xml version="1.0" encoding="utf-8"?>
<ds:datastoreItem xmlns:ds="http://schemas.openxmlformats.org/officeDocument/2006/customXml" ds:itemID="{D9AD7AA1-DE5B-4192-91A1-D9E763E84456}"/>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Bewley-Taylor</dc:creator>
  <cp:keywords/>
  <dc:description/>
  <cp:lastModifiedBy>OHCHR</cp:lastModifiedBy>
  <cp:revision>2</cp:revision>
  <cp:lastPrinted>2018-06-27T14:34:00Z</cp:lastPrinted>
  <dcterms:created xsi:type="dcterms:W3CDTF">2018-08-22T13:30:00Z</dcterms:created>
  <dcterms:modified xsi:type="dcterms:W3CDTF">2018-08-22T13:30:00Z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