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Calibri"/>
          <w:sz w:val="20"/>
          <w:szCs w:val="20"/>
        </w:rPr>
        <w:id w:val="-1660763854"/>
        <w:docPartObj>
          <w:docPartGallery w:val="Cover Pages"/>
          <w:docPartUnique/>
        </w:docPartObj>
      </w:sdtPr>
      <w:sdtEndPr/>
      <w:sdtContent>
        <w:p w14:paraId="31951FF2" w14:textId="57CD1BD1" w:rsidR="009E2E2A" w:rsidRPr="002B416D" w:rsidRDefault="009E2E2A" w:rsidP="00E27CE7">
          <w:pPr>
            <w:spacing w:after="120" w:line="276" w:lineRule="auto"/>
            <w:contextualSpacing/>
            <w:jc w:val="center"/>
            <w:rPr>
              <w:rFonts w:ascii="Calibri" w:hAnsi="Calibri" w:cs="Calibri"/>
              <w:sz w:val="20"/>
              <w:szCs w:val="20"/>
            </w:rPr>
          </w:pPr>
          <w:r w:rsidRPr="002B416D">
            <w:rPr>
              <w:rFonts w:ascii="Calibri" w:hAnsi="Calibri" w:cs="Calibri"/>
              <w:noProof/>
              <w:color w:val="7F7F7F"/>
              <w:spacing w:val="-1"/>
              <w:sz w:val="20"/>
              <w:szCs w:val="20"/>
              <w:lang w:eastAsia="en-GB"/>
            </w:rPr>
            <w:drawing>
              <wp:inline distT="0" distB="0" distL="0" distR="0" wp14:anchorId="72B116EF" wp14:editId="1FDA3C99">
                <wp:extent cx="3177231" cy="768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904" cy="768755"/>
                        </a:xfrm>
                        <a:prstGeom prst="rect">
                          <a:avLst/>
                        </a:prstGeom>
                        <a:noFill/>
                        <a:ln>
                          <a:noFill/>
                        </a:ln>
                      </pic:spPr>
                    </pic:pic>
                  </a:graphicData>
                </a:graphic>
              </wp:inline>
            </w:drawing>
          </w:r>
        </w:p>
        <w:p w14:paraId="6C7B86F7" w14:textId="77777777" w:rsidR="009E2E2A" w:rsidRPr="002B416D" w:rsidRDefault="009E2E2A" w:rsidP="00E27CE7">
          <w:pPr>
            <w:spacing w:after="120" w:line="276" w:lineRule="auto"/>
            <w:contextualSpacing/>
            <w:jc w:val="center"/>
            <w:rPr>
              <w:rFonts w:ascii="Calibri" w:hAnsi="Calibri" w:cs="Calibri"/>
              <w:sz w:val="20"/>
              <w:szCs w:val="20"/>
            </w:rPr>
          </w:pPr>
        </w:p>
        <w:p w14:paraId="393065DF" w14:textId="77777777" w:rsidR="009E2E2A" w:rsidRPr="002B416D" w:rsidRDefault="009E2E2A" w:rsidP="00E27CE7">
          <w:pPr>
            <w:spacing w:after="120" w:line="276" w:lineRule="auto"/>
            <w:contextualSpacing/>
            <w:jc w:val="center"/>
            <w:rPr>
              <w:rFonts w:ascii="Calibri" w:hAnsi="Calibri" w:cs="Calibri"/>
              <w:sz w:val="20"/>
              <w:szCs w:val="20"/>
            </w:rPr>
          </w:pPr>
        </w:p>
        <w:p w14:paraId="5D3CF165" w14:textId="77777777" w:rsidR="009E2E2A" w:rsidRPr="002B416D" w:rsidRDefault="009E2E2A" w:rsidP="00E27CE7">
          <w:pPr>
            <w:spacing w:after="120" w:line="276" w:lineRule="auto"/>
            <w:contextualSpacing/>
            <w:jc w:val="center"/>
            <w:rPr>
              <w:rFonts w:ascii="Calibri" w:hAnsi="Calibri" w:cs="Calibri"/>
              <w:sz w:val="24"/>
              <w:szCs w:val="20"/>
            </w:rPr>
          </w:pPr>
          <w:r w:rsidRPr="002B416D">
            <w:rPr>
              <w:rFonts w:ascii="Calibri" w:hAnsi="Calibri" w:cs="Calibri"/>
              <w:b/>
              <w:sz w:val="24"/>
              <w:szCs w:val="20"/>
              <w:u w:val="single"/>
            </w:rPr>
            <w:t>Report to the Office of the High Commissioner for Human Rights</w:t>
          </w:r>
          <w:r w:rsidRPr="002B416D">
            <w:rPr>
              <w:rFonts w:ascii="Calibri" w:hAnsi="Calibri" w:cs="Calibri"/>
              <w:sz w:val="24"/>
              <w:szCs w:val="20"/>
            </w:rPr>
            <w:t xml:space="preserve"> </w:t>
          </w:r>
        </w:p>
        <w:p w14:paraId="102B92EB" w14:textId="1A1DC4A0" w:rsidR="004208FD" w:rsidRPr="002B416D" w:rsidRDefault="009E2E2A" w:rsidP="00E27CE7">
          <w:pPr>
            <w:spacing w:after="120" w:line="276" w:lineRule="auto"/>
            <w:contextualSpacing/>
            <w:jc w:val="center"/>
            <w:rPr>
              <w:rFonts w:ascii="Calibri" w:hAnsi="Calibri" w:cs="Calibri"/>
              <w:sz w:val="24"/>
              <w:szCs w:val="20"/>
            </w:rPr>
          </w:pPr>
          <w:r w:rsidRPr="002B416D">
            <w:rPr>
              <w:rFonts w:ascii="Calibri" w:hAnsi="Calibri" w:cs="Calibri"/>
              <w:sz w:val="24"/>
              <w:szCs w:val="20"/>
            </w:rPr>
            <w:t>Implementation of the UNGASS joint commitment to effectively addressing and countering the world drug problem with regard to human rights</w:t>
          </w:r>
        </w:p>
        <w:p w14:paraId="51D44216" w14:textId="77777777" w:rsidR="002B416D" w:rsidRDefault="002B416D" w:rsidP="00E27CE7">
          <w:pPr>
            <w:pStyle w:val="BodyText1"/>
            <w:spacing w:line="276" w:lineRule="auto"/>
            <w:contextualSpacing/>
            <w:jc w:val="center"/>
            <w:rPr>
              <w:rFonts w:ascii="Calibri" w:hAnsi="Calibri" w:cs="Calibri"/>
            </w:rPr>
          </w:pPr>
        </w:p>
        <w:p w14:paraId="61964E6B" w14:textId="47D37B6C" w:rsidR="004208FD" w:rsidRPr="002B416D" w:rsidRDefault="00E27CE7" w:rsidP="00E27CE7">
          <w:pPr>
            <w:pStyle w:val="BodyText1"/>
            <w:spacing w:line="276" w:lineRule="auto"/>
            <w:contextualSpacing/>
            <w:jc w:val="center"/>
            <w:rPr>
              <w:rFonts w:ascii="Calibri" w:hAnsi="Calibri" w:cs="Calibri"/>
              <w:color w:val="767171" w:themeColor="background2" w:themeShade="80"/>
            </w:rPr>
          </w:pPr>
          <w:r>
            <w:rPr>
              <w:rFonts w:ascii="Calibri" w:hAnsi="Calibri" w:cs="Calibri"/>
              <w:color w:val="767171" w:themeColor="background2" w:themeShade="80"/>
            </w:rPr>
            <w:t>18 May</w:t>
          </w:r>
          <w:r w:rsidR="009E2E2A" w:rsidRPr="002B416D">
            <w:rPr>
              <w:rFonts w:ascii="Calibri" w:hAnsi="Calibri" w:cs="Calibri"/>
              <w:color w:val="767171" w:themeColor="background2" w:themeShade="80"/>
            </w:rPr>
            <w:t xml:space="preserve"> 2018</w:t>
          </w:r>
        </w:p>
        <w:p w14:paraId="09D94C9E" w14:textId="77777777" w:rsidR="004208FD" w:rsidRPr="002B416D" w:rsidRDefault="004208FD" w:rsidP="00E27CE7">
          <w:pPr>
            <w:pStyle w:val="BodyText1"/>
            <w:spacing w:line="276" w:lineRule="auto"/>
            <w:contextualSpacing/>
            <w:jc w:val="center"/>
            <w:rPr>
              <w:rFonts w:ascii="Calibri" w:hAnsi="Calibri" w:cs="Calibri"/>
              <w:sz w:val="20"/>
            </w:rPr>
          </w:pPr>
        </w:p>
        <w:p w14:paraId="390ABE4F" w14:textId="171802C2" w:rsidR="004208FD" w:rsidRDefault="004208FD" w:rsidP="00E27CE7">
          <w:pPr>
            <w:pStyle w:val="BodyText1"/>
            <w:spacing w:line="276" w:lineRule="auto"/>
            <w:contextualSpacing/>
            <w:jc w:val="center"/>
            <w:rPr>
              <w:rFonts w:ascii="Calibri" w:hAnsi="Calibri" w:cs="Calibri"/>
              <w:sz w:val="20"/>
            </w:rPr>
          </w:pPr>
        </w:p>
        <w:p w14:paraId="0F2E8B58" w14:textId="073CF363" w:rsidR="00AD79AE" w:rsidRDefault="00AD79AE" w:rsidP="00E27CE7">
          <w:pPr>
            <w:pStyle w:val="BodyText1"/>
            <w:spacing w:line="276" w:lineRule="auto"/>
            <w:contextualSpacing/>
            <w:jc w:val="center"/>
            <w:rPr>
              <w:rFonts w:ascii="Calibri" w:hAnsi="Calibri" w:cs="Calibri"/>
              <w:sz w:val="20"/>
            </w:rPr>
          </w:pPr>
        </w:p>
        <w:p w14:paraId="4851D2FD" w14:textId="77777777" w:rsidR="00AD79AE" w:rsidRPr="002B416D" w:rsidRDefault="00AD79AE" w:rsidP="00E27CE7">
          <w:pPr>
            <w:pStyle w:val="BodyText1"/>
            <w:spacing w:line="276" w:lineRule="auto"/>
            <w:contextualSpacing/>
            <w:jc w:val="center"/>
            <w:rPr>
              <w:rFonts w:ascii="Calibri" w:hAnsi="Calibri" w:cs="Calibri"/>
              <w:sz w:val="20"/>
            </w:rPr>
          </w:pPr>
        </w:p>
        <w:p w14:paraId="630D07FD" w14:textId="48C507DC" w:rsidR="004208FD" w:rsidRPr="002B416D" w:rsidRDefault="006A2E47" w:rsidP="00E27CE7">
          <w:pPr>
            <w:spacing w:after="120" w:line="276" w:lineRule="auto"/>
            <w:contextualSpacing/>
            <w:rPr>
              <w:rFonts w:ascii="Calibri" w:hAnsi="Calibri" w:cs="Calibri"/>
              <w:sz w:val="20"/>
              <w:szCs w:val="20"/>
            </w:rPr>
          </w:pPr>
        </w:p>
      </w:sdtContent>
    </w:sdt>
    <w:p w14:paraId="7B74E845" w14:textId="5A659949" w:rsidR="00EA4942" w:rsidRDefault="00EA4942" w:rsidP="00E27CE7">
      <w:pPr>
        <w:spacing w:after="120" w:line="276" w:lineRule="auto"/>
        <w:contextualSpacing/>
        <w:jc w:val="both"/>
        <w:rPr>
          <w:rFonts w:ascii="Calibri" w:hAnsi="Calibri" w:cs="Calibri"/>
          <w:sz w:val="20"/>
          <w:szCs w:val="20"/>
        </w:rPr>
      </w:pPr>
      <w:r w:rsidRPr="002B416D">
        <w:rPr>
          <w:rFonts w:ascii="Calibri" w:hAnsi="Calibri" w:cs="Calibri"/>
          <w:sz w:val="20"/>
          <w:szCs w:val="20"/>
        </w:rPr>
        <w:t>H</w:t>
      </w:r>
      <w:r w:rsidR="009A2F9B" w:rsidRPr="002B416D">
        <w:rPr>
          <w:rFonts w:ascii="Calibri" w:hAnsi="Calibri" w:cs="Calibri"/>
          <w:sz w:val="20"/>
          <w:szCs w:val="20"/>
        </w:rPr>
        <w:t xml:space="preserve">arm </w:t>
      </w:r>
      <w:r w:rsidRPr="002B416D">
        <w:rPr>
          <w:rFonts w:ascii="Calibri" w:hAnsi="Calibri" w:cs="Calibri"/>
          <w:sz w:val="20"/>
          <w:szCs w:val="20"/>
        </w:rPr>
        <w:t>R</w:t>
      </w:r>
      <w:r w:rsidR="009A2F9B" w:rsidRPr="002B416D">
        <w:rPr>
          <w:rFonts w:ascii="Calibri" w:hAnsi="Calibri" w:cs="Calibri"/>
          <w:sz w:val="20"/>
          <w:szCs w:val="20"/>
        </w:rPr>
        <w:t xml:space="preserve">eduction </w:t>
      </w:r>
      <w:r w:rsidRPr="002B416D">
        <w:rPr>
          <w:rFonts w:ascii="Calibri" w:hAnsi="Calibri" w:cs="Calibri"/>
          <w:sz w:val="20"/>
          <w:szCs w:val="20"/>
        </w:rPr>
        <w:t>I</w:t>
      </w:r>
      <w:r w:rsidR="009A2F9B" w:rsidRPr="002B416D">
        <w:rPr>
          <w:rFonts w:ascii="Calibri" w:hAnsi="Calibri" w:cs="Calibri"/>
          <w:sz w:val="20"/>
          <w:szCs w:val="20"/>
        </w:rPr>
        <w:t>nternational</w:t>
      </w:r>
      <w:r w:rsidRPr="002B416D">
        <w:rPr>
          <w:rFonts w:ascii="Calibri" w:hAnsi="Calibri" w:cs="Calibri"/>
          <w:sz w:val="20"/>
          <w:szCs w:val="20"/>
        </w:rPr>
        <w:t xml:space="preserve"> welcomes the opportunity</w:t>
      </w:r>
      <w:r w:rsidR="000D62CF" w:rsidRPr="002B416D">
        <w:rPr>
          <w:rFonts w:ascii="Calibri" w:hAnsi="Calibri" w:cs="Calibri"/>
          <w:sz w:val="20"/>
          <w:szCs w:val="20"/>
        </w:rPr>
        <w:t xml:space="preserve"> to</w:t>
      </w:r>
      <w:r w:rsidR="009A2F9B" w:rsidRPr="002B416D">
        <w:rPr>
          <w:rFonts w:ascii="Calibri" w:hAnsi="Calibri" w:cs="Calibri"/>
          <w:sz w:val="20"/>
          <w:szCs w:val="20"/>
        </w:rPr>
        <w:t xml:space="preserve"> consult</w:t>
      </w:r>
      <w:r w:rsidR="000D62CF" w:rsidRPr="002B416D">
        <w:rPr>
          <w:rFonts w:ascii="Calibri" w:hAnsi="Calibri" w:cs="Calibri"/>
          <w:sz w:val="20"/>
          <w:szCs w:val="20"/>
        </w:rPr>
        <w:t xml:space="preserve"> on the implementation of the joint commitment to effectively addressing and countering the world drug problem with regard to human rights</w:t>
      </w:r>
      <w:r w:rsidR="005220EB">
        <w:rPr>
          <w:rFonts w:ascii="Calibri" w:hAnsi="Calibri" w:cs="Calibri"/>
          <w:sz w:val="20"/>
          <w:szCs w:val="20"/>
        </w:rPr>
        <w:t xml:space="preserve">, and to </w:t>
      </w:r>
      <w:r w:rsidR="005220EB" w:rsidRPr="002B416D">
        <w:rPr>
          <w:rFonts w:ascii="Calibri" w:hAnsi="Calibri" w:cs="Calibri"/>
          <w:sz w:val="20"/>
          <w:szCs w:val="20"/>
        </w:rPr>
        <w:t xml:space="preserve">contribute to the report of the Office of the High Commissioner </w:t>
      </w:r>
      <w:r w:rsidR="005220EB">
        <w:rPr>
          <w:rFonts w:ascii="Calibri" w:hAnsi="Calibri" w:cs="Calibri"/>
          <w:sz w:val="20"/>
          <w:szCs w:val="20"/>
        </w:rPr>
        <w:t>for</w:t>
      </w:r>
      <w:r w:rsidR="005220EB" w:rsidRPr="002B416D">
        <w:rPr>
          <w:rFonts w:ascii="Calibri" w:hAnsi="Calibri" w:cs="Calibri"/>
          <w:sz w:val="20"/>
          <w:szCs w:val="20"/>
        </w:rPr>
        <w:t xml:space="preserve"> Human Rights</w:t>
      </w:r>
      <w:r w:rsidR="009A2F9B" w:rsidRPr="002B416D">
        <w:rPr>
          <w:rFonts w:ascii="Calibri" w:hAnsi="Calibri" w:cs="Calibri"/>
          <w:sz w:val="20"/>
          <w:szCs w:val="20"/>
        </w:rPr>
        <w:t xml:space="preserve"> </w:t>
      </w:r>
    </w:p>
    <w:p w14:paraId="4DE65114" w14:textId="77777777" w:rsidR="002B416D" w:rsidRPr="002B416D" w:rsidRDefault="002B416D" w:rsidP="00E27CE7">
      <w:pPr>
        <w:spacing w:after="120" w:line="276" w:lineRule="auto"/>
        <w:contextualSpacing/>
        <w:jc w:val="both"/>
        <w:rPr>
          <w:rFonts w:ascii="Calibri" w:hAnsi="Calibri" w:cs="Calibri"/>
          <w:sz w:val="20"/>
          <w:szCs w:val="20"/>
        </w:rPr>
      </w:pPr>
    </w:p>
    <w:p w14:paraId="4EFF89C4" w14:textId="4003F6C6" w:rsidR="002C1091" w:rsidRDefault="002C1091" w:rsidP="00E27CE7">
      <w:pPr>
        <w:spacing w:after="120" w:line="276" w:lineRule="auto"/>
        <w:contextualSpacing/>
        <w:jc w:val="both"/>
        <w:rPr>
          <w:rFonts w:ascii="Calibri" w:hAnsi="Calibri" w:cs="Calibri"/>
          <w:sz w:val="20"/>
          <w:szCs w:val="20"/>
          <w:shd w:val="clear" w:color="auto" w:fill="FFFFFF"/>
        </w:rPr>
      </w:pPr>
      <w:r w:rsidRPr="002B416D">
        <w:rPr>
          <w:rFonts w:ascii="Calibri" w:hAnsi="Calibri" w:cs="Calibri"/>
          <w:sz w:val="20"/>
          <w:szCs w:val="20"/>
        </w:rPr>
        <w:t>Harm Reduction International is a leading non-governmental organisation working to reduce the negative health, social and human rights impacts of drug use and drug policy by promoting evidence-based public health policies and practices, and human rights b</w:t>
      </w:r>
      <w:r w:rsidR="002B416D">
        <w:rPr>
          <w:rFonts w:ascii="Calibri" w:hAnsi="Calibri" w:cs="Calibri"/>
          <w:sz w:val="20"/>
          <w:szCs w:val="20"/>
        </w:rPr>
        <w:t>ased approaches to drug policy</w:t>
      </w:r>
      <w:r w:rsidR="002B416D" w:rsidRPr="00E27CE7">
        <w:rPr>
          <w:rFonts w:ascii="Calibri" w:hAnsi="Calibri" w:cs="Calibri"/>
          <w:sz w:val="20"/>
          <w:szCs w:val="20"/>
        </w:rPr>
        <w:t>.</w:t>
      </w:r>
      <w:r w:rsidRPr="00E27CE7">
        <w:rPr>
          <w:rFonts w:ascii="Calibri" w:hAnsi="Calibri" w:cs="Calibri"/>
          <w:sz w:val="20"/>
          <w:szCs w:val="20"/>
        </w:rPr>
        <w:t xml:space="preserve"> </w:t>
      </w:r>
      <w:r w:rsidR="00E27CE7">
        <w:rPr>
          <w:rFonts w:ascii="Calibri" w:hAnsi="Calibri" w:cs="Calibri"/>
          <w:sz w:val="20"/>
          <w:szCs w:val="20"/>
        </w:rPr>
        <w:t xml:space="preserve">Our vision </w:t>
      </w:r>
      <w:r w:rsidR="00E27CE7" w:rsidRPr="00E27CE7">
        <w:rPr>
          <w:rFonts w:ascii="Calibri" w:hAnsi="Calibri" w:cs="Calibri"/>
          <w:sz w:val="20"/>
          <w:szCs w:val="20"/>
          <w:shd w:val="clear" w:color="auto" w:fill="FFFFFF"/>
        </w:rPr>
        <w:t>is a world in which individuals and communities benefit from drug laws, policies and practices that promote health, dignity and human rights</w:t>
      </w:r>
      <w:r w:rsidR="00E27CE7">
        <w:rPr>
          <w:rFonts w:ascii="Calibri" w:hAnsi="Calibri" w:cs="Calibri"/>
          <w:sz w:val="20"/>
          <w:szCs w:val="20"/>
          <w:shd w:val="clear" w:color="auto" w:fill="FFFFFF"/>
        </w:rPr>
        <w:t>.</w:t>
      </w:r>
    </w:p>
    <w:p w14:paraId="10AB0B41" w14:textId="4D8D0A69" w:rsidR="005220EB" w:rsidRDefault="005220EB" w:rsidP="00E27CE7">
      <w:pPr>
        <w:spacing w:after="120" w:line="276" w:lineRule="auto"/>
        <w:contextualSpacing/>
        <w:jc w:val="both"/>
        <w:rPr>
          <w:rFonts w:ascii="Calibri" w:hAnsi="Calibri" w:cs="Calibri"/>
          <w:sz w:val="20"/>
          <w:szCs w:val="20"/>
        </w:rPr>
      </w:pPr>
    </w:p>
    <w:p w14:paraId="36D54279" w14:textId="2E63FE1D" w:rsidR="00965E34" w:rsidRDefault="00965E34" w:rsidP="00E27CE7">
      <w:pPr>
        <w:spacing w:after="120" w:line="276" w:lineRule="auto"/>
        <w:contextualSpacing/>
        <w:jc w:val="both"/>
        <w:rPr>
          <w:rFonts w:ascii="Calibri" w:hAnsi="Calibri" w:cs="Calibri"/>
          <w:sz w:val="20"/>
          <w:szCs w:val="20"/>
        </w:rPr>
      </w:pPr>
    </w:p>
    <w:p w14:paraId="4D18766D" w14:textId="77777777" w:rsidR="00965E34" w:rsidRPr="002B416D" w:rsidRDefault="00965E34" w:rsidP="00E27CE7">
      <w:pPr>
        <w:spacing w:after="120" w:line="276" w:lineRule="auto"/>
        <w:contextualSpacing/>
        <w:jc w:val="both"/>
        <w:rPr>
          <w:rFonts w:ascii="Calibri" w:hAnsi="Calibri" w:cs="Calibri"/>
          <w:sz w:val="20"/>
          <w:szCs w:val="20"/>
        </w:rPr>
      </w:pPr>
    </w:p>
    <w:p w14:paraId="3C54F0DB" w14:textId="7C20079C" w:rsidR="002C1091" w:rsidRPr="002B416D" w:rsidRDefault="00E27CE7" w:rsidP="00E27CE7">
      <w:pPr>
        <w:autoSpaceDE w:val="0"/>
        <w:autoSpaceDN w:val="0"/>
        <w:adjustRightInd w:val="0"/>
        <w:spacing w:after="120" w:line="276" w:lineRule="auto"/>
        <w:contextualSpacing/>
        <w:jc w:val="both"/>
        <w:rPr>
          <w:rFonts w:ascii="Calibri" w:hAnsi="Calibri" w:cs="Calibri"/>
          <w:sz w:val="20"/>
          <w:szCs w:val="20"/>
        </w:rPr>
      </w:pPr>
      <w:r>
        <w:rPr>
          <w:rFonts w:ascii="Calibri" w:hAnsi="Calibri" w:cs="Calibri"/>
          <w:sz w:val="20"/>
          <w:szCs w:val="20"/>
        </w:rPr>
        <w:t>This</w:t>
      </w:r>
      <w:r w:rsidR="002C1091" w:rsidRPr="002B416D">
        <w:rPr>
          <w:rFonts w:ascii="Calibri" w:hAnsi="Calibri" w:cs="Calibri"/>
          <w:sz w:val="20"/>
          <w:szCs w:val="20"/>
        </w:rPr>
        <w:t xml:space="preserve"> submission will focus on </w:t>
      </w:r>
      <w:r>
        <w:rPr>
          <w:rFonts w:ascii="Calibri" w:hAnsi="Calibri" w:cs="Calibri"/>
          <w:sz w:val="20"/>
          <w:szCs w:val="20"/>
        </w:rPr>
        <w:t xml:space="preserve">the </w:t>
      </w:r>
      <w:r w:rsidR="002C1091" w:rsidRPr="002B416D">
        <w:rPr>
          <w:rFonts w:ascii="Calibri" w:hAnsi="Calibri" w:cs="Calibri"/>
          <w:sz w:val="20"/>
          <w:szCs w:val="20"/>
        </w:rPr>
        <w:t>implementation of the joint commitment</w:t>
      </w:r>
      <w:r w:rsidR="00E770A2" w:rsidRPr="002B416D">
        <w:rPr>
          <w:rFonts w:ascii="Calibri" w:hAnsi="Calibri" w:cs="Calibri"/>
          <w:sz w:val="20"/>
          <w:szCs w:val="20"/>
        </w:rPr>
        <w:t xml:space="preserve"> to effectively addressing and countering the world drug problem, adopted as the outcome of the 2016 United Nations General Assembly Special Session on the world drug problem</w:t>
      </w:r>
      <w:r w:rsidR="004208FD" w:rsidRPr="002B416D">
        <w:rPr>
          <w:rFonts w:ascii="Calibri" w:hAnsi="Calibri" w:cs="Calibri"/>
          <w:sz w:val="20"/>
          <w:szCs w:val="20"/>
        </w:rPr>
        <w:t xml:space="preserve"> (hereafter: </w:t>
      </w:r>
      <w:r w:rsidR="00AD79AE">
        <w:rPr>
          <w:rFonts w:ascii="Calibri" w:hAnsi="Calibri" w:cs="Calibri"/>
          <w:sz w:val="20"/>
          <w:szCs w:val="20"/>
        </w:rPr>
        <w:t xml:space="preserve">UNGASS </w:t>
      </w:r>
      <w:r w:rsidR="004208FD" w:rsidRPr="002B416D">
        <w:rPr>
          <w:rFonts w:ascii="Calibri" w:hAnsi="Calibri" w:cs="Calibri"/>
          <w:sz w:val="20"/>
          <w:szCs w:val="20"/>
        </w:rPr>
        <w:t>Outcome Document)</w:t>
      </w:r>
      <w:r w:rsidR="002C1091" w:rsidRPr="002B416D">
        <w:rPr>
          <w:rFonts w:ascii="Calibri" w:hAnsi="Calibri" w:cs="Calibri"/>
          <w:sz w:val="20"/>
          <w:szCs w:val="20"/>
        </w:rPr>
        <w:t xml:space="preserve"> </w:t>
      </w:r>
      <w:r w:rsidR="005220EB">
        <w:rPr>
          <w:rFonts w:ascii="Calibri" w:hAnsi="Calibri" w:cs="Calibri"/>
          <w:sz w:val="20"/>
          <w:szCs w:val="20"/>
        </w:rPr>
        <w:t>with focus on</w:t>
      </w:r>
      <w:r w:rsidR="002C1091" w:rsidRPr="002B416D">
        <w:rPr>
          <w:rFonts w:ascii="Calibri" w:hAnsi="Calibri" w:cs="Calibri"/>
          <w:sz w:val="20"/>
          <w:szCs w:val="20"/>
        </w:rPr>
        <w:t xml:space="preserve"> Paragraphs 1(m) and 1(o) (under Operational recommendations on demand reduction and related measures, including prevention and treatment, as well as other health-related issues) and Paragraph</w:t>
      </w:r>
      <w:r w:rsidR="004208FD" w:rsidRPr="002B416D">
        <w:rPr>
          <w:rFonts w:ascii="Calibri" w:hAnsi="Calibri" w:cs="Calibri"/>
          <w:sz w:val="20"/>
          <w:szCs w:val="20"/>
        </w:rPr>
        <w:t>s</w:t>
      </w:r>
      <w:r w:rsidR="00304BD4" w:rsidRPr="002B416D">
        <w:rPr>
          <w:rFonts w:ascii="Calibri" w:hAnsi="Calibri" w:cs="Calibri"/>
          <w:sz w:val="20"/>
          <w:szCs w:val="20"/>
        </w:rPr>
        <w:t xml:space="preserve"> 4 </w:t>
      </w:r>
      <w:r w:rsidR="00E770A2" w:rsidRPr="002B416D">
        <w:rPr>
          <w:rFonts w:ascii="Calibri" w:hAnsi="Calibri" w:cs="Calibri"/>
          <w:sz w:val="20"/>
          <w:szCs w:val="20"/>
        </w:rPr>
        <w:t xml:space="preserve">(a,) </w:t>
      </w:r>
      <w:r w:rsidR="00304BD4" w:rsidRPr="002B416D">
        <w:rPr>
          <w:rFonts w:ascii="Calibri" w:hAnsi="Calibri" w:cs="Calibri"/>
          <w:sz w:val="20"/>
          <w:szCs w:val="20"/>
        </w:rPr>
        <w:t>(b)</w:t>
      </w:r>
      <w:r w:rsidR="004208FD" w:rsidRPr="002B416D">
        <w:rPr>
          <w:rFonts w:ascii="Calibri" w:hAnsi="Calibri" w:cs="Calibri"/>
          <w:sz w:val="20"/>
          <w:szCs w:val="20"/>
        </w:rPr>
        <w:t>,</w:t>
      </w:r>
      <w:r w:rsidR="00AD79AE">
        <w:rPr>
          <w:rFonts w:ascii="Calibri" w:hAnsi="Calibri" w:cs="Calibri"/>
          <w:sz w:val="20"/>
          <w:szCs w:val="20"/>
        </w:rPr>
        <w:t xml:space="preserve"> </w:t>
      </w:r>
      <w:r w:rsidR="00E770A2" w:rsidRPr="002B416D">
        <w:rPr>
          <w:rFonts w:ascii="Calibri" w:hAnsi="Calibri" w:cs="Calibri"/>
          <w:sz w:val="20"/>
          <w:szCs w:val="20"/>
        </w:rPr>
        <w:t>(c)</w:t>
      </w:r>
      <w:r w:rsidR="009C41DD" w:rsidRPr="002B416D">
        <w:rPr>
          <w:rFonts w:ascii="Calibri" w:hAnsi="Calibri" w:cs="Calibri"/>
          <w:sz w:val="20"/>
          <w:szCs w:val="20"/>
        </w:rPr>
        <w:t xml:space="preserve">, </w:t>
      </w:r>
      <w:r w:rsidR="004208FD" w:rsidRPr="002B416D">
        <w:rPr>
          <w:rFonts w:ascii="Calibri" w:hAnsi="Calibri" w:cs="Calibri"/>
          <w:sz w:val="20"/>
          <w:szCs w:val="20"/>
        </w:rPr>
        <w:t>(g)</w:t>
      </w:r>
      <w:r w:rsidR="009C41DD" w:rsidRPr="002B416D">
        <w:rPr>
          <w:rFonts w:ascii="Calibri" w:hAnsi="Calibri" w:cs="Calibri"/>
          <w:sz w:val="20"/>
          <w:szCs w:val="20"/>
        </w:rPr>
        <w:t>, (m), and (n)</w:t>
      </w:r>
      <w:r w:rsidR="004208FD" w:rsidRPr="002B416D">
        <w:rPr>
          <w:rFonts w:ascii="Calibri" w:hAnsi="Calibri" w:cs="Calibri"/>
          <w:sz w:val="20"/>
          <w:szCs w:val="20"/>
        </w:rPr>
        <w:t xml:space="preserve"> (under Operational recommendations on cross-cutting issues: drugs and human rights, youth, children, women and communities).</w:t>
      </w:r>
    </w:p>
    <w:p w14:paraId="59DC399E" w14:textId="7C749F60" w:rsidR="009E2E2A" w:rsidRPr="002B416D" w:rsidRDefault="009E2E2A" w:rsidP="00E27CE7">
      <w:pPr>
        <w:spacing w:after="120" w:line="276" w:lineRule="auto"/>
        <w:contextualSpacing/>
        <w:rPr>
          <w:rFonts w:ascii="Calibri" w:hAnsi="Calibri" w:cs="Calibri"/>
          <w:sz w:val="20"/>
          <w:szCs w:val="20"/>
        </w:rPr>
      </w:pPr>
      <w:r w:rsidRPr="002B416D">
        <w:rPr>
          <w:rFonts w:ascii="Calibri" w:hAnsi="Calibri" w:cs="Calibri"/>
          <w:sz w:val="20"/>
          <w:szCs w:val="20"/>
        </w:rPr>
        <w:br w:type="page"/>
      </w:r>
    </w:p>
    <w:p w14:paraId="21A8D46E" w14:textId="77777777" w:rsidR="002505EA" w:rsidRPr="002B416D" w:rsidRDefault="002505EA" w:rsidP="00AD79AE">
      <w:pPr>
        <w:pStyle w:val="Title"/>
        <w:rPr>
          <w:b w:val="0"/>
        </w:rPr>
      </w:pPr>
      <w:r w:rsidRPr="002B416D">
        <w:lastRenderedPageBreak/>
        <w:t>Background</w:t>
      </w:r>
    </w:p>
    <w:p w14:paraId="64EA55C0" w14:textId="77777777" w:rsidR="002505EA" w:rsidRPr="002B416D" w:rsidRDefault="002505EA" w:rsidP="00E27CE7">
      <w:pPr>
        <w:autoSpaceDE w:val="0"/>
        <w:autoSpaceDN w:val="0"/>
        <w:adjustRightInd w:val="0"/>
        <w:spacing w:after="120" w:line="276" w:lineRule="auto"/>
        <w:contextualSpacing/>
        <w:jc w:val="both"/>
        <w:rPr>
          <w:rFonts w:ascii="Calibri" w:hAnsi="Calibri" w:cs="Calibri"/>
          <w:sz w:val="20"/>
          <w:szCs w:val="20"/>
        </w:rPr>
      </w:pPr>
    </w:p>
    <w:p w14:paraId="0CE8A622" w14:textId="38F3D51B" w:rsidR="002505EA" w:rsidRDefault="002505EA" w:rsidP="00E27CE7">
      <w:pPr>
        <w:autoSpaceDE w:val="0"/>
        <w:autoSpaceDN w:val="0"/>
        <w:adjustRightInd w:val="0"/>
        <w:spacing w:after="120" w:line="276" w:lineRule="auto"/>
        <w:contextualSpacing/>
        <w:jc w:val="both"/>
        <w:rPr>
          <w:rFonts w:ascii="Calibri" w:hAnsi="Calibri" w:cs="Calibri"/>
          <w:color w:val="000000" w:themeColor="text1"/>
          <w:sz w:val="20"/>
          <w:szCs w:val="20"/>
        </w:rPr>
      </w:pPr>
      <w:r w:rsidRPr="002B416D">
        <w:rPr>
          <w:rFonts w:ascii="Calibri" w:hAnsi="Calibri" w:cs="Calibri"/>
          <w:sz w:val="20"/>
          <w:szCs w:val="20"/>
        </w:rPr>
        <w:t xml:space="preserve">Human rights and drug control have </w:t>
      </w:r>
      <w:r w:rsidRPr="005D25D7">
        <w:rPr>
          <w:rFonts w:ascii="Calibri" w:hAnsi="Calibri" w:cs="Calibri"/>
          <w:sz w:val="20"/>
          <w:szCs w:val="20"/>
        </w:rPr>
        <w:t xml:space="preserve">existed, for </w:t>
      </w:r>
      <w:r w:rsidR="005D25D7" w:rsidRPr="005D25D7">
        <w:rPr>
          <w:rFonts w:ascii="Calibri" w:hAnsi="Calibri" w:cs="Calibri"/>
          <w:sz w:val="20"/>
          <w:szCs w:val="20"/>
        </w:rPr>
        <w:t>decades,</w:t>
      </w:r>
      <w:r w:rsidR="005D25D7">
        <w:rPr>
          <w:rFonts w:ascii="Calibri" w:hAnsi="Calibri" w:cs="Calibri"/>
          <w:sz w:val="20"/>
          <w:szCs w:val="20"/>
        </w:rPr>
        <w:t xml:space="preserve"> </w:t>
      </w:r>
      <w:r w:rsidRPr="002B416D">
        <w:rPr>
          <w:rFonts w:ascii="Calibri" w:hAnsi="Calibri" w:cs="Calibri"/>
          <w:sz w:val="20"/>
          <w:szCs w:val="20"/>
        </w:rPr>
        <w:t>in “parallel universes.”</w:t>
      </w:r>
      <w:r w:rsidRPr="002B416D">
        <w:rPr>
          <w:rStyle w:val="FootnoteReference"/>
          <w:rFonts w:ascii="Calibri" w:hAnsi="Calibri" w:cs="Calibri"/>
          <w:sz w:val="20"/>
          <w:szCs w:val="20"/>
        </w:rPr>
        <w:footnoteReference w:id="1"/>
      </w:r>
      <w:r w:rsidR="005D25D7">
        <w:rPr>
          <w:rFonts w:ascii="Calibri" w:hAnsi="Calibri" w:cs="Calibri"/>
          <w:sz w:val="20"/>
          <w:szCs w:val="20"/>
        </w:rPr>
        <w:t xml:space="preserve"> This resulted in</w:t>
      </w:r>
      <w:r w:rsidRPr="002B416D">
        <w:rPr>
          <w:rFonts w:ascii="Calibri" w:hAnsi="Calibri" w:cs="Calibri"/>
          <w:sz w:val="20"/>
          <w:szCs w:val="20"/>
        </w:rPr>
        <w:t xml:space="preserve"> repressive policies and practices for </w:t>
      </w:r>
      <w:r w:rsidR="00965E34">
        <w:rPr>
          <w:rFonts w:ascii="Calibri" w:hAnsi="Calibri" w:cs="Calibri"/>
          <w:sz w:val="20"/>
          <w:szCs w:val="20"/>
        </w:rPr>
        <w:t>the control of drugs which lead to, or enable</w:t>
      </w:r>
      <w:r w:rsidRPr="002B416D">
        <w:rPr>
          <w:rFonts w:ascii="Calibri" w:hAnsi="Calibri" w:cs="Calibri"/>
          <w:sz w:val="20"/>
          <w:szCs w:val="20"/>
        </w:rPr>
        <w:t xml:space="preserve">, a wide range of human rights violations and abuses worldwide, disproportionately impacting upon the most vulnerable in society and perpetuating cycles of violence and marginalisation, </w:t>
      </w:r>
      <w:r w:rsidRPr="002B416D">
        <w:rPr>
          <w:rFonts w:ascii="Calibri" w:hAnsi="Calibri" w:cs="Calibri"/>
          <w:color w:val="000000" w:themeColor="text1"/>
          <w:sz w:val="20"/>
          <w:szCs w:val="20"/>
        </w:rPr>
        <w:t xml:space="preserve">while failing to substantially reduce drug-related harms and risks. </w:t>
      </w:r>
    </w:p>
    <w:p w14:paraId="2CFBAA24" w14:textId="77777777" w:rsidR="00591DD4" w:rsidRPr="002B416D" w:rsidRDefault="00591DD4" w:rsidP="00E27CE7">
      <w:pPr>
        <w:autoSpaceDE w:val="0"/>
        <w:autoSpaceDN w:val="0"/>
        <w:adjustRightInd w:val="0"/>
        <w:spacing w:after="120" w:line="276" w:lineRule="auto"/>
        <w:contextualSpacing/>
        <w:jc w:val="both"/>
        <w:rPr>
          <w:rFonts w:ascii="Calibri" w:hAnsi="Calibri" w:cs="Calibri"/>
          <w:color w:val="000000" w:themeColor="text1"/>
          <w:sz w:val="20"/>
          <w:szCs w:val="20"/>
        </w:rPr>
      </w:pPr>
    </w:p>
    <w:p w14:paraId="52C739A7" w14:textId="3AC0D81B" w:rsidR="006A17C9" w:rsidRPr="002B416D" w:rsidRDefault="006A17C9"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 xml:space="preserve">Human rights and drug control are </w:t>
      </w:r>
      <w:r w:rsidR="00E770A2" w:rsidRPr="002B416D">
        <w:rPr>
          <w:rFonts w:ascii="Calibri" w:hAnsi="Calibri" w:cs="Calibri"/>
          <w:sz w:val="20"/>
          <w:szCs w:val="20"/>
        </w:rPr>
        <w:t>closely</w:t>
      </w:r>
      <w:r w:rsidRPr="002B416D">
        <w:rPr>
          <w:rFonts w:ascii="Calibri" w:hAnsi="Calibri" w:cs="Calibri"/>
          <w:i/>
          <w:sz w:val="20"/>
          <w:szCs w:val="20"/>
        </w:rPr>
        <w:t xml:space="preserve"> </w:t>
      </w:r>
      <w:r w:rsidRPr="002B416D">
        <w:rPr>
          <w:rFonts w:ascii="Calibri" w:hAnsi="Calibri" w:cs="Calibri"/>
          <w:sz w:val="20"/>
          <w:szCs w:val="20"/>
        </w:rPr>
        <w:t>intertwined</w:t>
      </w:r>
      <w:r w:rsidR="00E770A2" w:rsidRPr="002B416D">
        <w:rPr>
          <w:rFonts w:ascii="Calibri" w:hAnsi="Calibri" w:cs="Calibri"/>
          <w:sz w:val="20"/>
          <w:szCs w:val="20"/>
        </w:rPr>
        <w:t>, and a</w:t>
      </w:r>
      <w:r w:rsidRPr="002B416D">
        <w:rPr>
          <w:rFonts w:ascii="Calibri" w:hAnsi="Calibri" w:cs="Calibri"/>
          <w:sz w:val="20"/>
          <w:szCs w:val="20"/>
        </w:rPr>
        <w:t xml:space="preserve"> </w:t>
      </w:r>
      <w:r w:rsidR="00E770A2" w:rsidRPr="002B416D">
        <w:rPr>
          <w:rFonts w:ascii="Calibri" w:hAnsi="Calibri" w:cs="Calibri"/>
          <w:sz w:val="20"/>
          <w:szCs w:val="20"/>
        </w:rPr>
        <w:t>comprehensive</w:t>
      </w:r>
      <w:r w:rsidRPr="002B416D">
        <w:rPr>
          <w:rFonts w:ascii="Calibri" w:hAnsi="Calibri" w:cs="Calibri"/>
          <w:sz w:val="20"/>
          <w:szCs w:val="20"/>
        </w:rPr>
        <w:t xml:space="preserve"> </w:t>
      </w:r>
      <w:r w:rsidRPr="00AD79AE">
        <w:rPr>
          <w:rFonts w:ascii="Calibri" w:hAnsi="Calibri" w:cs="Calibri"/>
          <w:sz w:val="20"/>
          <w:szCs w:val="20"/>
        </w:rPr>
        <w:t>system</w:t>
      </w:r>
      <w:r w:rsidRPr="002B416D">
        <w:rPr>
          <w:rFonts w:ascii="Calibri" w:hAnsi="Calibri" w:cs="Calibri"/>
          <w:sz w:val="20"/>
          <w:szCs w:val="20"/>
        </w:rPr>
        <w:t xml:space="preserve"> of human rights standards exists that should guide </w:t>
      </w:r>
      <w:r w:rsidR="00B10F49">
        <w:rPr>
          <w:rFonts w:ascii="Calibri" w:hAnsi="Calibri" w:cs="Calibri"/>
          <w:sz w:val="20"/>
          <w:szCs w:val="20"/>
        </w:rPr>
        <w:t>S</w:t>
      </w:r>
      <w:r w:rsidRPr="002B416D">
        <w:rPr>
          <w:rFonts w:ascii="Calibri" w:hAnsi="Calibri" w:cs="Calibri"/>
          <w:sz w:val="20"/>
          <w:szCs w:val="20"/>
        </w:rPr>
        <w:t>tate actions</w:t>
      </w:r>
      <w:r w:rsidR="00E770A2" w:rsidRPr="002B416D">
        <w:rPr>
          <w:rFonts w:ascii="Calibri" w:hAnsi="Calibri" w:cs="Calibri"/>
          <w:sz w:val="20"/>
          <w:szCs w:val="20"/>
        </w:rPr>
        <w:t xml:space="preserve"> with respect to drug control</w:t>
      </w:r>
      <w:r w:rsidR="00F3445E" w:rsidRPr="002B416D">
        <w:rPr>
          <w:rFonts w:ascii="Calibri" w:hAnsi="Calibri" w:cs="Calibri"/>
          <w:sz w:val="20"/>
          <w:szCs w:val="20"/>
        </w:rPr>
        <w:t xml:space="preserve"> and people who use drugs, and in the interpretation of the three UN Drug Control Conventions.</w:t>
      </w:r>
    </w:p>
    <w:p w14:paraId="3FFBAC23" w14:textId="77777777" w:rsidR="00BD6B01" w:rsidRPr="002B416D" w:rsidRDefault="00BD6B01" w:rsidP="00E27CE7">
      <w:pPr>
        <w:autoSpaceDE w:val="0"/>
        <w:autoSpaceDN w:val="0"/>
        <w:adjustRightInd w:val="0"/>
        <w:spacing w:after="120" w:line="276" w:lineRule="auto"/>
        <w:contextualSpacing/>
        <w:jc w:val="both"/>
        <w:rPr>
          <w:rFonts w:ascii="Calibri" w:hAnsi="Calibri" w:cs="Calibri"/>
          <w:sz w:val="20"/>
          <w:szCs w:val="20"/>
        </w:rPr>
      </w:pPr>
    </w:p>
    <w:p w14:paraId="350786D8" w14:textId="2D7E8265" w:rsidR="00BD6B01" w:rsidRPr="002B416D" w:rsidRDefault="00BD6B01"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The UNGASS Outcome Document represents a key milestone in the</w:t>
      </w:r>
      <w:r w:rsidR="00392394" w:rsidRPr="002B416D">
        <w:rPr>
          <w:rFonts w:ascii="Calibri" w:hAnsi="Calibri" w:cs="Calibri"/>
          <w:sz w:val="20"/>
          <w:szCs w:val="20"/>
        </w:rPr>
        <w:t xml:space="preserve"> acknowledgment</w:t>
      </w:r>
      <w:r w:rsidRPr="002B416D">
        <w:rPr>
          <w:rFonts w:ascii="Calibri" w:hAnsi="Calibri" w:cs="Calibri"/>
          <w:sz w:val="20"/>
          <w:szCs w:val="20"/>
        </w:rPr>
        <w:t xml:space="preserve"> of the </w:t>
      </w:r>
      <w:r w:rsidRPr="00AD79AE">
        <w:rPr>
          <w:rFonts w:ascii="Calibri" w:hAnsi="Calibri" w:cs="Calibri"/>
          <w:sz w:val="20"/>
          <w:szCs w:val="20"/>
        </w:rPr>
        <w:t>interaction</w:t>
      </w:r>
      <w:r w:rsidR="00392394" w:rsidRPr="00AD79AE">
        <w:rPr>
          <w:rFonts w:ascii="Calibri" w:hAnsi="Calibri" w:cs="Calibri"/>
          <w:sz w:val="20"/>
          <w:szCs w:val="20"/>
        </w:rPr>
        <w:t>s</w:t>
      </w:r>
      <w:r w:rsidRPr="002B416D">
        <w:rPr>
          <w:rFonts w:ascii="Calibri" w:hAnsi="Calibri" w:cs="Calibri"/>
          <w:sz w:val="20"/>
          <w:szCs w:val="20"/>
        </w:rPr>
        <w:t xml:space="preserve"> betwee</w:t>
      </w:r>
      <w:r w:rsidR="005220EB">
        <w:rPr>
          <w:rFonts w:ascii="Calibri" w:hAnsi="Calibri" w:cs="Calibri"/>
          <w:sz w:val="20"/>
          <w:szCs w:val="20"/>
        </w:rPr>
        <w:t>n drug control and human rights. H</w:t>
      </w:r>
      <w:r w:rsidRPr="002B416D">
        <w:rPr>
          <w:rFonts w:ascii="Calibri" w:hAnsi="Calibri" w:cs="Calibri"/>
          <w:sz w:val="20"/>
          <w:szCs w:val="20"/>
        </w:rPr>
        <w:t>uman rights were authoritatively</w:t>
      </w:r>
      <w:r w:rsidRPr="002B416D">
        <w:rPr>
          <w:rFonts w:ascii="Calibri" w:hAnsi="Calibri" w:cs="Calibri"/>
          <w:i/>
          <w:sz w:val="20"/>
          <w:szCs w:val="20"/>
        </w:rPr>
        <w:t xml:space="preserve"> </w:t>
      </w:r>
      <w:r w:rsidR="005D25D7">
        <w:rPr>
          <w:rFonts w:ascii="Calibri" w:hAnsi="Calibri" w:cs="Calibri"/>
          <w:sz w:val="20"/>
          <w:szCs w:val="20"/>
        </w:rPr>
        <w:t>sanctioned as a fundamental reference in the design and implementation of drug control policies</w:t>
      </w:r>
      <w:r w:rsidRPr="002B416D">
        <w:rPr>
          <w:rFonts w:ascii="Calibri" w:hAnsi="Calibri" w:cs="Calibri"/>
          <w:sz w:val="20"/>
          <w:szCs w:val="20"/>
        </w:rPr>
        <w:t>, with States being urged to “ensure that national drug policies […] fully respect human rights and fundamental freedoms</w:t>
      </w:r>
      <w:r w:rsidR="00E770A2" w:rsidRPr="002B416D">
        <w:rPr>
          <w:rFonts w:ascii="Calibri" w:hAnsi="Calibri" w:cs="Calibri"/>
          <w:sz w:val="20"/>
          <w:szCs w:val="20"/>
        </w:rPr>
        <w:t>.</w:t>
      </w:r>
      <w:r w:rsidRPr="002B416D">
        <w:rPr>
          <w:rFonts w:ascii="Calibri" w:hAnsi="Calibri" w:cs="Calibri"/>
          <w:sz w:val="20"/>
          <w:szCs w:val="20"/>
        </w:rPr>
        <w:t>”</w:t>
      </w:r>
      <w:r w:rsidR="00E770A2" w:rsidRPr="002B416D">
        <w:rPr>
          <w:rStyle w:val="FootnoteReference"/>
          <w:rFonts w:ascii="Calibri" w:hAnsi="Calibri" w:cs="Calibri"/>
          <w:sz w:val="20"/>
          <w:szCs w:val="20"/>
        </w:rPr>
        <w:footnoteReference w:id="2"/>
      </w:r>
      <w:r w:rsidRPr="002B416D">
        <w:rPr>
          <w:rFonts w:ascii="Calibri" w:hAnsi="Calibri" w:cs="Calibri"/>
          <w:sz w:val="20"/>
          <w:szCs w:val="20"/>
        </w:rPr>
        <w:t xml:space="preserve"> </w:t>
      </w:r>
      <w:r w:rsidR="007432DA" w:rsidRPr="002B416D">
        <w:rPr>
          <w:rFonts w:ascii="Calibri" w:hAnsi="Calibri" w:cs="Calibri"/>
          <w:sz w:val="20"/>
          <w:szCs w:val="20"/>
        </w:rPr>
        <w:t xml:space="preserve"> A</w:t>
      </w:r>
      <w:r w:rsidRPr="002B416D">
        <w:rPr>
          <w:rFonts w:ascii="Calibri" w:hAnsi="Calibri" w:cs="Calibri"/>
          <w:sz w:val="20"/>
          <w:szCs w:val="20"/>
        </w:rPr>
        <w:t xml:space="preserve">lso, for the first time in a high-level </w:t>
      </w:r>
      <w:r w:rsidR="005220EB">
        <w:rPr>
          <w:rFonts w:ascii="Calibri" w:hAnsi="Calibri" w:cs="Calibri"/>
          <w:sz w:val="20"/>
          <w:szCs w:val="20"/>
        </w:rPr>
        <w:t xml:space="preserve">UN </w:t>
      </w:r>
      <w:r w:rsidRPr="002B416D">
        <w:rPr>
          <w:rFonts w:ascii="Calibri" w:hAnsi="Calibri" w:cs="Calibri"/>
          <w:sz w:val="20"/>
          <w:szCs w:val="20"/>
        </w:rPr>
        <w:t>document,</w:t>
      </w:r>
      <w:r w:rsidRPr="002B416D">
        <w:rPr>
          <w:rStyle w:val="FootnoteReference"/>
          <w:rFonts w:ascii="Calibri" w:hAnsi="Calibri" w:cs="Calibri"/>
          <w:sz w:val="20"/>
          <w:szCs w:val="20"/>
        </w:rPr>
        <w:footnoteReference w:id="3"/>
      </w:r>
      <w:r w:rsidRPr="002B416D">
        <w:rPr>
          <w:rFonts w:ascii="Calibri" w:hAnsi="Calibri" w:cs="Calibri"/>
          <w:sz w:val="20"/>
          <w:szCs w:val="20"/>
        </w:rPr>
        <w:t xml:space="preserve"> the General Assembly explicitly</w:t>
      </w:r>
      <w:r w:rsidRPr="002B416D">
        <w:rPr>
          <w:rFonts w:ascii="Calibri" w:hAnsi="Calibri" w:cs="Calibri"/>
          <w:i/>
          <w:sz w:val="20"/>
          <w:szCs w:val="20"/>
        </w:rPr>
        <w:t xml:space="preserve"> </w:t>
      </w:r>
      <w:r w:rsidRPr="002B416D">
        <w:rPr>
          <w:rFonts w:ascii="Calibri" w:hAnsi="Calibri" w:cs="Calibri"/>
          <w:sz w:val="20"/>
          <w:szCs w:val="20"/>
        </w:rPr>
        <w:t xml:space="preserve">endorsed </w:t>
      </w:r>
      <w:r w:rsidR="00623E2E" w:rsidRPr="002B416D">
        <w:rPr>
          <w:rFonts w:ascii="Calibri" w:hAnsi="Calibri" w:cs="Calibri"/>
          <w:sz w:val="20"/>
          <w:szCs w:val="20"/>
        </w:rPr>
        <w:t xml:space="preserve">a number of </w:t>
      </w:r>
      <w:r w:rsidRPr="002B416D">
        <w:rPr>
          <w:rFonts w:ascii="Calibri" w:hAnsi="Calibri" w:cs="Calibri"/>
          <w:sz w:val="20"/>
          <w:szCs w:val="20"/>
        </w:rPr>
        <w:t xml:space="preserve">harm reduction interventions. </w:t>
      </w:r>
    </w:p>
    <w:p w14:paraId="6412CB63" w14:textId="2F9744B4" w:rsidR="00F3445E" w:rsidRPr="002B416D" w:rsidRDefault="00F3445E" w:rsidP="00E27CE7">
      <w:pPr>
        <w:autoSpaceDE w:val="0"/>
        <w:autoSpaceDN w:val="0"/>
        <w:adjustRightInd w:val="0"/>
        <w:spacing w:after="120" w:line="276" w:lineRule="auto"/>
        <w:contextualSpacing/>
        <w:jc w:val="both"/>
        <w:rPr>
          <w:rFonts w:ascii="Calibri" w:hAnsi="Calibri" w:cs="Calibri"/>
          <w:b/>
          <w:color w:val="FF0000"/>
          <w:sz w:val="20"/>
          <w:szCs w:val="20"/>
        </w:rPr>
      </w:pPr>
    </w:p>
    <w:p w14:paraId="59115460" w14:textId="77CA53E8" w:rsidR="00695213" w:rsidRPr="002B416D" w:rsidRDefault="00695213" w:rsidP="00AD79AE">
      <w:pPr>
        <w:pStyle w:val="Title"/>
      </w:pPr>
      <w:r w:rsidRPr="002B416D">
        <w:t>Implementation of commitments related to the right to health</w:t>
      </w:r>
      <w:r w:rsidR="0007267D" w:rsidRPr="002B416D">
        <w:t xml:space="preserve"> (Paragraph</w:t>
      </w:r>
      <w:r w:rsidR="00E770A2" w:rsidRPr="002B416D">
        <w:t>s</w:t>
      </w:r>
      <w:r w:rsidR="0007267D" w:rsidRPr="002B416D">
        <w:t xml:space="preserve"> 4(a)</w:t>
      </w:r>
      <w:r w:rsidR="00E770A2" w:rsidRPr="002B416D">
        <w:t xml:space="preserve"> and</w:t>
      </w:r>
      <w:r w:rsidR="0007267D" w:rsidRPr="002B416D">
        <w:t xml:space="preserve"> (</w:t>
      </w:r>
      <w:r w:rsidR="00E770A2" w:rsidRPr="002B416D">
        <w:t>b</w:t>
      </w:r>
      <w:r w:rsidR="0007267D" w:rsidRPr="002B416D">
        <w:t>)</w:t>
      </w:r>
      <w:r w:rsidR="00E770A2" w:rsidRPr="002B416D">
        <w:t>)</w:t>
      </w:r>
      <w:r w:rsidR="005220EB">
        <w:t>,</w:t>
      </w:r>
      <w:r w:rsidRPr="002B416D">
        <w:t xml:space="preserve"> with respect to </w:t>
      </w:r>
      <w:r w:rsidR="00CD49B9" w:rsidRPr="002B416D">
        <w:t xml:space="preserve">elements for the prevention and treatment of overdose </w:t>
      </w:r>
      <w:r w:rsidRPr="002B416D">
        <w:t>(Paragraph 1 (m)) and measures aimed at minimizing the adverse public health and s</w:t>
      </w:r>
      <w:r w:rsidR="005220EB">
        <w:t>ocial consequences of drug abuse</w:t>
      </w:r>
      <w:r w:rsidRPr="002B416D">
        <w:t xml:space="preserve"> </w:t>
      </w:r>
      <w:r w:rsidR="00CD49B9" w:rsidRPr="002B416D">
        <w:t>(Paragraph 1 (o))</w:t>
      </w:r>
      <w:r w:rsidRPr="002B416D">
        <w:t xml:space="preserve"> </w:t>
      </w:r>
    </w:p>
    <w:p w14:paraId="08DEBD6C" w14:textId="77777777" w:rsidR="002A6D4E" w:rsidRPr="002B416D" w:rsidRDefault="002A6D4E" w:rsidP="00E27CE7">
      <w:pPr>
        <w:autoSpaceDE w:val="0"/>
        <w:autoSpaceDN w:val="0"/>
        <w:adjustRightInd w:val="0"/>
        <w:spacing w:after="120" w:line="276" w:lineRule="auto"/>
        <w:contextualSpacing/>
        <w:jc w:val="both"/>
        <w:rPr>
          <w:rFonts w:ascii="Calibri" w:hAnsi="Calibri" w:cs="Calibri"/>
          <w:b/>
          <w:color w:val="000000" w:themeColor="text1"/>
          <w:sz w:val="20"/>
          <w:szCs w:val="20"/>
        </w:rPr>
      </w:pPr>
    </w:p>
    <w:p w14:paraId="641583D7" w14:textId="77777777" w:rsidR="00BD6B01" w:rsidRPr="002B416D" w:rsidRDefault="00BD6B01"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The right to the highest attainable standard of health requires all States to provide, as a matter of priority, national, comprehensive harm reduction services for people who use drugs.</w:t>
      </w:r>
      <w:r w:rsidRPr="002B416D">
        <w:rPr>
          <w:rStyle w:val="FootnoteReference"/>
          <w:rFonts w:ascii="Calibri" w:hAnsi="Calibri" w:cs="Calibri"/>
          <w:sz w:val="20"/>
          <w:szCs w:val="20"/>
        </w:rPr>
        <w:footnoteReference w:id="4"/>
      </w:r>
    </w:p>
    <w:p w14:paraId="286FC45F" w14:textId="77777777" w:rsidR="00BD6B01" w:rsidRPr="002B416D" w:rsidRDefault="00BD6B01" w:rsidP="00D67989">
      <w:pPr>
        <w:autoSpaceDE w:val="0"/>
        <w:autoSpaceDN w:val="0"/>
        <w:adjustRightInd w:val="0"/>
        <w:spacing w:after="0" w:line="276" w:lineRule="auto"/>
        <w:contextualSpacing/>
        <w:jc w:val="both"/>
        <w:rPr>
          <w:rFonts w:ascii="Calibri" w:hAnsi="Calibri" w:cs="Calibri"/>
          <w:b/>
          <w:color w:val="000000" w:themeColor="text1"/>
          <w:sz w:val="20"/>
          <w:szCs w:val="20"/>
        </w:rPr>
      </w:pPr>
    </w:p>
    <w:p w14:paraId="5EA23FA1" w14:textId="7C1226C1" w:rsidR="00E770A2" w:rsidRPr="00D8453C" w:rsidRDefault="001B45E3" w:rsidP="00E27CE7">
      <w:pPr>
        <w:autoSpaceDE w:val="0"/>
        <w:autoSpaceDN w:val="0"/>
        <w:adjustRightInd w:val="0"/>
        <w:spacing w:after="120" w:line="276" w:lineRule="auto"/>
        <w:contextualSpacing/>
        <w:jc w:val="both"/>
        <w:rPr>
          <w:rFonts w:asciiTheme="majorHAnsi" w:hAnsiTheme="majorHAnsi" w:cstheme="majorHAnsi"/>
          <w:i/>
          <w:sz w:val="20"/>
          <w:szCs w:val="20"/>
        </w:rPr>
      </w:pPr>
      <w:r w:rsidRPr="00D8453C">
        <w:rPr>
          <w:rFonts w:asciiTheme="majorHAnsi" w:hAnsiTheme="majorHAnsi" w:cstheme="majorHAnsi"/>
          <w:i/>
          <w:sz w:val="20"/>
          <w:szCs w:val="20"/>
        </w:rPr>
        <w:t>A</w:t>
      </w:r>
      <w:r w:rsidR="001C4F28" w:rsidRPr="00D8453C">
        <w:rPr>
          <w:rFonts w:asciiTheme="majorHAnsi" w:hAnsiTheme="majorHAnsi" w:cstheme="majorHAnsi"/>
          <w:i/>
          <w:sz w:val="20"/>
          <w:szCs w:val="20"/>
        </w:rPr>
        <w:t>vailability of harm reduction services and interventions</w:t>
      </w:r>
    </w:p>
    <w:p w14:paraId="2B4CA538" w14:textId="77777777" w:rsidR="00EC5E8F" w:rsidRPr="002B416D" w:rsidRDefault="00EC5E8F" w:rsidP="00D67989">
      <w:pPr>
        <w:autoSpaceDE w:val="0"/>
        <w:autoSpaceDN w:val="0"/>
        <w:adjustRightInd w:val="0"/>
        <w:spacing w:after="0" w:line="276" w:lineRule="auto"/>
        <w:contextualSpacing/>
        <w:jc w:val="both"/>
        <w:rPr>
          <w:rFonts w:ascii="Calibri" w:hAnsi="Calibri" w:cs="Calibri"/>
          <w:i/>
          <w:sz w:val="20"/>
          <w:szCs w:val="20"/>
        </w:rPr>
      </w:pPr>
    </w:p>
    <w:p w14:paraId="2AE9428A" w14:textId="2D4D4926" w:rsidR="006349B2" w:rsidRDefault="00BF61EA"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According to Larney et al, less than 1% of all persons who inject drugs live in countries with high coverage of both needle and syringe programmes (NSP) and opioid substitution therapy (OST).</w:t>
      </w:r>
      <w:r w:rsidRPr="002B416D">
        <w:rPr>
          <w:rStyle w:val="FootnoteReference"/>
          <w:rFonts w:ascii="Calibri" w:hAnsi="Calibri" w:cs="Calibri"/>
          <w:sz w:val="20"/>
          <w:szCs w:val="20"/>
        </w:rPr>
        <w:footnoteReference w:id="5"/>
      </w:r>
      <w:r w:rsidRPr="002B416D">
        <w:rPr>
          <w:rFonts w:ascii="Calibri" w:hAnsi="Calibri" w:cs="Calibri"/>
          <w:sz w:val="20"/>
          <w:szCs w:val="20"/>
        </w:rPr>
        <w:t xml:space="preserve"> G</w:t>
      </w:r>
      <w:r w:rsidR="00324D05" w:rsidRPr="002B416D">
        <w:rPr>
          <w:rFonts w:ascii="Calibri" w:hAnsi="Calibri" w:cs="Calibri"/>
          <w:sz w:val="20"/>
          <w:szCs w:val="20"/>
        </w:rPr>
        <w:t xml:space="preserve">overnments worldwide </w:t>
      </w:r>
      <w:r w:rsidR="00E770A2" w:rsidRPr="002B416D">
        <w:rPr>
          <w:rFonts w:ascii="Calibri" w:hAnsi="Calibri" w:cs="Calibri"/>
          <w:sz w:val="20"/>
          <w:szCs w:val="20"/>
        </w:rPr>
        <w:t xml:space="preserve">are </w:t>
      </w:r>
      <w:r w:rsidR="00392394" w:rsidRPr="002B416D">
        <w:rPr>
          <w:rFonts w:ascii="Calibri" w:hAnsi="Calibri" w:cs="Calibri"/>
          <w:sz w:val="20"/>
          <w:szCs w:val="20"/>
        </w:rPr>
        <w:t>failing</w:t>
      </w:r>
      <w:r w:rsidR="00324D05" w:rsidRPr="002B416D">
        <w:rPr>
          <w:rFonts w:ascii="Calibri" w:hAnsi="Calibri" w:cs="Calibri"/>
          <w:sz w:val="20"/>
          <w:szCs w:val="20"/>
        </w:rPr>
        <w:t xml:space="preserve"> to implement adequate and integrated harm reduction interventions, ignoring a strong body of evidence of its effectiveness. </w:t>
      </w:r>
    </w:p>
    <w:p w14:paraId="08FC0E06" w14:textId="77777777" w:rsidR="00D67989" w:rsidRPr="00AD79AE" w:rsidRDefault="00D67989" w:rsidP="00E27CE7">
      <w:pPr>
        <w:autoSpaceDE w:val="0"/>
        <w:autoSpaceDN w:val="0"/>
        <w:adjustRightInd w:val="0"/>
        <w:spacing w:after="120" w:line="276" w:lineRule="auto"/>
        <w:contextualSpacing/>
        <w:jc w:val="both"/>
        <w:rPr>
          <w:rFonts w:ascii="Calibri" w:hAnsi="Calibri" w:cs="Calibri"/>
          <w:i/>
          <w:sz w:val="20"/>
          <w:szCs w:val="20"/>
        </w:rPr>
      </w:pPr>
    </w:p>
    <w:p w14:paraId="49F0B431" w14:textId="212CD24F" w:rsidR="009104E4" w:rsidRPr="002B416D" w:rsidRDefault="0054726F"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lastRenderedPageBreak/>
        <w:t>In the</w:t>
      </w:r>
      <w:r w:rsidR="00927B82" w:rsidRPr="002B416D">
        <w:rPr>
          <w:rFonts w:ascii="Calibri" w:hAnsi="Calibri" w:cs="Calibri"/>
          <w:sz w:val="20"/>
          <w:szCs w:val="20"/>
        </w:rPr>
        <w:t xml:space="preserve"> </w:t>
      </w:r>
      <w:hyperlink r:id="rId9" w:history="1">
        <w:r w:rsidR="00927B82" w:rsidRPr="002B416D">
          <w:rPr>
            <w:rStyle w:val="Hyperlink"/>
            <w:rFonts w:ascii="Calibri" w:hAnsi="Calibri" w:cs="Calibri"/>
            <w:sz w:val="20"/>
            <w:szCs w:val="20"/>
          </w:rPr>
          <w:t>Global State of Harm Reduction</w:t>
        </w:r>
        <w:r w:rsidR="00321472" w:rsidRPr="002B416D">
          <w:rPr>
            <w:rStyle w:val="Hyperlink"/>
            <w:rFonts w:ascii="Calibri" w:hAnsi="Calibri" w:cs="Calibri"/>
            <w:sz w:val="20"/>
            <w:szCs w:val="20"/>
          </w:rPr>
          <w:t xml:space="preserve"> 2016</w:t>
        </w:r>
      </w:hyperlink>
      <w:r w:rsidRPr="002B416D">
        <w:rPr>
          <w:rFonts w:ascii="Calibri" w:hAnsi="Calibri" w:cs="Calibri"/>
          <w:sz w:val="20"/>
          <w:szCs w:val="20"/>
        </w:rPr>
        <w:t>, Harm Reduction International</w:t>
      </w:r>
      <w:r w:rsidR="00321472" w:rsidRPr="002B416D">
        <w:rPr>
          <w:rFonts w:ascii="Calibri" w:hAnsi="Calibri" w:cs="Calibri"/>
          <w:sz w:val="20"/>
          <w:szCs w:val="20"/>
        </w:rPr>
        <w:t xml:space="preserve"> reported </w:t>
      </w:r>
      <w:r w:rsidRPr="002B416D">
        <w:rPr>
          <w:rFonts w:ascii="Calibri" w:hAnsi="Calibri" w:cs="Calibri"/>
          <w:sz w:val="20"/>
          <w:szCs w:val="20"/>
        </w:rPr>
        <w:t xml:space="preserve">that, although </w:t>
      </w:r>
      <w:r w:rsidR="00321472" w:rsidRPr="002B416D">
        <w:rPr>
          <w:rFonts w:ascii="Calibri" w:hAnsi="Calibri" w:cs="Calibri"/>
          <w:sz w:val="20"/>
          <w:szCs w:val="20"/>
        </w:rPr>
        <w:t xml:space="preserve">injecting </w:t>
      </w:r>
      <w:r w:rsidRPr="002B416D">
        <w:rPr>
          <w:rFonts w:ascii="Calibri" w:hAnsi="Calibri" w:cs="Calibri"/>
          <w:sz w:val="20"/>
          <w:szCs w:val="20"/>
        </w:rPr>
        <w:t>drug</w:t>
      </w:r>
      <w:r w:rsidR="00AB4506" w:rsidRPr="002B416D">
        <w:rPr>
          <w:rFonts w:ascii="Calibri" w:hAnsi="Calibri" w:cs="Calibri"/>
          <w:sz w:val="20"/>
          <w:szCs w:val="20"/>
        </w:rPr>
        <w:t xml:space="preserve"> </w:t>
      </w:r>
      <w:r w:rsidR="00321472" w:rsidRPr="002B416D">
        <w:rPr>
          <w:rFonts w:ascii="Calibri" w:hAnsi="Calibri" w:cs="Calibri"/>
          <w:sz w:val="20"/>
          <w:szCs w:val="20"/>
        </w:rPr>
        <w:t xml:space="preserve">use </w:t>
      </w:r>
      <w:r w:rsidR="00AB4506" w:rsidRPr="002B416D">
        <w:rPr>
          <w:rFonts w:ascii="Calibri" w:hAnsi="Calibri" w:cs="Calibri"/>
          <w:sz w:val="20"/>
          <w:szCs w:val="20"/>
        </w:rPr>
        <w:t>is documented in at least 158 countries and territories</w:t>
      </w:r>
      <w:r w:rsidRPr="002B416D">
        <w:rPr>
          <w:rFonts w:ascii="Calibri" w:hAnsi="Calibri" w:cs="Calibri"/>
          <w:sz w:val="20"/>
          <w:szCs w:val="20"/>
        </w:rPr>
        <w:t>, OS</w:t>
      </w:r>
      <w:r w:rsidR="006349B2" w:rsidRPr="002B416D">
        <w:rPr>
          <w:rFonts w:ascii="Calibri" w:hAnsi="Calibri" w:cs="Calibri"/>
          <w:sz w:val="20"/>
          <w:szCs w:val="20"/>
        </w:rPr>
        <w:t xml:space="preserve">T </w:t>
      </w:r>
      <w:r w:rsidRPr="002B416D">
        <w:rPr>
          <w:rFonts w:ascii="Calibri" w:hAnsi="Calibri" w:cs="Calibri"/>
          <w:sz w:val="20"/>
          <w:szCs w:val="20"/>
        </w:rPr>
        <w:t>is</w:t>
      </w:r>
      <w:r w:rsidR="00AB4506" w:rsidRPr="002B416D">
        <w:rPr>
          <w:rFonts w:ascii="Calibri" w:hAnsi="Calibri" w:cs="Calibri"/>
          <w:sz w:val="20"/>
          <w:szCs w:val="20"/>
        </w:rPr>
        <w:t xml:space="preserve"> not </w:t>
      </w:r>
      <w:r w:rsidR="00C1226E" w:rsidRPr="002B416D">
        <w:rPr>
          <w:rFonts w:ascii="Calibri" w:hAnsi="Calibri" w:cs="Calibri"/>
          <w:sz w:val="20"/>
          <w:szCs w:val="20"/>
        </w:rPr>
        <w:t>in place</w:t>
      </w:r>
      <w:r w:rsidR="00AB4506" w:rsidRPr="002B416D">
        <w:rPr>
          <w:rFonts w:ascii="Calibri" w:hAnsi="Calibri" w:cs="Calibri"/>
          <w:sz w:val="20"/>
          <w:szCs w:val="20"/>
        </w:rPr>
        <w:t xml:space="preserve"> in 78 countries</w:t>
      </w:r>
      <w:r w:rsidRPr="002B416D">
        <w:rPr>
          <w:rFonts w:ascii="Calibri" w:hAnsi="Calibri" w:cs="Calibri"/>
          <w:sz w:val="20"/>
          <w:szCs w:val="20"/>
        </w:rPr>
        <w:t xml:space="preserve">, while </w:t>
      </w:r>
      <w:r w:rsidR="00AB4506" w:rsidRPr="002B416D">
        <w:rPr>
          <w:rFonts w:ascii="Calibri" w:hAnsi="Calibri" w:cs="Calibri"/>
          <w:sz w:val="20"/>
          <w:szCs w:val="20"/>
        </w:rPr>
        <w:t xml:space="preserve">68 </w:t>
      </w:r>
      <w:r w:rsidR="00C1226E" w:rsidRPr="002B416D">
        <w:rPr>
          <w:rFonts w:ascii="Calibri" w:hAnsi="Calibri" w:cs="Calibri"/>
          <w:sz w:val="20"/>
          <w:szCs w:val="20"/>
        </w:rPr>
        <w:t>states</w:t>
      </w:r>
      <w:r w:rsidR="00321472" w:rsidRPr="002B416D">
        <w:rPr>
          <w:rFonts w:ascii="Calibri" w:hAnsi="Calibri" w:cs="Calibri"/>
          <w:sz w:val="20"/>
          <w:szCs w:val="20"/>
        </w:rPr>
        <w:t xml:space="preserve"> have</w:t>
      </w:r>
      <w:r w:rsidR="00C1226E" w:rsidRPr="002B416D">
        <w:rPr>
          <w:rFonts w:ascii="Calibri" w:hAnsi="Calibri" w:cs="Calibri"/>
          <w:sz w:val="20"/>
          <w:szCs w:val="20"/>
        </w:rPr>
        <w:t xml:space="preserve"> failed to </w:t>
      </w:r>
      <w:r w:rsidR="00324D05" w:rsidRPr="002B416D">
        <w:rPr>
          <w:rFonts w:ascii="Calibri" w:hAnsi="Calibri" w:cs="Calibri"/>
          <w:sz w:val="20"/>
          <w:szCs w:val="20"/>
        </w:rPr>
        <w:t xml:space="preserve">introduce </w:t>
      </w:r>
      <w:r w:rsidR="00C1226E" w:rsidRPr="002B416D">
        <w:rPr>
          <w:rFonts w:ascii="Calibri" w:hAnsi="Calibri" w:cs="Calibri"/>
          <w:sz w:val="20"/>
          <w:szCs w:val="20"/>
        </w:rPr>
        <w:t>NSP</w:t>
      </w:r>
      <w:r w:rsidRPr="002B416D">
        <w:rPr>
          <w:rFonts w:ascii="Calibri" w:hAnsi="Calibri" w:cs="Calibri"/>
          <w:sz w:val="20"/>
          <w:szCs w:val="20"/>
        </w:rPr>
        <w:t>.</w:t>
      </w:r>
      <w:r w:rsidR="00AB4506" w:rsidRPr="002B416D">
        <w:rPr>
          <w:rStyle w:val="FootnoteReference"/>
          <w:rFonts w:ascii="Calibri" w:hAnsi="Calibri" w:cs="Calibri"/>
          <w:sz w:val="20"/>
          <w:szCs w:val="20"/>
        </w:rPr>
        <w:footnoteReference w:id="6"/>
      </w:r>
      <w:r w:rsidR="00B10F49">
        <w:rPr>
          <w:rFonts w:ascii="Calibri" w:hAnsi="Calibri" w:cs="Calibri"/>
          <w:sz w:val="20"/>
          <w:szCs w:val="20"/>
        </w:rPr>
        <w:t xml:space="preserve"> </w:t>
      </w:r>
    </w:p>
    <w:p w14:paraId="323D9185" w14:textId="77777777" w:rsidR="007F0A51" w:rsidRPr="002B416D" w:rsidRDefault="007F0A51" w:rsidP="00E27CE7">
      <w:pPr>
        <w:autoSpaceDE w:val="0"/>
        <w:autoSpaceDN w:val="0"/>
        <w:adjustRightInd w:val="0"/>
        <w:spacing w:after="120" w:line="276" w:lineRule="auto"/>
        <w:contextualSpacing/>
        <w:jc w:val="both"/>
        <w:rPr>
          <w:rFonts w:ascii="Calibri" w:hAnsi="Calibri" w:cs="Calibri"/>
          <w:sz w:val="20"/>
          <w:szCs w:val="20"/>
        </w:rPr>
      </w:pPr>
    </w:p>
    <w:p w14:paraId="7F046D5C" w14:textId="6F256E2F" w:rsidR="009104E4" w:rsidRPr="002B416D" w:rsidRDefault="0054726F" w:rsidP="00E27CE7">
      <w:pPr>
        <w:autoSpaceDE w:val="0"/>
        <w:autoSpaceDN w:val="0"/>
        <w:adjustRightInd w:val="0"/>
        <w:spacing w:after="120" w:line="276" w:lineRule="auto"/>
        <w:contextualSpacing/>
        <w:jc w:val="both"/>
        <w:rPr>
          <w:rFonts w:ascii="Calibri" w:hAnsi="Calibri" w:cs="Calibri"/>
          <w:i/>
          <w:sz w:val="20"/>
          <w:szCs w:val="20"/>
        </w:rPr>
      </w:pPr>
      <w:r w:rsidRPr="002B416D">
        <w:rPr>
          <w:rFonts w:ascii="Calibri" w:hAnsi="Calibri" w:cs="Calibri"/>
          <w:sz w:val="20"/>
          <w:szCs w:val="20"/>
        </w:rPr>
        <w:t>This</w:t>
      </w:r>
      <w:r w:rsidR="001B45E3">
        <w:rPr>
          <w:rFonts w:ascii="Calibri" w:hAnsi="Calibri" w:cs="Calibri"/>
          <w:sz w:val="20"/>
          <w:szCs w:val="20"/>
        </w:rPr>
        <w:t xml:space="preserve"> failure </w:t>
      </w:r>
      <w:r w:rsidR="00B10F49">
        <w:rPr>
          <w:rFonts w:ascii="Calibri" w:hAnsi="Calibri" w:cs="Calibri"/>
          <w:sz w:val="20"/>
          <w:szCs w:val="20"/>
        </w:rPr>
        <w:t>to adopt and implement adequate harm reduction strategies</w:t>
      </w:r>
      <w:r w:rsidRPr="002B416D">
        <w:rPr>
          <w:rFonts w:ascii="Calibri" w:hAnsi="Calibri" w:cs="Calibri"/>
          <w:sz w:val="20"/>
          <w:szCs w:val="20"/>
        </w:rPr>
        <w:t xml:space="preserve"> is in tension with human rights obligation</w:t>
      </w:r>
      <w:r w:rsidR="00BC05EE" w:rsidRPr="002B416D">
        <w:rPr>
          <w:rFonts w:ascii="Calibri" w:hAnsi="Calibri" w:cs="Calibri"/>
          <w:sz w:val="20"/>
          <w:szCs w:val="20"/>
        </w:rPr>
        <w:t>s</w:t>
      </w:r>
      <w:r w:rsidR="00C1226E" w:rsidRPr="002B416D">
        <w:rPr>
          <w:rFonts w:ascii="Calibri" w:hAnsi="Calibri" w:cs="Calibri"/>
          <w:sz w:val="20"/>
          <w:szCs w:val="20"/>
        </w:rPr>
        <w:t xml:space="preserve"> that</w:t>
      </w:r>
      <w:r w:rsidRPr="002B416D">
        <w:rPr>
          <w:rFonts w:ascii="Calibri" w:hAnsi="Calibri" w:cs="Calibri"/>
          <w:sz w:val="20"/>
          <w:szCs w:val="20"/>
        </w:rPr>
        <w:t xml:space="preserve"> </w:t>
      </w:r>
      <w:r w:rsidR="00AC63C3" w:rsidRPr="002B416D">
        <w:rPr>
          <w:rFonts w:ascii="Calibri" w:hAnsi="Calibri" w:cs="Calibri"/>
          <w:sz w:val="20"/>
          <w:szCs w:val="20"/>
        </w:rPr>
        <w:t>require</w:t>
      </w:r>
      <w:r w:rsidR="00BC05EE" w:rsidRPr="002B416D">
        <w:rPr>
          <w:rFonts w:ascii="Calibri" w:hAnsi="Calibri" w:cs="Calibri"/>
          <w:sz w:val="20"/>
          <w:szCs w:val="20"/>
        </w:rPr>
        <w:t xml:space="preserve"> states</w:t>
      </w:r>
      <w:r w:rsidR="00AC63C3" w:rsidRPr="002B416D">
        <w:rPr>
          <w:rFonts w:ascii="Calibri" w:hAnsi="Calibri" w:cs="Calibri"/>
          <w:sz w:val="20"/>
          <w:szCs w:val="20"/>
        </w:rPr>
        <w:t xml:space="preserve"> that ratified</w:t>
      </w:r>
      <w:r w:rsidR="00BC05EE" w:rsidRPr="002B416D">
        <w:rPr>
          <w:rFonts w:ascii="Calibri" w:hAnsi="Calibri" w:cs="Calibri"/>
          <w:sz w:val="20"/>
          <w:szCs w:val="20"/>
        </w:rPr>
        <w:t xml:space="preserve"> the I</w:t>
      </w:r>
      <w:r w:rsidR="002E4F15" w:rsidRPr="002B416D">
        <w:rPr>
          <w:rFonts w:ascii="Calibri" w:hAnsi="Calibri" w:cs="Calibri"/>
          <w:sz w:val="20"/>
          <w:szCs w:val="20"/>
        </w:rPr>
        <w:t>nternational</w:t>
      </w:r>
      <w:r w:rsidR="00BC05EE" w:rsidRPr="002B416D">
        <w:rPr>
          <w:rFonts w:ascii="Calibri" w:hAnsi="Calibri" w:cs="Calibri"/>
          <w:sz w:val="20"/>
          <w:szCs w:val="20"/>
        </w:rPr>
        <w:t xml:space="preserve"> C</w:t>
      </w:r>
      <w:r w:rsidR="002E4F15" w:rsidRPr="002B416D">
        <w:rPr>
          <w:rFonts w:ascii="Calibri" w:hAnsi="Calibri" w:cs="Calibri"/>
          <w:sz w:val="20"/>
          <w:szCs w:val="20"/>
        </w:rPr>
        <w:t>ovenant on Economic, Social and Cultural</w:t>
      </w:r>
      <w:r w:rsidR="009C41DD" w:rsidRPr="002B416D">
        <w:rPr>
          <w:rFonts w:ascii="Calibri" w:hAnsi="Calibri" w:cs="Calibri"/>
          <w:sz w:val="20"/>
          <w:szCs w:val="20"/>
        </w:rPr>
        <w:t xml:space="preserve"> </w:t>
      </w:r>
      <w:r w:rsidR="002E4F15" w:rsidRPr="002B416D">
        <w:rPr>
          <w:rFonts w:ascii="Calibri" w:hAnsi="Calibri" w:cs="Calibri"/>
          <w:sz w:val="20"/>
          <w:szCs w:val="20"/>
        </w:rPr>
        <w:t>Rights</w:t>
      </w:r>
      <w:r w:rsidR="00392394" w:rsidRPr="002B416D">
        <w:rPr>
          <w:rFonts w:ascii="Calibri" w:hAnsi="Calibri" w:cs="Calibri"/>
          <w:sz w:val="20"/>
          <w:szCs w:val="20"/>
        </w:rPr>
        <w:t xml:space="preserve"> (ICESCR)</w:t>
      </w:r>
      <w:r w:rsidR="00392394" w:rsidRPr="002B416D">
        <w:rPr>
          <w:rStyle w:val="FootnoteReference"/>
          <w:rFonts w:ascii="Calibri" w:hAnsi="Calibri" w:cs="Calibri"/>
          <w:sz w:val="20"/>
          <w:szCs w:val="20"/>
        </w:rPr>
        <w:footnoteReference w:id="7"/>
      </w:r>
      <w:r w:rsidR="00BC05EE" w:rsidRPr="002B416D">
        <w:rPr>
          <w:rFonts w:ascii="Calibri" w:hAnsi="Calibri" w:cs="Calibri"/>
          <w:sz w:val="20"/>
          <w:szCs w:val="20"/>
        </w:rPr>
        <w:t xml:space="preserve"> </w:t>
      </w:r>
      <w:r w:rsidRPr="002B416D">
        <w:rPr>
          <w:rFonts w:ascii="Calibri" w:hAnsi="Calibri" w:cs="Calibri"/>
          <w:sz w:val="20"/>
          <w:szCs w:val="20"/>
        </w:rPr>
        <w:t xml:space="preserve">to </w:t>
      </w:r>
      <w:r w:rsidR="009104E4" w:rsidRPr="002B416D">
        <w:rPr>
          <w:rFonts w:ascii="Calibri" w:hAnsi="Calibri" w:cs="Calibri"/>
          <w:sz w:val="20"/>
          <w:szCs w:val="20"/>
        </w:rPr>
        <w:t>progressively realize the right to the health</w:t>
      </w:r>
      <w:r w:rsidR="002E4F15" w:rsidRPr="002B416D">
        <w:rPr>
          <w:rFonts w:ascii="Calibri" w:hAnsi="Calibri" w:cs="Calibri"/>
          <w:sz w:val="20"/>
          <w:szCs w:val="20"/>
        </w:rPr>
        <w:t xml:space="preserve">, substantially restricting </w:t>
      </w:r>
      <w:r w:rsidR="009104E4" w:rsidRPr="002B416D">
        <w:rPr>
          <w:rFonts w:ascii="Calibri" w:hAnsi="Calibri" w:cs="Calibri"/>
          <w:sz w:val="20"/>
          <w:szCs w:val="20"/>
        </w:rPr>
        <w:t xml:space="preserve">their </w:t>
      </w:r>
      <w:r w:rsidR="00BC05EE" w:rsidRPr="002B416D">
        <w:rPr>
          <w:rFonts w:ascii="Calibri" w:hAnsi="Calibri" w:cs="Calibri"/>
          <w:sz w:val="20"/>
          <w:szCs w:val="20"/>
        </w:rPr>
        <w:t>discretion</w:t>
      </w:r>
      <w:r w:rsidRPr="002B416D">
        <w:rPr>
          <w:rFonts w:ascii="Calibri" w:hAnsi="Calibri" w:cs="Calibri"/>
          <w:sz w:val="20"/>
          <w:szCs w:val="20"/>
        </w:rPr>
        <w:t xml:space="preserve"> to adopt retrogressive measures</w:t>
      </w:r>
      <w:r w:rsidR="00C1226E" w:rsidRPr="002B416D">
        <w:rPr>
          <w:rFonts w:ascii="Calibri" w:hAnsi="Calibri" w:cs="Calibri"/>
          <w:sz w:val="20"/>
          <w:szCs w:val="20"/>
        </w:rPr>
        <w:t>;</w:t>
      </w:r>
      <w:r w:rsidRPr="002B416D">
        <w:rPr>
          <w:rStyle w:val="FootnoteReference"/>
          <w:rFonts w:ascii="Calibri" w:hAnsi="Calibri" w:cs="Calibri"/>
          <w:sz w:val="20"/>
          <w:szCs w:val="20"/>
        </w:rPr>
        <w:footnoteReference w:id="8"/>
      </w:r>
      <w:r w:rsidR="009104E4" w:rsidRPr="002B416D">
        <w:rPr>
          <w:rFonts w:ascii="Calibri" w:hAnsi="Calibri" w:cs="Calibri"/>
          <w:sz w:val="20"/>
          <w:szCs w:val="20"/>
        </w:rPr>
        <w:t xml:space="preserve"> </w:t>
      </w:r>
      <w:r w:rsidR="00C1226E" w:rsidRPr="002B416D">
        <w:rPr>
          <w:rFonts w:ascii="Calibri" w:hAnsi="Calibri" w:cs="Calibri"/>
          <w:sz w:val="20"/>
          <w:szCs w:val="20"/>
        </w:rPr>
        <w:t>while at the same time</w:t>
      </w:r>
      <w:r w:rsidR="00BC05EE" w:rsidRPr="002B416D">
        <w:rPr>
          <w:rFonts w:ascii="Calibri" w:hAnsi="Calibri" w:cs="Calibri"/>
          <w:sz w:val="20"/>
          <w:szCs w:val="20"/>
        </w:rPr>
        <w:t xml:space="preserve"> also jeopardizing</w:t>
      </w:r>
      <w:r w:rsidR="009104E4" w:rsidRPr="002B416D">
        <w:rPr>
          <w:rFonts w:ascii="Calibri" w:hAnsi="Calibri" w:cs="Calibri"/>
          <w:sz w:val="20"/>
          <w:szCs w:val="20"/>
        </w:rPr>
        <w:t xml:space="preserve"> the </w:t>
      </w:r>
      <w:r w:rsidR="00392394" w:rsidRPr="00AD79AE">
        <w:rPr>
          <w:rFonts w:ascii="Calibri" w:hAnsi="Calibri" w:cs="Calibri"/>
          <w:sz w:val="20"/>
          <w:szCs w:val="20"/>
        </w:rPr>
        <w:t>achievement</w:t>
      </w:r>
      <w:r w:rsidR="009104E4" w:rsidRPr="002B416D">
        <w:rPr>
          <w:rFonts w:ascii="Calibri" w:hAnsi="Calibri" w:cs="Calibri"/>
          <w:sz w:val="20"/>
          <w:szCs w:val="20"/>
        </w:rPr>
        <w:t xml:space="preserve"> </w:t>
      </w:r>
      <w:r w:rsidR="00BC05EE" w:rsidRPr="002B416D">
        <w:rPr>
          <w:rFonts w:ascii="Calibri" w:hAnsi="Calibri" w:cs="Calibri"/>
          <w:sz w:val="20"/>
          <w:szCs w:val="20"/>
        </w:rPr>
        <w:t xml:space="preserve">of Sustainable Development </w:t>
      </w:r>
      <w:r w:rsidR="00AD79AE">
        <w:rPr>
          <w:rFonts w:ascii="Calibri" w:hAnsi="Calibri" w:cs="Calibri"/>
          <w:sz w:val="20"/>
          <w:szCs w:val="20"/>
        </w:rPr>
        <w:t>Goal</w:t>
      </w:r>
      <w:r w:rsidR="00BC05EE" w:rsidRPr="00687438">
        <w:rPr>
          <w:rFonts w:ascii="Calibri" w:hAnsi="Calibri" w:cs="Calibri"/>
          <w:sz w:val="20"/>
          <w:szCs w:val="20"/>
        </w:rPr>
        <w:t xml:space="preserve"> </w:t>
      </w:r>
      <w:r w:rsidR="007D281A" w:rsidRPr="00687438">
        <w:rPr>
          <w:rFonts w:ascii="Calibri" w:hAnsi="Calibri" w:cs="Calibri"/>
          <w:sz w:val="20"/>
          <w:szCs w:val="20"/>
        </w:rPr>
        <w:t>3</w:t>
      </w:r>
      <w:r w:rsidR="00F57E01" w:rsidRPr="00687438">
        <w:rPr>
          <w:rFonts w:ascii="Calibri" w:hAnsi="Calibri" w:cs="Calibri"/>
          <w:sz w:val="20"/>
          <w:szCs w:val="20"/>
        </w:rPr>
        <w:t xml:space="preserve"> </w:t>
      </w:r>
      <w:r w:rsidR="00687438">
        <w:rPr>
          <w:rFonts w:ascii="Calibri" w:hAnsi="Calibri" w:cs="Calibri"/>
          <w:sz w:val="20"/>
          <w:szCs w:val="20"/>
        </w:rPr>
        <w:t>(‘Go</w:t>
      </w:r>
      <w:r w:rsidR="00AD79AE">
        <w:rPr>
          <w:rFonts w:ascii="Calibri" w:hAnsi="Calibri" w:cs="Calibri"/>
          <w:sz w:val="20"/>
          <w:szCs w:val="20"/>
        </w:rPr>
        <w:t>o</w:t>
      </w:r>
      <w:r w:rsidR="00687438">
        <w:rPr>
          <w:rFonts w:ascii="Calibri" w:hAnsi="Calibri" w:cs="Calibri"/>
          <w:sz w:val="20"/>
          <w:szCs w:val="20"/>
        </w:rPr>
        <w:t>d health and wellbeing’)</w:t>
      </w:r>
      <w:r w:rsidR="00F57E01" w:rsidRPr="00687438">
        <w:rPr>
          <w:rFonts w:ascii="Calibri" w:hAnsi="Calibri" w:cs="Calibri"/>
          <w:sz w:val="20"/>
          <w:szCs w:val="20"/>
        </w:rPr>
        <w:t>.</w:t>
      </w:r>
      <w:r w:rsidR="00F57E01" w:rsidRPr="002B416D">
        <w:rPr>
          <w:rFonts w:ascii="Calibri" w:hAnsi="Calibri" w:cs="Calibri"/>
          <w:sz w:val="20"/>
          <w:szCs w:val="20"/>
        </w:rPr>
        <w:t xml:space="preserve"> </w:t>
      </w:r>
      <w:r w:rsidR="007D281A" w:rsidRPr="002B416D">
        <w:rPr>
          <w:rFonts w:ascii="Calibri" w:hAnsi="Calibri" w:cs="Calibri"/>
          <w:sz w:val="20"/>
          <w:szCs w:val="20"/>
        </w:rPr>
        <w:t xml:space="preserve"> </w:t>
      </w:r>
    </w:p>
    <w:p w14:paraId="67E45EA7" w14:textId="77777777" w:rsidR="00023EAB" w:rsidRPr="002B416D" w:rsidRDefault="00023EAB" w:rsidP="00E27CE7">
      <w:pPr>
        <w:autoSpaceDE w:val="0"/>
        <w:autoSpaceDN w:val="0"/>
        <w:adjustRightInd w:val="0"/>
        <w:spacing w:after="120" w:line="276" w:lineRule="auto"/>
        <w:contextualSpacing/>
        <w:jc w:val="both"/>
        <w:rPr>
          <w:rFonts w:ascii="Calibri" w:hAnsi="Calibri" w:cs="Calibri"/>
          <w:sz w:val="20"/>
          <w:szCs w:val="20"/>
        </w:rPr>
      </w:pPr>
    </w:p>
    <w:p w14:paraId="65C7F008" w14:textId="5E93C234" w:rsidR="00611C65" w:rsidRDefault="00D376E7" w:rsidP="00E27CE7">
      <w:pPr>
        <w:autoSpaceDE w:val="0"/>
        <w:autoSpaceDN w:val="0"/>
        <w:adjustRightInd w:val="0"/>
        <w:spacing w:after="120" w:line="276" w:lineRule="auto"/>
        <w:contextualSpacing/>
        <w:jc w:val="both"/>
        <w:rPr>
          <w:rFonts w:ascii="Calibri" w:hAnsi="Calibri" w:cs="Calibri"/>
          <w:sz w:val="20"/>
          <w:szCs w:val="20"/>
        </w:rPr>
      </w:pPr>
      <w:r>
        <w:rPr>
          <w:rFonts w:ascii="Calibri" w:hAnsi="Calibri" w:cs="Calibri"/>
          <w:sz w:val="20"/>
          <w:szCs w:val="20"/>
        </w:rPr>
        <w:t>There ha</w:t>
      </w:r>
      <w:r w:rsidR="005D25D7">
        <w:rPr>
          <w:rFonts w:ascii="Calibri" w:hAnsi="Calibri" w:cs="Calibri"/>
          <w:sz w:val="20"/>
          <w:szCs w:val="20"/>
        </w:rPr>
        <w:t>ve</w:t>
      </w:r>
      <w:r>
        <w:rPr>
          <w:rFonts w:ascii="Calibri" w:hAnsi="Calibri" w:cs="Calibri"/>
          <w:sz w:val="20"/>
          <w:szCs w:val="20"/>
        </w:rPr>
        <w:t xml:space="preserve"> been pockets of progress in scaling up responses to the </w:t>
      </w:r>
      <w:r w:rsidRPr="002B416D">
        <w:rPr>
          <w:rFonts w:ascii="Calibri" w:hAnsi="Calibri" w:cs="Calibri"/>
          <w:sz w:val="20"/>
          <w:szCs w:val="20"/>
        </w:rPr>
        <w:t>prevention and treatment of overdose</w:t>
      </w:r>
      <w:r>
        <w:rPr>
          <w:rFonts w:ascii="Calibri" w:hAnsi="Calibri" w:cs="Calibri"/>
          <w:sz w:val="20"/>
          <w:szCs w:val="20"/>
        </w:rPr>
        <w:t xml:space="preserve">. One </w:t>
      </w:r>
      <w:r w:rsidR="009C3B8B">
        <w:rPr>
          <w:rFonts w:ascii="Calibri" w:hAnsi="Calibri" w:cs="Calibri"/>
          <w:sz w:val="20"/>
          <w:szCs w:val="20"/>
        </w:rPr>
        <w:t xml:space="preserve">key example is </w:t>
      </w:r>
      <w:r w:rsidR="00E72499">
        <w:rPr>
          <w:rFonts w:ascii="Calibri" w:hAnsi="Calibri" w:cs="Calibri"/>
          <w:sz w:val="20"/>
          <w:szCs w:val="20"/>
        </w:rPr>
        <w:t xml:space="preserve">the introduction of </w:t>
      </w:r>
      <w:r w:rsidR="00611C65" w:rsidRPr="002B416D">
        <w:rPr>
          <w:rFonts w:ascii="Calibri" w:hAnsi="Calibri" w:cs="Calibri"/>
          <w:sz w:val="20"/>
          <w:szCs w:val="20"/>
        </w:rPr>
        <w:t xml:space="preserve">new </w:t>
      </w:r>
      <w:r w:rsidR="00BC05EE" w:rsidRPr="002B416D">
        <w:rPr>
          <w:rFonts w:ascii="Calibri" w:hAnsi="Calibri" w:cs="Calibri"/>
          <w:sz w:val="20"/>
          <w:szCs w:val="20"/>
        </w:rPr>
        <w:t>Supervised Injection Facilities (also known as Drug Consumption Rooms)</w:t>
      </w:r>
      <w:r w:rsidR="00611C65" w:rsidRPr="002B416D">
        <w:rPr>
          <w:rFonts w:ascii="Calibri" w:hAnsi="Calibri" w:cs="Calibri"/>
          <w:sz w:val="20"/>
          <w:szCs w:val="20"/>
        </w:rPr>
        <w:t xml:space="preserve"> – key to the prevention and treatment of overdose</w:t>
      </w:r>
      <w:r w:rsidR="00BC05EE" w:rsidRPr="002B416D">
        <w:rPr>
          <w:rFonts w:ascii="Calibri" w:hAnsi="Calibri" w:cs="Calibri"/>
          <w:sz w:val="20"/>
          <w:szCs w:val="20"/>
        </w:rPr>
        <w:t xml:space="preserve">, with authorities expressing their support for this </w:t>
      </w:r>
      <w:r w:rsidR="007D281A" w:rsidRPr="002B416D">
        <w:rPr>
          <w:rFonts w:ascii="Calibri" w:hAnsi="Calibri" w:cs="Calibri"/>
          <w:sz w:val="20"/>
          <w:szCs w:val="20"/>
        </w:rPr>
        <w:t xml:space="preserve">interventions </w:t>
      </w:r>
      <w:r w:rsidR="00BC05EE" w:rsidRPr="002B416D">
        <w:rPr>
          <w:rFonts w:ascii="Calibri" w:hAnsi="Calibri" w:cs="Calibri"/>
          <w:sz w:val="20"/>
          <w:szCs w:val="20"/>
        </w:rPr>
        <w:t xml:space="preserve">in a </w:t>
      </w:r>
      <w:r w:rsidR="003B20BD" w:rsidRPr="002B416D">
        <w:rPr>
          <w:rFonts w:ascii="Calibri" w:hAnsi="Calibri" w:cs="Calibri"/>
          <w:sz w:val="20"/>
          <w:szCs w:val="20"/>
        </w:rPr>
        <w:t>growing</w:t>
      </w:r>
      <w:r w:rsidR="00BC05EE" w:rsidRPr="002B416D">
        <w:rPr>
          <w:rFonts w:ascii="Calibri" w:hAnsi="Calibri" w:cs="Calibri"/>
          <w:sz w:val="20"/>
          <w:szCs w:val="20"/>
        </w:rPr>
        <w:t xml:space="preserve"> number of countries</w:t>
      </w:r>
      <w:r w:rsidR="00392394" w:rsidRPr="002B416D">
        <w:rPr>
          <w:rFonts w:ascii="Calibri" w:hAnsi="Calibri" w:cs="Calibri"/>
          <w:sz w:val="20"/>
          <w:szCs w:val="20"/>
        </w:rPr>
        <w:t>.</w:t>
      </w:r>
      <w:r w:rsidR="00BC05EE" w:rsidRPr="002B416D">
        <w:rPr>
          <w:rStyle w:val="FootnoteReference"/>
          <w:rFonts w:ascii="Calibri" w:hAnsi="Calibri" w:cs="Calibri"/>
          <w:sz w:val="20"/>
          <w:szCs w:val="20"/>
        </w:rPr>
        <w:footnoteReference w:id="9"/>
      </w:r>
      <w:r w:rsidR="00BC05EE" w:rsidRPr="002B416D">
        <w:rPr>
          <w:rFonts w:ascii="Calibri" w:hAnsi="Calibri" w:cs="Calibri"/>
          <w:sz w:val="20"/>
          <w:szCs w:val="20"/>
        </w:rPr>
        <w:t xml:space="preserve"> </w:t>
      </w:r>
      <w:r w:rsidR="00611C65" w:rsidRPr="002B416D">
        <w:rPr>
          <w:rFonts w:ascii="Calibri" w:hAnsi="Calibri" w:cs="Calibri"/>
          <w:sz w:val="20"/>
          <w:szCs w:val="20"/>
        </w:rPr>
        <w:t>B</w:t>
      </w:r>
      <w:r w:rsidR="007D281A" w:rsidRPr="002B416D">
        <w:rPr>
          <w:rFonts w:ascii="Calibri" w:hAnsi="Calibri" w:cs="Calibri"/>
          <w:sz w:val="20"/>
          <w:szCs w:val="20"/>
        </w:rPr>
        <w:t>y 2017</w:t>
      </w:r>
      <w:r w:rsidR="00F57E01" w:rsidRPr="002B416D">
        <w:rPr>
          <w:rFonts w:ascii="Calibri" w:hAnsi="Calibri" w:cs="Calibri"/>
          <w:sz w:val="20"/>
          <w:szCs w:val="20"/>
        </w:rPr>
        <w:t xml:space="preserve">, </w:t>
      </w:r>
      <w:r w:rsidR="00023EAB" w:rsidRPr="002B416D">
        <w:rPr>
          <w:rFonts w:ascii="Calibri" w:hAnsi="Calibri" w:cs="Calibri"/>
          <w:sz w:val="20"/>
          <w:szCs w:val="20"/>
        </w:rPr>
        <w:t>ten countries were operating</w:t>
      </w:r>
      <w:r w:rsidR="00BC05EE" w:rsidRPr="002B416D">
        <w:rPr>
          <w:rFonts w:ascii="Calibri" w:hAnsi="Calibri" w:cs="Calibri"/>
          <w:sz w:val="20"/>
          <w:szCs w:val="20"/>
        </w:rPr>
        <w:t xml:space="preserve"> these facilities,</w:t>
      </w:r>
      <w:r w:rsidR="00023EAB" w:rsidRPr="002B416D">
        <w:rPr>
          <w:rFonts w:ascii="Calibri" w:hAnsi="Calibri" w:cs="Calibri"/>
          <w:sz w:val="20"/>
          <w:szCs w:val="20"/>
        </w:rPr>
        <w:t xml:space="preserve"> </w:t>
      </w:r>
      <w:r w:rsidR="00392394" w:rsidRPr="00EC5E8F">
        <w:rPr>
          <w:rFonts w:ascii="Calibri" w:hAnsi="Calibri" w:cs="Calibri"/>
          <w:sz w:val="20"/>
          <w:szCs w:val="20"/>
        </w:rPr>
        <w:t>although none of them</w:t>
      </w:r>
      <w:r w:rsidR="00392394" w:rsidRPr="002B416D">
        <w:rPr>
          <w:rFonts w:ascii="Calibri" w:hAnsi="Calibri" w:cs="Calibri"/>
          <w:sz w:val="20"/>
          <w:szCs w:val="20"/>
        </w:rPr>
        <w:t xml:space="preserve"> </w:t>
      </w:r>
      <w:r w:rsidR="00023EAB" w:rsidRPr="002B416D">
        <w:rPr>
          <w:rFonts w:ascii="Calibri" w:hAnsi="Calibri" w:cs="Calibri"/>
          <w:sz w:val="20"/>
          <w:szCs w:val="20"/>
        </w:rPr>
        <w:t>in Africa, Asia, Central and Latin America</w:t>
      </w:r>
      <w:r w:rsidR="00F57E01" w:rsidRPr="002B416D">
        <w:rPr>
          <w:rFonts w:ascii="Calibri" w:hAnsi="Calibri" w:cs="Calibri"/>
          <w:sz w:val="20"/>
          <w:szCs w:val="20"/>
        </w:rPr>
        <w:t>.</w:t>
      </w:r>
      <w:r w:rsidR="001C4F28" w:rsidRPr="002B416D">
        <w:rPr>
          <w:rStyle w:val="FootnoteReference"/>
          <w:rFonts w:ascii="Calibri" w:hAnsi="Calibri" w:cs="Calibri"/>
          <w:sz w:val="20"/>
          <w:szCs w:val="20"/>
        </w:rPr>
        <w:footnoteReference w:id="10"/>
      </w:r>
    </w:p>
    <w:p w14:paraId="1445BB75" w14:textId="77777777" w:rsidR="00B10F49" w:rsidRPr="002B416D" w:rsidRDefault="00B10F49" w:rsidP="00E27CE7">
      <w:pPr>
        <w:autoSpaceDE w:val="0"/>
        <w:autoSpaceDN w:val="0"/>
        <w:adjustRightInd w:val="0"/>
        <w:spacing w:after="120" w:line="276" w:lineRule="auto"/>
        <w:contextualSpacing/>
        <w:jc w:val="both"/>
        <w:rPr>
          <w:rFonts w:ascii="Calibri" w:hAnsi="Calibri" w:cs="Calibri"/>
          <w:sz w:val="20"/>
          <w:szCs w:val="20"/>
        </w:rPr>
      </w:pPr>
    </w:p>
    <w:p w14:paraId="425061C3" w14:textId="770A59ED" w:rsidR="00432F0F" w:rsidRPr="002B416D" w:rsidRDefault="00BC05EE"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 xml:space="preserve">A spike in overdose deaths </w:t>
      </w:r>
      <w:r w:rsidR="00D67989">
        <w:rPr>
          <w:rFonts w:ascii="Calibri" w:hAnsi="Calibri" w:cs="Calibri"/>
          <w:sz w:val="20"/>
          <w:szCs w:val="20"/>
        </w:rPr>
        <w:t xml:space="preserve">in North America, and to a lesser extent the United Kingdom, </w:t>
      </w:r>
      <w:r w:rsidR="00AC63C3" w:rsidRPr="002B416D">
        <w:rPr>
          <w:rFonts w:ascii="Calibri" w:hAnsi="Calibri" w:cs="Calibri"/>
          <w:sz w:val="20"/>
          <w:szCs w:val="20"/>
        </w:rPr>
        <w:t>prompted the</w:t>
      </w:r>
      <w:r w:rsidRPr="002B416D">
        <w:rPr>
          <w:rFonts w:ascii="Calibri" w:hAnsi="Calibri" w:cs="Calibri"/>
          <w:sz w:val="20"/>
          <w:szCs w:val="20"/>
        </w:rPr>
        <w:t xml:space="preserve"> </w:t>
      </w:r>
      <w:r w:rsidR="00AC63C3" w:rsidRPr="002B416D">
        <w:rPr>
          <w:rFonts w:ascii="Calibri" w:hAnsi="Calibri" w:cs="Calibri"/>
          <w:sz w:val="20"/>
          <w:szCs w:val="20"/>
        </w:rPr>
        <w:t>implementation of</w:t>
      </w:r>
      <w:r w:rsidRPr="002B416D">
        <w:rPr>
          <w:rFonts w:ascii="Calibri" w:hAnsi="Calibri" w:cs="Calibri"/>
          <w:sz w:val="20"/>
          <w:szCs w:val="20"/>
        </w:rPr>
        <w:t xml:space="preserve"> </w:t>
      </w:r>
      <w:r w:rsidR="009C3B8B">
        <w:rPr>
          <w:rFonts w:ascii="Calibri" w:hAnsi="Calibri" w:cs="Calibri"/>
          <w:sz w:val="20"/>
          <w:szCs w:val="20"/>
        </w:rPr>
        <w:t xml:space="preserve">naloxone </w:t>
      </w:r>
      <w:r w:rsidRPr="002B416D">
        <w:rPr>
          <w:rFonts w:ascii="Calibri" w:hAnsi="Calibri" w:cs="Calibri"/>
          <w:sz w:val="20"/>
          <w:szCs w:val="20"/>
        </w:rPr>
        <w:t xml:space="preserve">overdose prevention programmes, both </w:t>
      </w:r>
      <w:r w:rsidR="001B45E3">
        <w:rPr>
          <w:rFonts w:ascii="Calibri" w:hAnsi="Calibri" w:cs="Calibri"/>
          <w:sz w:val="20"/>
          <w:szCs w:val="20"/>
        </w:rPr>
        <w:t>for</w:t>
      </w:r>
      <w:r w:rsidR="001C4F28" w:rsidRPr="002B416D">
        <w:rPr>
          <w:rFonts w:ascii="Calibri" w:hAnsi="Calibri" w:cs="Calibri"/>
          <w:sz w:val="20"/>
          <w:szCs w:val="20"/>
        </w:rPr>
        <w:t xml:space="preserve"> </w:t>
      </w:r>
      <w:r w:rsidR="00D67989">
        <w:rPr>
          <w:rFonts w:ascii="Calibri" w:hAnsi="Calibri" w:cs="Calibri"/>
          <w:sz w:val="20"/>
          <w:szCs w:val="20"/>
        </w:rPr>
        <w:t xml:space="preserve">the general population and </w:t>
      </w:r>
      <w:r w:rsidR="009C3B8B">
        <w:rPr>
          <w:rFonts w:ascii="Calibri" w:hAnsi="Calibri" w:cs="Calibri"/>
          <w:sz w:val="20"/>
          <w:szCs w:val="20"/>
        </w:rPr>
        <w:t>for</w:t>
      </w:r>
      <w:r w:rsidRPr="002B416D">
        <w:rPr>
          <w:rFonts w:ascii="Calibri" w:hAnsi="Calibri" w:cs="Calibri"/>
          <w:sz w:val="20"/>
          <w:szCs w:val="20"/>
        </w:rPr>
        <w:t xml:space="preserve"> individuals in detention</w:t>
      </w:r>
      <w:r w:rsidRPr="002B416D">
        <w:rPr>
          <w:rFonts w:ascii="Calibri" w:hAnsi="Calibri" w:cs="Calibri"/>
          <w:i/>
          <w:sz w:val="20"/>
          <w:szCs w:val="20"/>
        </w:rPr>
        <w:t>.</w:t>
      </w:r>
      <w:r w:rsidRPr="002B416D">
        <w:rPr>
          <w:rStyle w:val="FootnoteReference"/>
          <w:rFonts w:ascii="Calibri" w:hAnsi="Calibri" w:cs="Calibri"/>
          <w:sz w:val="20"/>
          <w:szCs w:val="20"/>
        </w:rPr>
        <w:footnoteReference w:id="11"/>
      </w:r>
      <w:r w:rsidR="00740BF3" w:rsidRPr="002B416D">
        <w:rPr>
          <w:rFonts w:ascii="Calibri" w:hAnsi="Calibri" w:cs="Calibri"/>
          <w:sz w:val="20"/>
          <w:szCs w:val="20"/>
        </w:rPr>
        <w:t xml:space="preserve"> </w:t>
      </w:r>
      <w:r w:rsidR="00B10F49">
        <w:rPr>
          <w:rFonts w:ascii="Calibri" w:hAnsi="Calibri" w:cs="Calibri"/>
          <w:sz w:val="20"/>
          <w:szCs w:val="20"/>
        </w:rPr>
        <w:t>Evidence of b</w:t>
      </w:r>
      <w:r w:rsidR="00740BF3" w:rsidRPr="00AD69EE">
        <w:rPr>
          <w:rFonts w:ascii="Calibri" w:hAnsi="Calibri" w:cs="Calibri"/>
          <w:sz w:val="20"/>
          <w:szCs w:val="20"/>
        </w:rPr>
        <w:t xml:space="preserve">est practices can be </w:t>
      </w:r>
      <w:r w:rsidR="00B10F49">
        <w:rPr>
          <w:rFonts w:ascii="Calibri" w:hAnsi="Calibri" w:cs="Calibri"/>
          <w:sz w:val="20"/>
          <w:szCs w:val="20"/>
        </w:rPr>
        <w:t>seen</w:t>
      </w:r>
      <w:r w:rsidR="00740BF3" w:rsidRPr="00AD69EE">
        <w:rPr>
          <w:rFonts w:ascii="Calibri" w:hAnsi="Calibri" w:cs="Calibri"/>
          <w:i/>
          <w:sz w:val="20"/>
          <w:szCs w:val="20"/>
        </w:rPr>
        <w:t xml:space="preserve"> </w:t>
      </w:r>
      <w:r w:rsidR="00740BF3" w:rsidRPr="00AD69EE">
        <w:rPr>
          <w:rFonts w:ascii="Calibri" w:hAnsi="Calibri" w:cs="Calibri"/>
          <w:sz w:val="20"/>
          <w:szCs w:val="20"/>
        </w:rPr>
        <w:t>in Australia</w:t>
      </w:r>
      <w:r w:rsidR="00392394" w:rsidRPr="00781962">
        <w:rPr>
          <w:rStyle w:val="FootnoteReference"/>
          <w:rFonts w:ascii="Calibri" w:hAnsi="Calibri" w:cs="Calibri"/>
          <w:sz w:val="20"/>
          <w:szCs w:val="20"/>
        </w:rPr>
        <w:footnoteReference w:id="12"/>
      </w:r>
      <w:r w:rsidR="001B45E3">
        <w:rPr>
          <w:rFonts w:ascii="Calibri" w:hAnsi="Calibri" w:cs="Calibri"/>
          <w:sz w:val="20"/>
          <w:szCs w:val="20"/>
        </w:rPr>
        <w:t xml:space="preserve"> and</w:t>
      </w:r>
      <w:r w:rsidR="005D25D7">
        <w:rPr>
          <w:rFonts w:ascii="Calibri" w:hAnsi="Calibri" w:cs="Calibri"/>
          <w:sz w:val="20"/>
          <w:szCs w:val="20"/>
        </w:rPr>
        <w:t xml:space="preserve"> Scotland; here, a</w:t>
      </w:r>
      <w:r w:rsidR="00740BF3" w:rsidRPr="00AD69EE">
        <w:rPr>
          <w:rFonts w:ascii="Calibri" w:hAnsi="Calibri" w:cs="Calibri"/>
          <w:sz w:val="20"/>
          <w:szCs w:val="20"/>
        </w:rPr>
        <w:t xml:space="preserve"> National Naloxone Programme is being implemented envisaging the distribution of take-home kits from community outlets and prisons.</w:t>
      </w:r>
      <w:r w:rsidR="00392394" w:rsidRPr="00AD69EE">
        <w:rPr>
          <w:rStyle w:val="FootnoteReference"/>
          <w:rFonts w:ascii="Calibri" w:hAnsi="Calibri" w:cs="Calibri"/>
          <w:sz w:val="20"/>
          <w:szCs w:val="20"/>
        </w:rPr>
        <w:footnoteReference w:id="13"/>
      </w:r>
      <w:r w:rsidR="000D3D1D" w:rsidRPr="00AD69EE">
        <w:rPr>
          <w:rFonts w:ascii="Calibri" w:hAnsi="Calibri" w:cs="Calibri"/>
          <w:sz w:val="20"/>
          <w:szCs w:val="20"/>
        </w:rPr>
        <w:t xml:space="preserve"> A similar </w:t>
      </w:r>
      <w:r w:rsidR="00EC5E8F">
        <w:rPr>
          <w:rFonts w:ascii="Calibri" w:hAnsi="Calibri" w:cs="Calibri"/>
          <w:sz w:val="20"/>
          <w:szCs w:val="20"/>
        </w:rPr>
        <w:t>initiative</w:t>
      </w:r>
      <w:r w:rsidR="000D3D1D" w:rsidRPr="00AD69EE">
        <w:rPr>
          <w:rFonts w:ascii="Calibri" w:hAnsi="Calibri" w:cs="Calibri"/>
          <w:sz w:val="20"/>
          <w:szCs w:val="20"/>
        </w:rPr>
        <w:t xml:space="preserve"> has been rolled out in the state of New York</w:t>
      </w:r>
      <w:r w:rsidR="001B45E3">
        <w:rPr>
          <w:rFonts w:ascii="Calibri" w:hAnsi="Calibri" w:cs="Calibri"/>
          <w:sz w:val="20"/>
          <w:szCs w:val="20"/>
        </w:rPr>
        <w:t xml:space="preserve"> (USA)</w:t>
      </w:r>
      <w:r w:rsidR="000D3D1D" w:rsidRPr="00AD69EE">
        <w:rPr>
          <w:rFonts w:ascii="Calibri" w:hAnsi="Calibri" w:cs="Calibri"/>
          <w:sz w:val="20"/>
          <w:szCs w:val="20"/>
        </w:rPr>
        <w:t xml:space="preserve">, </w:t>
      </w:r>
      <w:r w:rsidR="00AD69EE" w:rsidRPr="00AD69EE">
        <w:rPr>
          <w:rFonts w:ascii="Calibri" w:hAnsi="Calibri" w:cs="Calibri"/>
          <w:sz w:val="20"/>
          <w:szCs w:val="20"/>
        </w:rPr>
        <w:t>and has been found to be “releva</w:t>
      </w:r>
      <w:r w:rsidR="001B45E3">
        <w:rPr>
          <w:rFonts w:ascii="Calibri" w:hAnsi="Calibri" w:cs="Calibri"/>
          <w:sz w:val="20"/>
          <w:szCs w:val="20"/>
        </w:rPr>
        <w:t>nt end empowering.”</w:t>
      </w:r>
      <w:r w:rsidR="00AD69EE" w:rsidRPr="00AD69EE">
        <w:rPr>
          <w:rStyle w:val="FootnoteReference"/>
          <w:rFonts w:ascii="Calibri" w:hAnsi="Calibri" w:cs="Calibri"/>
          <w:sz w:val="20"/>
          <w:szCs w:val="20"/>
        </w:rPr>
        <w:footnoteReference w:id="14"/>
      </w:r>
      <w:r w:rsidR="00AD69EE" w:rsidRPr="00AD69EE">
        <w:rPr>
          <w:rFonts w:ascii="Calibri" w:hAnsi="Calibri" w:cs="Calibri"/>
          <w:sz w:val="20"/>
          <w:szCs w:val="20"/>
        </w:rPr>
        <w:t xml:space="preserve"> </w:t>
      </w:r>
      <w:r w:rsidR="000D3D1D" w:rsidRPr="00AD69EE">
        <w:rPr>
          <w:rFonts w:ascii="Calibri" w:hAnsi="Calibri" w:cs="Calibri"/>
          <w:sz w:val="20"/>
          <w:szCs w:val="20"/>
        </w:rPr>
        <w:t xml:space="preserve"> </w:t>
      </w:r>
      <w:r w:rsidR="00F3445E" w:rsidRPr="00AD69EE">
        <w:rPr>
          <w:rFonts w:ascii="Calibri" w:hAnsi="Calibri" w:cs="Calibri"/>
          <w:sz w:val="20"/>
          <w:szCs w:val="20"/>
        </w:rPr>
        <w:t xml:space="preserve">However, overall </w:t>
      </w:r>
      <w:r w:rsidR="00F3445E" w:rsidRPr="00EC5E8F">
        <w:rPr>
          <w:rFonts w:ascii="Calibri" w:hAnsi="Calibri" w:cs="Calibri"/>
          <w:sz w:val="20"/>
          <w:szCs w:val="20"/>
        </w:rPr>
        <w:t>availability</w:t>
      </w:r>
      <w:r w:rsidR="00F3445E" w:rsidRPr="00AD69EE">
        <w:rPr>
          <w:rFonts w:ascii="Calibri" w:hAnsi="Calibri" w:cs="Calibri"/>
          <w:i/>
          <w:sz w:val="20"/>
          <w:szCs w:val="20"/>
        </w:rPr>
        <w:t xml:space="preserve"> </w:t>
      </w:r>
      <w:r w:rsidR="00F3445E" w:rsidRPr="00AD69EE">
        <w:rPr>
          <w:rFonts w:ascii="Calibri" w:hAnsi="Calibri" w:cs="Calibri"/>
          <w:sz w:val="20"/>
          <w:szCs w:val="20"/>
        </w:rPr>
        <w:t xml:space="preserve">of naloxone worldwide is still insufficient, with some </w:t>
      </w:r>
      <w:r w:rsidR="00F3445E" w:rsidRPr="00AD69EE">
        <w:rPr>
          <w:rFonts w:ascii="Calibri" w:hAnsi="Calibri" w:cs="Calibri"/>
          <w:sz w:val="20"/>
          <w:szCs w:val="20"/>
        </w:rPr>
        <w:lastRenderedPageBreak/>
        <w:t>countries – such as South Africa – currently experiencing a stock-out of this essential opioid antagonist.</w:t>
      </w:r>
      <w:r w:rsidR="00F3445E" w:rsidRPr="00AD69EE">
        <w:rPr>
          <w:rStyle w:val="FootnoteReference"/>
          <w:rFonts w:ascii="Calibri" w:hAnsi="Calibri" w:cs="Calibri"/>
          <w:sz w:val="20"/>
          <w:szCs w:val="20"/>
        </w:rPr>
        <w:footnoteReference w:id="15"/>
      </w:r>
    </w:p>
    <w:p w14:paraId="7D0E97D3" w14:textId="77777777" w:rsidR="00393042" w:rsidRPr="002B416D" w:rsidRDefault="00393042" w:rsidP="00E27CE7">
      <w:pPr>
        <w:autoSpaceDE w:val="0"/>
        <w:autoSpaceDN w:val="0"/>
        <w:adjustRightInd w:val="0"/>
        <w:spacing w:after="120" w:line="276" w:lineRule="auto"/>
        <w:contextualSpacing/>
        <w:jc w:val="both"/>
        <w:rPr>
          <w:rFonts w:ascii="Calibri" w:hAnsi="Calibri" w:cs="Calibri"/>
          <w:sz w:val="20"/>
          <w:szCs w:val="20"/>
        </w:rPr>
      </w:pPr>
    </w:p>
    <w:p w14:paraId="33E36780" w14:textId="6AC5C0DB" w:rsidR="001C4F28" w:rsidRPr="00D8453C" w:rsidRDefault="001C4F28" w:rsidP="00E27CE7">
      <w:pPr>
        <w:autoSpaceDE w:val="0"/>
        <w:autoSpaceDN w:val="0"/>
        <w:adjustRightInd w:val="0"/>
        <w:spacing w:after="120" w:line="276" w:lineRule="auto"/>
        <w:contextualSpacing/>
        <w:jc w:val="both"/>
        <w:rPr>
          <w:rFonts w:asciiTheme="majorHAnsi" w:hAnsiTheme="majorHAnsi" w:cstheme="majorHAnsi"/>
          <w:i/>
          <w:sz w:val="20"/>
          <w:szCs w:val="20"/>
        </w:rPr>
      </w:pPr>
      <w:r w:rsidRPr="00D8453C">
        <w:rPr>
          <w:rFonts w:asciiTheme="majorHAnsi" w:hAnsiTheme="majorHAnsi" w:cstheme="majorHAnsi"/>
          <w:i/>
          <w:sz w:val="20"/>
          <w:szCs w:val="20"/>
        </w:rPr>
        <w:t>Accessibility, affordability and quality of harm reduction interventions</w:t>
      </w:r>
    </w:p>
    <w:p w14:paraId="36065811" w14:textId="2DF05376" w:rsidR="003C52F4" w:rsidRPr="002B416D" w:rsidRDefault="00392394" w:rsidP="00E27CE7">
      <w:pPr>
        <w:pStyle w:val="BodyText"/>
        <w:spacing w:line="276" w:lineRule="auto"/>
        <w:contextualSpacing/>
        <w:jc w:val="both"/>
        <w:rPr>
          <w:rFonts w:ascii="Calibri" w:hAnsi="Calibri" w:cs="Calibri"/>
          <w:sz w:val="20"/>
          <w:szCs w:val="20"/>
        </w:rPr>
      </w:pPr>
      <w:r w:rsidRPr="002B416D">
        <w:rPr>
          <w:rFonts w:ascii="Calibri" w:hAnsi="Calibri" w:cs="Calibri"/>
          <w:sz w:val="20"/>
          <w:szCs w:val="20"/>
        </w:rPr>
        <w:t>States that ratified ICESCR</w:t>
      </w:r>
      <w:r w:rsidR="00AC63C3" w:rsidRPr="002B416D">
        <w:rPr>
          <w:rFonts w:ascii="Calibri" w:hAnsi="Calibri" w:cs="Calibri"/>
          <w:sz w:val="20"/>
          <w:szCs w:val="20"/>
        </w:rPr>
        <w:t xml:space="preserve"> have an obligation to take steps to progressively realize the right to health to the maximum of their available resources,</w:t>
      </w:r>
      <w:r w:rsidR="00AC63C3" w:rsidRPr="002B416D">
        <w:rPr>
          <w:rStyle w:val="FootnoteReference"/>
          <w:rFonts w:ascii="Calibri" w:hAnsi="Calibri" w:cs="Calibri"/>
          <w:sz w:val="20"/>
          <w:szCs w:val="20"/>
        </w:rPr>
        <w:footnoteReference w:id="16"/>
      </w:r>
      <w:r w:rsidR="00AC63C3" w:rsidRPr="002B416D">
        <w:rPr>
          <w:rFonts w:ascii="Calibri" w:hAnsi="Calibri" w:cs="Calibri"/>
          <w:sz w:val="20"/>
          <w:szCs w:val="20"/>
        </w:rPr>
        <w:t xml:space="preserve"> including through international cooperation. Additionally, core components of the right to health </w:t>
      </w:r>
      <w:r w:rsidR="003C52F4" w:rsidRPr="002B416D">
        <w:rPr>
          <w:rFonts w:ascii="Calibri" w:hAnsi="Calibri" w:cs="Calibri"/>
          <w:sz w:val="20"/>
          <w:szCs w:val="20"/>
        </w:rPr>
        <w:t>are</w:t>
      </w:r>
      <w:r w:rsidR="00AC63C3" w:rsidRPr="002B416D">
        <w:rPr>
          <w:rFonts w:ascii="Calibri" w:hAnsi="Calibri" w:cs="Calibri"/>
          <w:sz w:val="20"/>
          <w:szCs w:val="20"/>
        </w:rPr>
        <w:t xml:space="preserve"> the </w:t>
      </w:r>
      <w:r w:rsidR="001C4F28" w:rsidRPr="002B416D">
        <w:rPr>
          <w:rFonts w:ascii="Calibri" w:hAnsi="Calibri" w:cs="Calibri"/>
          <w:sz w:val="20"/>
          <w:szCs w:val="20"/>
        </w:rPr>
        <w:t xml:space="preserve">accessibility, </w:t>
      </w:r>
      <w:r w:rsidR="00AC63C3" w:rsidRPr="002B416D">
        <w:rPr>
          <w:rFonts w:ascii="Calibri" w:hAnsi="Calibri" w:cs="Calibri"/>
          <w:sz w:val="20"/>
          <w:szCs w:val="20"/>
        </w:rPr>
        <w:t>affordability, and quality of health goods and services</w:t>
      </w:r>
      <w:r w:rsidRPr="002B416D">
        <w:rPr>
          <w:rFonts w:ascii="Calibri" w:hAnsi="Calibri" w:cs="Calibri"/>
          <w:sz w:val="20"/>
          <w:szCs w:val="20"/>
        </w:rPr>
        <w:t>.</w:t>
      </w:r>
      <w:r w:rsidR="003C52F4" w:rsidRPr="002B416D">
        <w:rPr>
          <w:rStyle w:val="FootnoteReference"/>
          <w:rFonts w:ascii="Calibri" w:hAnsi="Calibri" w:cs="Calibri"/>
          <w:sz w:val="20"/>
          <w:szCs w:val="20"/>
        </w:rPr>
        <w:footnoteReference w:id="17"/>
      </w:r>
      <w:r w:rsidR="00AC63C3" w:rsidRPr="002B416D">
        <w:rPr>
          <w:rFonts w:ascii="Calibri" w:hAnsi="Calibri" w:cs="Calibri"/>
          <w:sz w:val="20"/>
          <w:szCs w:val="20"/>
        </w:rPr>
        <w:t xml:space="preserve"> Despite this, recent research by Harm Reduction International, focused on the European Union, revealed a concerning </w:t>
      </w:r>
      <w:r w:rsidR="00EC5E8F">
        <w:rPr>
          <w:rFonts w:ascii="Calibri" w:hAnsi="Calibri" w:cs="Calibri"/>
          <w:sz w:val="20"/>
          <w:szCs w:val="20"/>
        </w:rPr>
        <w:t>decline</w:t>
      </w:r>
      <w:r w:rsidR="00AC63C3" w:rsidRPr="002B416D">
        <w:rPr>
          <w:rFonts w:ascii="Calibri" w:hAnsi="Calibri" w:cs="Calibri"/>
          <w:sz w:val="20"/>
          <w:szCs w:val="20"/>
        </w:rPr>
        <w:t xml:space="preserve"> in the funding of harm reduction services by the part of both governments and internatio</w:t>
      </w:r>
      <w:r w:rsidR="003C52F4" w:rsidRPr="002B416D">
        <w:rPr>
          <w:rFonts w:ascii="Calibri" w:hAnsi="Calibri" w:cs="Calibri"/>
          <w:sz w:val="20"/>
          <w:szCs w:val="20"/>
        </w:rPr>
        <w:t>nal donors,</w:t>
      </w:r>
      <w:r w:rsidR="00AC63C3" w:rsidRPr="002B416D">
        <w:rPr>
          <w:rStyle w:val="FootnoteReference"/>
          <w:rFonts w:ascii="Calibri" w:hAnsi="Calibri" w:cs="Calibri"/>
          <w:sz w:val="20"/>
          <w:szCs w:val="20"/>
        </w:rPr>
        <w:footnoteReference w:id="18"/>
      </w:r>
      <w:r w:rsidR="00F3445E" w:rsidRPr="002B416D">
        <w:rPr>
          <w:rFonts w:ascii="Calibri" w:hAnsi="Calibri" w:cs="Calibri"/>
          <w:sz w:val="20"/>
          <w:szCs w:val="20"/>
        </w:rPr>
        <w:t xml:space="preserve"> with a detrimental impact</w:t>
      </w:r>
      <w:r w:rsidR="003C52F4" w:rsidRPr="002B416D">
        <w:rPr>
          <w:rFonts w:ascii="Calibri" w:hAnsi="Calibri" w:cs="Calibri"/>
          <w:sz w:val="20"/>
          <w:szCs w:val="20"/>
        </w:rPr>
        <w:t xml:space="preserve"> on </w:t>
      </w:r>
      <w:r w:rsidR="002C35C9">
        <w:rPr>
          <w:rFonts w:ascii="Calibri" w:hAnsi="Calibri" w:cs="Calibri"/>
          <w:sz w:val="20"/>
          <w:szCs w:val="20"/>
        </w:rPr>
        <w:t>i</w:t>
      </w:r>
      <w:r w:rsidR="003C52F4" w:rsidRPr="002B416D">
        <w:rPr>
          <w:rFonts w:ascii="Calibri" w:hAnsi="Calibri" w:cs="Calibri"/>
          <w:sz w:val="20"/>
          <w:szCs w:val="20"/>
        </w:rPr>
        <w:t xml:space="preserve">ndividual </w:t>
      </w:r>
      <w:r w:rsidR="001C4F28" w:rsidRPr="002B416D">
        <w:rPr>
          <w:rFonts w:ascii="Calibri" w:hAnsi="Calibri" w:cs="Calibri"/>
          <w:sz w:val="20"/>
          <w:szCs w:val="20"/>
        </w:rPr>
        <w:t>as well as</w:t>
      </w:r>
      <w:r w:rsidR="003C52F4" w:rsidRPr="002B416D">
        <w:rPr>
          <w:rFonts w:ascii="Calibri" w:hAnsi="Calibri" w:cs="Calibri"/>
          <w:sz w:val="20"/>
          <w:szCs w:val="20"/>
        </w:rPr>
        <w:t xml:space="preserve"> public health.</w:t>
      </w:r>
      <w:r w:rsidR="003C52F4" w:rsidRPr="002B416D">
        <w:rPr>
          <w:rStyle w:val="FootnoteReference"/>
          <w:rFonts w:ascii="Calibri" w:hAnsi="Calibri" w:cs="Calibri"/>
          <w:sz w:val="20"/>
          <w:szCs w:val="20"/>
        </w:rPr>
        <w:footnoteReference w:id="19"/>
      </w:r>
    </w:p>
    <w:p w14:paraId="71B4AFCC" w14:textId="65311C32" w:rsidR="00F3445E" w:rsidRPr="002B416D" w:rsidRDefault="00393042"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From the ob</w:t>
      </w:r>
      <w:r w:rsidR="00B10F49">
        <w:rPr>
          <w:rFonts w:ascii="Calibri" w:hAnsi="Calibri" w:cs="Calibri"/>
          <w:sz w:val="20"/>
          <w:szCs w:val="20"/>
        </w:rPr>
        <w:t>ligation to progressively realis</w:t>
      </w:r>
      <w:r w:rsidRPr="002B416D">
        <w:rPr>
          <w:rFonts w:ascii="Calibri" w:hAnsi="Calibri" w:cs="Calibri"/>
          <w:sz w:val="20"/>
          <w:szCs w:val="20"/>
        </w:rPr>
        <w:t xml:space="preserve">e fundamental rights </w:t>
      </w:r>
      <w:r w:rsidR="00392394" w:rsidRPr="00EC5E8F">
        <w:rPr>
          <w:rFonts w:ascii="Calibri" w:hAnsi="Calibri" w:cs="Calibri"/>
          <w:sz w:val="20"/>
          <w:szCs w:val="20"/>
        </w:rPr>
        <w:t>to</w:t>
      </w:r>
      <w:r w:rsidR="00EC5E8F">
        <w:rPr>
          <w:rFonts w:ascii="Calibri" w:hAnsi="Calibri" w:cs="Calibri"/>
          <w:sz w:val="20"/>
          <w:szCs w:val="20"/>
        </w:rPr>
        <w:t xml:space="preserve"> the maximum of</w:t>
      </w:r>
      <w:r w:rsidRPr="002B416D">
        <w:rPr>
          <w:rFonts w:ascii="Calibri" w:hAnsi="Calibri" w:cs="Calibri"/>
          <w:sz w:val="20"/>
          <w:szCs w:val="20"/>
        </w:rPr>
        <w:t xml:space="preserve"> available resources</w:t>
      </w:r>
      <w:r w:rsidR="002A376D">
        <w:rPr>
          <w:rFonts w:ascii="Calibri" w:hAnsi="Calibri" w:cs="Calibri"/>
          <w:sz w:val="20"/>
          <w:szCs w:val="20"/>
        </w:rPr>
        <w:t>, is the obligation that</w:t>
      </w:r>
      <w:r w:rsidRPr="002B416D">
        <w:rPr>
          <w:rFonts w:ascii="Calibri" w:hAnsi="Calibri" w:cs="Calibri"/>
          <w:sz w:val="20"/>
          <w:szCs w:val="20"/>
        </w:rPr>
        <w:t xml:space="preserve"> states al</w:t>
      </w:r>
      <w:r w:rsidR="00392394" w:rsidRPr="002B416D">
        <w:rPr>
          <w:rFonts w:ascii="Calibri" w:hAnsi="Calibri" w:cs="Calibri"/>
          <w:sz w:val="20"/>
          <w:szCs w:val="20"/>
        </w:rPr>
        <w:t>locate their budget effectively</w:t>
      </w:r>
      <w:r w:rsidR="00F3445E" w:rsidRPr="002B416D">
        <w:rPr>
          <w:rFonts w:ascii="Calibri" w:hAnsi="Calibri" w:cs="Calibri"/>
          <w:sz w:val="20"/>
          <w:szCs w:val="20"/>
        </w:rPr>
        <w:t>.</w:t>
      </w:r>
      <w:r w:rsidR="00BA6A3C" w:rsidRPr="002B416D">
        <w:rPr>
          <w:rFonts w:ascii="Calibri" w:hAnsi="Calibri" w:cs="Calibri"/>
          <w:sz w:val="20"/>
          <w:szCs w:val="20"/>
        </w:rPr>
        <w:t xml:space="preserve"> Notwithstanding</w:t>
      </w:r>
      <w:r w:rsidR="00B56E4B">
        <w:rPr>
          <w:rFonts w:ascii="Calibri" w:hAnsi="Calibri" w:cs="Calibri"/>
          <w:sz w:val="20"/>
          <w:szCs w:val="20"/>
        </w:rPr>
        <w:t xml:space="preserve"> this</w:t>
      </w:r>
      <w:r w:rsidR="00BA6A3C" w:rsidRPr="002B416D">
        <w:rPr>
          <w:rFonts w:ascii="Calibri" w:hAnsi="Calibri" w:cs="Calibri"/>
          <w:sz w:val="20"/>
          <w:szCs w:val="20"/>
        </w:rPr>
        <w:t xml:space="preserve">, human rights mechanisms have observed how drug policies too </w:t>
      </w:r>
      <w:r w:rsidR="00BA6A3C" w:rsidRPr="002A376D">
        <w:rPr>
          <w:rFonts w:ascii="Calibri" w:hAnsi="Calibri" w:cs="Calibri"/>
          <w:sz w:val="20"/>
          <w:szCs w:val="20"/>
        </w:rPr>
        <w:t>often detract essential resources from the public health</w:t>
      </w:r>
      <w:r w:rsidR="00BA6A3C" w:rsidRPr="002B416D">
        <w:rPr>
          <w:rFonts w:ascii="Calibri" w:hAnsi="Calibri" w:cs="Calibri"/>
          <w:sz w:val="20"/>
          <w:szCs w:val="20"/>
        </w:rPr>
        <w:t xml:space="preserve"> sector.</w:t>
      </w:r>
      <w:r w:rsidR="00BA6A3C" w:rsidRPr="002B416D">
        <w:rPr>
          <w:rStyle w:val="FootnoteReference"/>
          <w:rFonts w:ascii="Calibri" w:hAnsi="Calibri" w:cs="Calibri"/>
          <w:sz w:val="20"/>
          <w:szCs w:val="20"/>
        </w:rPr>
        <w:footnoteReference w:id="20"/>
      </w:r>
      <w:r w:rsidRPr="002B416D">
        <w:rPr>
          <w:rFonts w:ascii="Calibri" w:hAnsi="Calibri" w:cs="Calibri"/>
          <w:sz w:val="20"/>
          <w:szCs w:val="20"/>
        </w:rPr>
        <w:t xml:space="preserve"> </w:t>
      </w:r>
    </w:p>
    <w:p w14:paraId="3FBCA2F6" w14:textId="77777777" w:rsidR="00F3445E" w:rsidRPr="002B416D" w:rsidRDefault="00F3445E" w:rsidP="00E27CE7">
      <w:pPr>
        <w:autoSpaceDE w:val="0"/>
        <w:autoSpaceDN w:val="0"/>
        <w:adjustRightInd w:val="0"/>
        <w:spacing w:after="120" w:line="276" w:lineRule="auto"/>
        <w:contextualSpacing/>
        <w:jc w:val="both"/>
        <w:rPr>
          <w:rFonts w:ascii="Calibri" w:hAnsi="Calibri" w:cs="Calibri"/>
          <w:sz w:val="20"/>
          <w:szCs w:val="20"/>
        </w:rPr>
      </w:pPr>
    </w:p>
    <w:p w14:paraId="78D6C6FA" w14:textId="2397C4EB" w:rsidR="003C52F4" w:rsidRPr="002B416D" w:rsidRDefault="00304BD4" w:rsidP="001B45E3">
      <w:pPr>
        <w:pStyle w:val="Title"/>
        <w:jc w:val="both"/>
      </w:pPr>
      <w:r w:rsidRPr="002B416D">
        <w:rPr>
          <w:color w:val="000000" w:themeColor="text1"/>
        </w:rPr>
        <w:t xml:space="preserve">Implementation of commitments related to </w:t>
      </w:r>
      <w:r w:rsidR="00BA6A3C" w:rsidRPr="002B416D">
        <w:rPr>
          <w:color w:val="000000" w:themeColor="text1"/>
        </w:rPr>
        <w:t xml:space="preserve">States’ obligation to ensure non-discriminatory access </w:t>
      </w:r>
      <w:r w:rsidR="00BA6A3C" w:rsidRPr="002B416D">
        <w:t xml:space="preserve">to health, care and social services in prevention, primary care and treatment programmes, including in </w:t>
      </w:r>
      <w:r w:rsidR="001B45E3">
        <w:t>d</w:t>
      </w:r>
      <w:r w:rsidR="00BA6A3C" w:rsidRPr="002B416D">
        <w:t>etention</w:t>
      </w:r>
      <w:r w:rsidRPr="002B416D">
        <w:rPr>
          <w:color w:val="000000" w:themeColor="text1"/>
        </w:rPr>
        <w:t xml:space="preserve"> </w:t>
      </w:r>
      <w:r w:rsidR="001B45E3">
        <w:rPr>
          <w:color w:val="000000" w:themeColor="text1"/>
        </w:rPr>
        <w:t xml:space="preserve">settings </w:t>
      </w:r>
      <w:r w:rsidR="00BA6A3C" w:rsidRPr="002B416D">
        <w:t>(Paragraph</w:t>
      </w:r>
      <w:r w:rsidR="009C41DD" w:rsidRPr="002B416D">
        <w:t>s</w:t>
      </w:r>
      <w:r w:rsidR="00BA6A3C" w:rsidRPr="002B416D">
        <w:t xml:space="preserve"> 4 (b)</w:t>
      </w:r>
      <w:r w:rsidR="009C41DD" w:rsidRPr="002B416D">
        <w:t xml:space="preserve"> and (m)</w:t>
      </w:r>
      <w:r w:rsidR="00BA6A3C" w:rsidRPr="002B416D">
        <w:t xml:space="preserve">), to prevent acts of cruel, inhuman or degrading </w:t>
      </w:r>
      <w:r w:rsidR="009C41DD" w:rsidRPr="002B416D">
        <w:t>treatment</w:t>
      </w:r>
      <w:r w:rsidR="00BA6A3C" w:rsidRPr="002B416D">
        <w:t xml:space="preserve"> (Paragraph 4 (c)) and to mainstream a gender perspective (Paragraph</w:t>
      </w:r>
      <w:r w:rsidR="009C41DD" w:rsidRPr="002B416D">
        <w:t>s</w:t>
      </w:r>
      <w:r w:rsidR="00BA6A3C" w:rsidRPr="002B416D">
        <w:t xml:space="preserve"> 4</w:t>
      </w:r>
      <w:r w:rsidR="00EC5E8F">
        <w:t xml:space="preserve"> </w:t>
      </w:r>
      <w:r w:rsidR="00BA6A3C" w:rsidRPr="002B416D">
        <w:t>(g)</w:t>
      </w:r>
      <w:r w:rsidR="009C41DD" w:rsidRPr="002B416D">
        <w:t xml:space="preserve"> and (n)</w:t>
      </w:r>
      <w:r w:rsidR="00BA6A3C" w:rsidRPr="002B416D">
        <w:t>)</w:t>
      </w:r>
    </w:p>
    <w:p w14:paraId="5CE98643" w14:textId="2A2254D4" w:rsidR="009961A3" w:rsidRPr="002B416D" w:rsidRDefault="009961A3" w:rsidP="00E27CE7">
      <w:pPr>
        <w:autoSpaceDE w:val="0"/>
        <w:autoSpaceDN w:val="0"/>
        <w:adjustRightInd w:val="0"/>
        <w:spacing w:after="120" w:line="276" w:lineRule="auto"/>
        <w:contextualSpacing/>
        <w:jc w:val="both"/>
        <w:rPr>
          <w:rFonts w:ascii="Calibri" w:hAnsi="Calibri" w:cs="Calibri"/>
          <w:sz w:val="20"/>
          <w:szCs w:val="20"/>
        </w:rPr>
      </w:pPr>
    </w:p>
    <w:p w14:paraId="6EDCC384" w14:textId="6AC6C9B0" w:rsidR="00393042" w:rsidRPr="002B416D" w:rsidRDefault="003C52F4"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Non-discrimination is another core c</w:t>
      </w:r>
      <w:r w:rsidR="009C41DD" w:rsidRPr="002B416D">
        <w:rPr>
          <w:rFonts w:ascii="Calibri" w:hAnsi="Calibri" w:cs="Calibri"/>
          <w:sz w:val="20"/>
          <w:szCs w:val="20"/>
        </w:rPr>
        <w:t>omponent of the right to health.</w:t>
      </w:r>
      <w:r w:rsidR="008170FB" w:rsidRPr="002B416D">
        <w:rPr>
          <w:rStyle w:val="FootnoteReference"/>
          <w:rFonts w:ascii="Calibri" w:hAnsi="Calibri" w:cs="Calibri"/>
          <w:sz w:val="20"/>
          <w:szCs w:val="20"/>
        </w:rPr>
        <w:footnoteReference w:id="21"/>
      </w:r>
      <w:r w:rsidRPr="002B416D">
        <w:rPr>
          <w:rFonts w:ascii="Calibri" w:hAnsi="Calibri" w:cs="Calibri"/>
          <w:sz w:val="20"/>
          <w:szCs w:val="20"/>
        </w:rPr>
        <w:t xml:space="preserve"> </w:t>
      </w:r>
      <w:r w:rsidR="009C41DD" w:rsidRPr="002B416D">
        <w:rPr>
          <w:rFonts w:ascii="Calibri" w:hAnsi="Calibri" w:cs="Calibri"/>
          <w:sz w:val="20"/>
          <w:szCs w:val="20"/>
        </w:rPr>
        <w:t xml:space="preserve"> </w:t>
      </w:r>
      <w:r w:rsidRPr="002B416D">
        <w:rPr>
          <w:rFonts w:ascii="Calibri" w:hAnsi="Calibri" w:cs="Calibri"/>
          <w:sz w:val="20"/>
          <w:szCs w:val="20"/>
        </w:rPr>
        <w:t>However,</w:t>
      </w:r>
      <w:r w:rsidR="00A13FE4" w:rsidRPr="002B416D">
        <w:rPr>
          <w:rFonts w:ascii="Calibri" w:hAnsi="Calibri" w:cs="Calibri"/>
          <w:sz w:val="20"/>
          <w:szCs w:val="20"/>
        </w:rPr>
        <w:t xml:space="preserve"> people who use drugs continue to face significant </w:t>
      </w:r>
      <w:r w:rsidR="00CA5DEC" w:rsidRPr="002B416D">
        <w:rPr>
          <w:rFonts w:ascii="Calibri" w:hAnsi="Calibri" w:cs="Calibri"/>
          <w:sz w:val="20"/>
          <w:szCs w:val="20"/>
        </w:rPr>
        <w:t>obstacles</w:t>
      </w:r>
      <w:r w:rsidR="00A13FE4" w:rsidRPr="002B416D">
        <w:rPr>
          <w:rFonts w:ascii="Calibri" w:hAnsi="Calibri" w:cs="Calibri"/>
          <w:sz w:val="20"/>
          <w:szCs w:val="20"/>
        </w:rPr>
        <w:t xml:space="preserve"> in accessing health services, with certain categorie</w:t>
      </w:r>
      <w:r w:rsidR="00C1226E" w:rsidRPr="002B416D">
        <w:rPr>
          <w:rFonts w:ascii="Calibri" w:hAnsi="Calibri" w:cs="Calibri"/>
          <w:sz w:val="20"/>
          <w:szCs w:val="20"/>
        </w:rPr>
        <w:t xml:space="preserve">s experiencing </w:t>
      </w:r>
      <w:r w:rsidR="00EC5E8F">
        <w:rPr>
          <w:rFonts w:ascii="Calibri" w:hAnsi="Calibri" w:cs="Calibri"/>
          <w:sz w:val="20"/>
          <w:szCs w:val="20"/>
        </w:rPr>
        <w:t>a</w:t>
      </w:r>
      <w:r w:rsidR="009C41DD" w:rsidRPr="002B416D">
        <w:rPr>
          <w:rFonts w:ascii="Calibri" w:hAnsi="Calibri" w:cs="Calibri"/>
          <w:sz w:val="20"/>
          <w:szCs w:val="20"/>
        </w:rPr>
        <w:t xml:space="preserve"> particularly</w:t>
      </w:r>
      <w:r w:rsidR="00C1226E" w:rsidRPr="002B416D">
        <w:rPr>
          <w:rFonts w:ascii="Calibri" w:hAnsi="Calibri" w:cs="Calibri"/>
          <w:sz w:val="20"/>
          <w:szCs w:val="20"/>
        </w:rPr>
        <w:t xml:space="preserve"> acute</w:t>
      </w:r>
      <w:r w:rsidR="00A13FE4" w:rsidRPr="002B416D">
        <w:rPr>
          <w:rFonts w:ascii="Calibri" w:hAnsi="Calibri" w:cs="Calibri"/>
          <w:sz w:val="20"/>
          <w:szCs w:val="20"/>
        </w:rPr>
        <w:t xml:space="preserve"> level of discrimination</w:t>
      </w:r>
      <w:r w:rsidRPr="002B416D">
        <w:rPr>
          <w:rFonts w:ascii="Calibri" w:hAnsi="Calibri" w:cs="Calibri"/>
          <w:sz w:val="20"/>
          <w:szCs w:val="20"/>
        </w:rPr>
        <w:t>.</w:t>
      </w:r>
    </w:p>
    <w:p w14:paraId="26459C89" w14:textId="77777777" w:rsidR="003C52F4" w:rsidRPr="002B416D" w:rsidRDefault="003C52F4" w:rsidP="003E593C">
      <w:pPr>
        <w:autoSpaceDE w:val="0"/>
        <w:autoSpaceDN w:val="0"/>
        <w:adjustRightInd w:val="0"/>
        <w:spacing w:after="0" w:line="276" w:lineRule="auto"/>
        <w:contextualSpacing/>
        <w:jc w:val="both"/>
        <w:rPr>
          <w:rFonts w:ascii="Calibri" w:hAnsi="Calibri" w:cs="Calibri"/>
          <w:sz w:val="20"/>
          <w:szCs w:val="20"/>
        </w:rPr>
      </w:pPr>
    </w:p>
    <w:p w14:paraId="10514E1B" w14:textId="15ACAAC2" w:rsidR="007F3388" w:rsidRPr="00D8453C" w:rsidRDefault="00392394" w:rsidP="003E593C">
      <w:pPr>
        <w:autoSpaceDE w:val="0"/>
        <w:autoSpaceDN w:val="0"/>
        <w:adjustRightInd w:val="0"/>
        <w:spacing w:after="0" w:line="276" w:lineRule="auto"/>
        <w:contextualSpacing/>
        <w:jc w:val="both"/>
        <w:rPr>
          <w:rFonts w:asciiTheme="majorHAnsi" w:hAnsiTheme="majorHAnsi" w:cstheme="majorHAnsi"/>
          <w:i/>
          <w:sz w:val="20"/>
          <w:szCs w:val="20"/>
        </w:rPr>
      </w:pPr>
      <w:r w:rsidRPr="00D8453C">
        <w:rPr>
          <w:rFonts w:asciiTheme="majorHAnsi" w:hAnsiTheme="majorHAnsi" w:cstheme="majorHAnsi"/>
          <w:i/>
          <w:sz w:val="20"/>
          <w:szCs w:val="20"/>
        </w:rPr>
        <w:t>Gen</w:t>
      </w:r>
      <w:r w:rsidR="00965E34">
        <w:rPr>
          <w:rFonts w:asciiTheme="majorHAnsi" w:hAnsiTheme="majorHAnsi" w:cstheme="majorHAnsi"/>
          <w:i/>
          <w:sz w:val="20"/>
          <w:szCs w:val="20"/>
        </w:rPr>
        <w:t xml:space="preserve">der mainstreaming in the design, </w:t>
      </w:r>
      <w:r w:rsidRPr="00D8453C">
        <w:rPr>
          <w:rFonts w:asciiTheme="majorHAnsi" w:hAnsiTheme="majorHAnsi" w:cstheme="majorHAnsi"/>
          <w:i/>
          <w:sz w:val="20"/>
          <w:szCs w:val="20"/>
        </w:rPr>
        <w:t>implementation</w:t>
      </w:r>
      <w:r w:rsidR="00965E34">
        <w:rPr>
          <w:rFonts w:asciiTheme="majorHAnsi" w:hAnsiTheme="majorHAnsi" w:cstheme="majorHAnsi"/>
          <w:i/>
          <w:sz w:val="20"/>
          <w:szCs w:val="20"/>
        </w:rPr>
        <w:t>, and provision</w:t>
      </w:r>
      <w:r w:rsidRPr="00D8453C">
        <w:rPr>
          <w:rFonts w:asciiTheme="majorHAnsi" w:hAnsiTheme="majorHAnsi" w:cstheme="majorHAnsi"/>
          <w:i/>
          <w:sz w:val="20"/>
          <w:szCs w:val="20"/>
        </w:rPr>
        <w:t xml:space="preserve"> of health services</w:t>
      </w:r>
    </w:p>
    <w:p w14:paraId="6C1EAA71" w14:textId="77777777" w:rsidR="007F3388" w:rsidRPr="003E593C" w:rsidRDefault="007F3388" w:rsidP="00E27CE7">
      <w:pPr>
        <w:autoSpaceDE w:val="0"/>
        <w:autoSpaceDN w:val="0"/>
        <w:adjustRightInd w:val="0"/>
        <w:spacing w:after="120" w:line="276" w:lineRule="auto"/>
        <w:contextualSpacing/>
        <w:jc w:val="both"/>
        <w:rPr>
          <w:rFonts w:ascii="Calibri" w:hAnsi="Calibri" w:cs="Calibri"/>
          <w:sz w:val="20"/>
          <w:szCs w:val="20"/>
        </w:rPr>
      </w:pPr>
    </w:p>
    <w:p w14:paraId="5792F7BA" w14:textId="632DAA10" w:rsidR="00393042" w:rsidRPr="002B416D" w:rsidRDefault="001B45E3" w:rsidP="00E27CE7">
      <w:pPr>
        <w:autoSpaceDE w:val="0"/>
        <w:autoSpaceDN w:val="0"/>
        <w:adjustRightInd w:val="0"/>
        <w:spacing w:after="120" w:line="276" w:lineRule="auto"/>
        <w:contextualSpacing/>
        <w:jc w:val="both"/>
        <w:rPr>
          <w:rFonts w:ascii="Calibri" w:hAnsi="Calibri" w:cs="Calibri"/>
          <w:sz w:val="20"/>
          <w:szCs w:val="20"/>
        </w:rPr>
      </w:pPr>
      <w:r>
        <w:rPr>
          <w:rFonts w:ascii="Calibri" w:hAnsi="Calibri" w:cs="Calibri"/>
          <w:sz w:val="20"/>
          <w:szCs w:val="20"/>
        </w:rPr>
        <w:t xml:space="preserve">Women and girls </w:t>
      </w:r>
      <w:r w:rsidR="00EC5E8F">
        <w:rPr>
          <w:rFonts w:ascii="Calibri" w:hAnsi="Calibri" w:cs="Calibri"/>
          <w:sz w:val="20"/>
          <w:szCs w:val="20"/>
        </w:rPr>
        <w:t>confront</w:t>
      </w:r>
      <w:r w:rsidR="009C41DD" w:rsidRPr="002B416D">
        <w:rPr>
          <w:rFonts w:ascii="Calibri" w:hAnsi="Calibri" w:cs="Calibri"/>
          <w:sz w:val="20"/>
          <w:szCs w:val="20"/>
        </w:rPr>
        <w:t xml:space="preserve"> unique barriers in accessing treatment programmes tailored to their needs and experiences,</w:t>
      </w:r>
      <w:r w:rsidR="009C41DD" w:rsidRPr="002B416D">
        <w:rPr>
          <w:rStyle w:val="FootnoteReference"/>
          <w:rFonts w:ascii="Calibri" w:hAnsi="Calibri" w:cs="Calibri"/>
          <w:sz w:val="20"/>
          <w:szCs w:val="20"/>
        </w:rPr>
        <w:footnoteReference w:id="22"/>
      </w:r>
      <w:r w:rsidR="009C41DD" w:rsidRPr="002B416D">
        <w:rPr>
          <w:rFonts w:ascii="Calibri" w:hAnsi="Calibri" w:cs="Calibri"/>
          <w:sz w:val="20"/>
          <w:szCs w:val="20"/>
        </w:rPr>
        <w:t xml:space="preserve"> </w:t>
      </w:r>
      <w:r w:rsidR="004B6F49" w:rsidRPr="002B416D">
        <w:rPr>
          <w:rFonts w:ascii="Calibri" w:hAnsi="Calibri" w:cs="Calibri"/>
          <w:sz w:val="20"/>
          <w:szCs w:val="20"/>
        </w:rPr>
        <w:t xml:space="preserve">both in and out of prison, where harm reduction services are often either absent or designed </w:t>
      </w:r>
      <w:r w:rsidR="00EC5E8F">
        <w:rPr>
          <w:rFonts w:ascii="Calibri" w:hAnsi="Calibri" w:cs="Calibri"/>
          <w:sz w:val="20"/>
          <w:szCs w:val="20"/>
        </w:rPr>
        <w:lastRenderedPageBreak/>
        <w:t xml:space="preserve">primarily </w:t>
      </w:r>
      <w:r w:rsidR="004B6F49" w:rsidRPr="002B416D">
        <w:rPr>
          <w:rFonts w:ascii="Calibri" w:hAnsi="Calibri" w:cs="Calibri"/>
          <w:sz w:val="20"/>
          <w:szCs w:val="20"/>
        </w:rPr>
        <w:t xml:space="preserve">for male prisoners, </w:t>
      </w:r>
      <w:r w:rsidR="00EC5E8F">
        <w:rPr>
          <w:rFonts w:ascii="Calibri" w:hAnsi="Calibri" w:cs="Calibri"/>
          <w:sz w:val="20"/>
          <w:szCs w:val="20"/>
        </w:rPr>
        <w:t>while</w:t>
      </w:r>
      <w:r w:rsidR="004B6F49" w:rsidRPr="002B416D">
        <w:rPr>
          <w:rFonts w:ascii="Calibri" w:hAnsi="Calibri" w:cs="Calibri"/>
          <w:sz w:val="20"/>
          <w:szCs w:val="20"/>
        </w:rPr>
        <w:t xml:space="preserve"> appropriate mental health support is</w:t>
      </w:r>
      <w:r w:rsidR="00EC5E8F">
        <w:rPr>
          <w:rFonts w:ascii="Calibri" w:hAnsi="Calibri" w:cs="Calibri"/>
          <w:sz w:val="20"/>
          <w:szCs w:val="20"/>
        </w:rPr>
        <w:t xml:space="preserve"> </w:t>
      </w:r>
      <w:r>
        <w:rPr>
          <w:rFonts w:ascii="Calibri" w:hAnsi="Calibri" w:cs="Calibri"/>
          <w:sz w:val="20"/>
          <w:szCs w:val="20"/>
        </w:rPr>
        <w:t>too often</w:t>
      </w:r>
      <w:r w:rsidR="004B6F49" w:rsidRPr="002B416D">
        <w:rPr>
          <w:rFonts w:ascii="Calibri" w:hAnsi="Calibri" w:cs="Calibri"/>
          <w:sz w:val="20"/>
          <w:szCs w:val="20"/>
        </w:rPr>
        <w:t xml:space="preserve"> unavailable.</w:t>
      </w:r>
      <w:r w:rsidR="004B6F49" w:rsidRPr="002B416D">
        <w:rPr>
          <w:rStyle w:val="FootnoteReference"/>
          <w:rFonts w:ascii="Calibri" w:hAnsi="Calibri" w:cs="Calibri"/>
          <w:sz w:val="20"/>
          <w:szCs w:val="20"/>
        </w:rPr>
        <w:footnoteReference w:id="23"/>
      </w:r>
    </w:p>
    <w:p w14:paraId="3C36911C" w14:textId="77777777" w:rsidR="0005260F" w:rsidRPr="002B416D" w:rsidRDefault="0005260F" w:rsidP="00E27CE7">
      <w:pPr>
        <w:autoSpaceDE w:val="0"/>
        <w:autoSpaceDN w:val="0"/>
        <w:adjustRightInd w:val="0"/>
        <w:spacing w:after="120" w:line="276" w:lineRule="auto"/>
        <w:contextualSpacing/>
        <w:jc w:val="both"/>
        <w:rPr>
          <w:rFonts w:ascii="Calibri" w:hAnsi="Calibri" w:cs="Calibri"/>
          <w:sz w:val="20"/>
          <w:szCs w:val="20"/>
        </w:rPr>
      </w:pPr>
    </w:p>
    <w:p w14:paraId="1469A04A" w14:textId="53E161EC" w:rsidR="009D151B" w:rsidRPr="002B416D" w:rsidRDefault="003B20BD"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In addition, drug offences (especially minor</w:t>
      </w:r>
      <w:r w:rsidR="00C1226E" w:rsidRPr="002B416D">
        <w:rPr>
          <w:rFonts w:ascii="Calibri" w:hAnsi="Calibri" w:cs="Calibri"/>
          <w:sz w:val="20"/>
          <w:szCs w:val="20"/>
        </w:rPr>
        <w:t xml:space="preserve">, non-violent ones) </w:t>
      </w:r>
      <w:r w:rsidR="00B10F49">
        <w:rPr>
          <w:rFonts w:ascii="Calibri" w:hAnsi="Calibri" w:cs="Calibri"/>
          <w:sz w:val="20"/>
          <w:szCs w:val="20"/>
        </w:rPr>
        <w:t>are</w:t>
      </w:r>
      <w:r w:rsidRPr="002B416D">
        <w:rPr>
          <w:rFonts w:ascii="Calibri" w:hAnsi="Calibri" w:cs="Calibri"/>
          <w:sz w:val="20"/>
          <w:szCs w:val="20"/>
        </w:rPr>
        <w:t xml:space="preserve"> among the main drivers of the </w:t>
      </w:r>
      <w:r w:rsidR="00C1226E" w:rsidRPr="00EC5E8F">
        <w:rPr>
          <w:rFonts w:ascii="Calibri" w:hAnsi="Calibri" w:cs="Calibri"/>
          <w:sz w:val="20"/>
          <w:szCs w:val="20"/>
        </w:rPr>
        <w:t>surge</w:t>
      </w:r>
      <w:r w:rsidRPr="002B416D">
        <w:rPr>
          <w:rFonts w:ascii="Calibri" w:hAnsi="Calibri" w:cs="Calibri"/>
          <w:i/>
          <w:sz w:val="20"/>
          <w:szCs w:val="20"/>
        </w:rPr>
        <w:t xml:space="preserve"> </w:t>
      </w:r>
      <w:r w:rsidRPr="002B416D">
        <w:rPr>
          <w:rFonts w:ascii="Calibri" w:hAnsi="Calibri" w:cs="Calibri"/>
          <w:sz w:val="20"/>
          <w:szCs w:val="20"/>
        </w:rPr>
        <w:t xml:space="preserve">in the rates of incarceration of women </w:t>
      </w:r>
      <w:r w:rsidR="00EC5E8F" w:rsidRPr="002B416D">
        <w:rPr>
          <w:rFonts w:ascii="Calibri" w:hAnsi="Calibri" w:cs="Calibri"/>
          <w:sz w:val="20"/>
          <w:szCs w:val="20"/>
        </w:rPr>
        <w:t>around the globe</w:t>
      </w:r>
      <w:r w:rsidR="00EC5E8F" w:rsidRPr="002B416D">
        <w:rPr>
          <w:rStyle w:val="FootnoteReference"/>
          <w:rFonts w:ascii="Calibri" w:hAnsi="Calibri" w:cs="Calibri"/>
          <w:sz w:val="20"/>
          <w:szCs w:val="20"/>
        </w:rPr>
        <w:footnoteReference w:id="24"/>
      </w:r>
      <w:r w:rsidR="00EC5E8F" w:rsidRPr="002B416D">
        <w:rPr>
          <w:rFonts w:ascii="Calibri" w:hAnsi="Calibri" w:cs="Calibri"/>
          <w:sz w:val="20"/>
          <w:szCs w:val="20"/>
        </w:rPr>
        <w:t xml:space="preserve"> </w:t>
      </w:r>
      <w:r w:rsidR="009D151B" w:rsidRPr="002B416D">
        <w:rPr>
          <w:rFonts w:ascii="Calibri" w:hAnsi="Calibri" w:cs="Calibri"/>
          <w:sz w:val="20"/>
          <w:szCs w:val="20"/>
        </w:rPr>
        <w:t xml:space="preserve">– </w:t>
      </w:r>
      <w:r w:rsidR="00EC5E8F">
        <w:rPr>
          <w:rFonts w:ascii="Calibri" w:hAnsi="Calibri" w:cs="Calibri"/>
          <w:sz w:val="20"/>
          <w:szCs w:val="20"/>
        </w:rPr>
        <w:t>especially</w:t>
      </w:r>
      <w:r w:rsidR="009D151B" w:rsidRPr="002B416D">
        <w:rPr>
          <w:rFonts w:ascii="Calibri" w:hAnsi="Calibri" w:cs="Calibri"/>
          <w:sz w:val="20"/>
          <w:szCs w:val="20"/>
        </w:rPr>
        <w:t xml:space="preserve"> </w:t>
      </w:r>
      <w:r w:rsidR="006A4AF8" w:rsidRPr="002B416D">
        <w:rPr>
          <w:rFonts w:ascii="Calibri" w:hAnsi="Calibri" w:cs="Calibri"/>
          <w:sz w:val="20"/>
          <w:szCs w:val="20"/>
        </w:rPr>
        <w:t xml:space="preserve">women belonging to ethnic minorities </w:t>
      </w:r>
      <w:r w:rsidR="009D151B" w:rsidRPr="002B416D">
        <w:rPr>
          <w:rFonts w:ascii="Calibri" w:hAnsi="Calibri" w:cs="Calibri"/>
          <w:sz w:val="20"/>
          <w:szCs w:val="20"/>
        </w:rPr>
        <w:t>and indigenous women</w:t>
      </w:r>
      <w:r w:rsidR="00EC5E8F">
        <w:rPr>
          <w:rFonts w:ascii="Calibri" w:hAnsi="Calibri" w:cs="Calibri"/>
          <w:sz w:val="20"/>
          <w:szCs w:val="20"/>
        </w:rPr>
        <w:t>.</w:t>
      </w:r>
      <w:r w:rsidR="004B6F49" w:rsidRPr="002B416D">
        <w:rPr>
          <w:rStyle w:val="FootnoteReference"/>
          <w:rFonts w:ascii="Calibri" w:hAnsi="Calibri" w:cs="Calibri"/>
          <w:sz w:val="20"/>
          <w:szCs w:val="20"/>
        </w:rPr>
        <w:footnoteReference w:id="25"/>
      </w:r>
      <w:r w:rsidR="00EC5E8F">
        <w:rPr>
          <w:rFonts w:ascii="Calibri" w:hAnsi="Calibri" w:cs="Calibri"/>
          <w:sz w:val="20"/>
          <w:szCs w:val="20"/>
        </w:rPr>
        <w:t xml:space="preserve"> </w:t>
      </w:r>
      <w:r w:rsidR="009D151B" w:rsidRPr="002B416D">
        <w:rPr>
          <w:rFonts w:ascii="Calibri" w:hAnsi="Calibri" w:cs="Calibri"/>
          <w:sz w:val="20"/>
          <w:szCs w:val="20"/>
        </w:rPr>
        <w:t xml:space="preserve">This trend has also been </w:t>
      </w:r>
      <w:r w:rsidR="004B6F49" w:rsidRPr="002B416D">
        <w:rPr>
          <w:rFonts w:ascii="Calibri" w:hAnsi="Calibri" w:cs="Calibri"/>
          <w:sz w:val="20"/>
          <w:szCs w:val="20"/>
        </w:rPr>
        <w:t>captured</w:t>
      </w:r>
      <w:r w:rsidR="006A4AF8" w:rsidRPr="002B416D">
        <w:rPr>
          <w:rFonts w:ascii="Calibri" w:hAnsi="Calibri" w:cs="Calibri"/>
          <w:sz w:val="20"/>
          <w:szCs w:val="20"/>
        </w:rPr>
        <w:t xml:space="preserve"> in reports by</w:t>
      </w:r>
      <w:r w:rsidR="009D151B" w:rsidRPr="002B416D">
        <w:rPr>
          <w:rFonts w:ascii="Calibri" w:hAnsi="Calibri" w:cs="Calibri"/>
          <w:sz w:val="20"/>
          <w:szCs w:val="20"/>
        </w:rPr>
        <w:t xml:space="preserve"> human rights bodies.</w:t>
      </w:r>
      <w:r w:rsidR="006A4AF8" w:rsidRPr="002B416D">
        <w:rPr>
          <w:rFonts w:ascii="Calibri" w:hAnsi="Calibri" w:cs="Calibri"/>
          <w:sz w:val="20"/>
          <w:szCs w:val="20"/>
        </w:rPr>
        <w:t xml:space="preserve"> For example, i</w:t>
      </w:r>
      <w:r w:rsidR="00392394" w:rsidRPr="002B416D">
        <w:rPr>
          <w:rFonts w:ascii="Calibri" w:hAnsi="Calibri" w:cs="Calibri"/>
          <w:sz w:val="20"/>
          <w:szCs w:val="20"/>
        </w:rPr>
        <w:t>n September 2017</w:t>
      </w:r>
      <w:r w:rsidR="009D151B" w:rsidRPr="002B416D">
        <w:rPr>
          <w:rFonts w:ascii="Calibri" w:hAnsi="Calibri" w:cs="Calibri"/>
          <w:sz w:val="20"/>
          <w:szCs w:val="20"/>
        </w:rPr>
        <w:t xml:space="preserve"> the C</w:t>
      </w:r>
      <w:r w:rsidR="004B6F49" w:rsidRPr="002B416D">
        <w:rPr>
          <w:rFonts w:ascii="Calibri" w:hAnsi="Calibri" w:cs="Calibri"/>
          <w:sz w:val="20"/>
          <w:szCs w:val="20"/>
        </w:rPr>
        <w:t>ommittee on the Elimination of Racial Discrimination</w:t>
      </w:r>
      <w:r w:rsidR="009D151B" w:rsidRPr="002B416D">
        <w:rPr>
          <w:rFonts w:ascii="Calibri" w:hAnsi="Calibri" w:cs="Calibri"/>
          <w:sz w:val="20"/>
          <w:szCs w:val="20"/>
        </w:rPr>
        <w:t xml:space="preserve"> identified drug policies as one of the </w:t>
      </w:r>
      <w:r w:rsidR="004B6F49" w:rsidRPr="002B416D">
        <w:rPr>
          <w:rFonts w:ascii="Calibri" w:hAnsi="Calibri" w:cs="Calibri"/>
          <w:sz w:val="20"/>
          <w:szCs w:val="20"/>
        </w:rPr>
        <w:t xml:space="preserve">leading causes of </w:t>
      </w:r>
      <w:r w:rsidR="009D151B" w:rsidRPr="002B416D">
        <w:rPr>
          <w:rFonts w:ascii="Calibri" w:hAnsi="Calibri" w:cs="Calibri"/>
          <w:sz w:val="20"/>
          <w:szCs w:val="20"/>
        </w:rPr>
        <w:t xml:space="preserve">the high </w:t>
      </w:r>
      <w:r w:rsidR="00C21BFC" w:rsidRPr="002B416D">
        <w:rPr>
          <w:rFonts w:ascii="Calibri" w:hAnsi="Calibri" w:cs="Calibri"/>
          <w:sz w:val="20"/>
          <w:szCs w:val="20"/>
        </w:rPr>
        <w:t>rate</w:t>
      </w:r>
      <w:r w:rsidR="009D151B" w:rsidRPr="002B416D">
        <w:rPr>
          <w:rFonts w:ascii="Calibri" w:hAnsi="Calibri" w:cs="Calibri"/>
          <w:sz w:val="20"/>
          <w:szCs w:val="20"/>
        </w:rPr>
        <w:t xml:space="preserve"> of </w:t>
      </w:r>
      <w:r w:rsidR="00C21BFC" w:rsidRPr="002B416D">
        <w:rPr>
          <w:rFonts w:ascii="Calibri" w:hAnsi="Calibri" w:cs="Calibri"/>
          <w:sz w:val="20"/>
          <w:szCs w:val="20"/>
        </w:rPr>
        <w:t>incarceration</w:t>
      </w:r>
      <w:r w:rsidR="009D151B" w:rsidRPr="002B416D">
        <w:rPr>
          <w:rFonts w:ascii="Calibri" w:hAnsi="Calibri" w:cs="Calibri"/>
          <w:sz w:val="20"/>
          <w:szCs w:val="20"/>
        </w:rPr>
        <w:t xml:space="preserve"> of indigenous peoples and minorities</w:t>
      </w:r>
      <w:r w:rsidR="00C21BFC" w:rsidRPr="002B416D">
        <w:rPr>
          <w:rFonts w:ascii="Calibri" w:hAnsi="Calibri" w:cs="Calibri"/>
          <w:sz w:val="20"/>
          <w:szCs w:val="20"/>
        </w:rPr>
        <w:t xml:space="preserve"> in Canada;</w:t>
      </w:r>
      <w:r w:rsidR="009D151B" w:rsidRPr="002B416D">
        <w:rPr>
          <w:rStyle w:val="FootnoteReference"/>
          <w:rFonts w:ascii="Calibri" w:hAnsi="Calibri" w:cs="Calibri"/>
          <w:sz w:val="20"/>
          <w:szCs w:val="20"/>
        </w:rPr>
        <w:footnoteReference w:id="26"/>
      </w:r>
      <w:r w:rsidR="00C21BFC" w:rsidRPr="002B416D">
        <w:rPr>
          <w:rFonts w:ascii="Calibri" w:hAnsi="Calibri" w:cs="Calibri"/>
          <w:sz w:val="20"/>
          <w:szCs w:val="20"/>
        </w:rPr>
        <w:t xml:space="preserve"> </w:t>
      </w:r>
      <w:r w:rsidR="00867F12">
        <w:rPr>
          <w:rFonts w:ascii="Calibri" w:hAnsi="Calibri" w:cs="Calibri"/>
          <w:sz w:val="20"/>
          <w:szCs w:val="20"/>
        </w:rPr>
        <w:t xml:space="preserve">a </w:t>
      </w:r>
      <w:r w:rsidR="00EC5E8F">
        <w:rPr>
          <w:rFonts w:ascii="Calibri" w:hAnsi="Calibri" w:cs="Calibri"/>
          <w:sz w:val="20"/>
          <w:szCs w:val="20"/>
        </w:rPr>
        <w:t xml:space="preserve">few months </w:t>
      </w:r>
      <w:r w:rsidR="00867F12">
        <w:rPr>
          <w:rFonts w:ascii="Calibri" w:hAnsi="Calibri" w:cs="Calibri"/>
          <w:sz w:val="20"/>
          <w:szCs w:val="20"/>
        </w:rPr>
        <w:t>prior to this</w:t>
      </w:r>
      <w:r w:rsidR="00EC5E8F">
        <w:rPr>
          <w:rFonts w:ascii="Calibri" w:hAnsi="Calibri" w:cs="Calibri"/>
          <w:sz w:val="20"/>
          <w:szCs w:val="20"/>
        </w:rPr>
        <w:t>,</w:t>
      </w:r>
      <w:r w:rsidR="00C21BFC" w:rsidRPr="002B416D">
        <w:rPr>
          <w:rFonts w:ascii="Calibri" w:hAnsi="Calibri" w:cs="Calibri"/>
          <w:sz w:val="20"/>
          <w:szCs w:val="20"/>
        </w:rPr>
        <w:t xml:space="preserve"> </w:t>
      </w:r>
      <w:r w:rsidR="004B6F49" w:rsidRPr="002B416D">
        <w:rPr>
          <w:rFonts w:ascii="Calibri" w:hAnsi="Calibri" w:cs="Calibri"/>
          <w:sz w:val="20"/>
          <w:szCs w:val="20"/>
        </w:rPr>
        <w:t>the Committee on the Elimination of Discrimination Against Women</w:t>
      </w:r>
      <w:r w:rsidR="00C21BFC" w:rsidRPr="002B416D">
        <w:rPr>
          <w:rFonts w:ascii="Calibri" w:hAnsi="Calibri" w:cs="Calibri"/>
          <w:sz w:val="20"/>
          <w:szCs w:val="20"/>
        </w:rPr>
        <w:t xml:space="preserve"> </w:t>
      </w:r>
      <w:r w:rsidR="00EC5E8F">
        <w:rPr>
          <w:rFonts w:ascii="Calibri" w:hAnsi="Calibri" w:cs="Calibri"/>
          <w:sz w:val="20"/>
          <w:szCs w:val="20"/>
        </w:rPr>
        <w:t xml:space="preserve">expressed concerns </w:t>
      </w:r>
      <w:r w:rsidR="00867F12">
        <w:rPr>
          <w:rFonts w:ascii="Calibri" w:hAnsi="Calibri" w:cs="Calibri"/>
          <w:sz w:val="20"/>
          <w:szCs w:val="20"/>
        </w:rPr>
        <w:t>about</w:t>
      </w:r>
      <w:r w:rsidR="00EC5E8F">
        <w:rPr>
          <w:rFonts w:ascii="Calibri" w:hAnsi="Calibri" w:cs="Calibri"/>
          <w:sz w:val="20"/>
          <w:szCs w:val="20"/>
        </w:rPr>
        <w:t xml:space="preserve"> the</w:t>
      </w:r>
      <w:r w:rsidR="00C21BFC" w:rsidRPr="002B416D">
        <w:rPr>
          <w:rFonts w:ascii="Calibri" w:hAnsi="Calibri" w:cs="Calibri"/>
          <w:sz w:val="20"/>
          <w:szCs w:val="20"/>
        </w:rPr>
        <w:t xml:space="preserve"> “excessive use of incarceration as</w:t>
      </w:r>
      <w:r w:rsidR="006A4AF8" w:rsidRPr="002B416D">
        <w:rPr>
          <w:rFonts w:ascii="Calibri" w:hAnsi="Calibri" w:cs="Calibri"/>
          <w:sz w:val="20"/>
          <w:szCs w:val="20"/>
        </w:rPr>
        <w:t xml:space="preserve"> </w:t>
      </w:r>
      <w:r w:rsidR="00C21BFC" w:rsidRPr="002B416D">
        <w:rPr>
          <w:rFonts w:ascii="Calibri" w:hAnsi="Calibri" w:cs="Calibri"/>
          <w:sz w:val="20"/>
          <w:szCs w:val="20"/>
        </w:rPr>
        <w:t>a drug-control measure against women and the e</w:t>
      </w:r>
      <w:r w:rsidR="00392394" w:rsidRPr="002B416D">
        <w:rPr>
          <w:rFonts w:ascii="Calibri" w:hAnsi="Calibri" w:cs="Calibri"/>
          <w:sz w:val="20"/>
          <w:szCs w:val="20"/>
        </w:rPr>
        <w:t xml:space="preserve">nsuing female </w:t>
      </w:r>
      <w:r w:rsidR="00EC5E8F">
        <w:rPr>
          <w:rFonts w:ascii="Calibri" w:hAnsi="Calibri" w:cs="Calibri"/>
          <w:sz w:val="20"/>
          <w:szCs w:val="20"/>
        </w:rPr>
        <w:t>overpopulation in prison</w:t>
      </w:r>
      <w:r w:rsidR="00392394" w:rsidRPr="002B416D">
        <w:rPr>
          <w:rFonts w:ascii="Calibri" w:hAnsi="Calibri" w:cs="Calibri"/>
          <w:sz w:val="20"/>
          <w:szCs w:val="20"/>
        </w:rPr>
        <w:t xml:space="preserve"> in the country.</w:t>
      </w:r>
      <w:r w:rsidR="001B45E3">
        <w:rPr>
          <w:rFonts w:ascii="Calibri" w:hAnsi="Calibri" w:cs="Calibri"/>
          <w:sz w:val="20"/>
          <w:szCs w:val="20"/>
        </w:rPr>
        <w:t>”</w:t>
      </w:r>
      <w:r w:rsidR="00C21BFC" w:rsidRPr="002B416D">
        <w:rPr>
          <w:rStyle w:val="FootnoteReference"/>
          <w:rFonts w:ascii="Calibri" w:hAnsi="Calibri" w:cs="Calibri"/>
          <w:sz w:val="20"/>
          <w:szCs w:val="20"/>
        </w:rPr>
        <w:footnoteReference w:id="27"/>
      </w:r>
      <w:r w:rsidR="00C21BFC" w:rsidRPr="002B416D">
        <w:rPr>
          <w:rFonts w:ascii="Calibri" w:hAnsi="Calibri" w:cs="Calibri"/>
          <w:sz w:val="20"/>
          <w:szCs w:val="20"/>
        </w:rPr>
        <w:t xml:space="preserve"> </w:t>
      </w:r>
    </w:p>
    <w:p w14:paraId="0EDEE8D5" w14:textId="77777777" w:rsidR="003B4371" w:rsidRPr="002B416D" w:rsidRDefault="003B4371" w:rsidP="00E27CE7">
      <w:pPr>
        <w:autoSpaceDE w:val="0"/>
        <w:autoSpaceDN w:val="0"/>
        <w:adjustRightInd w:val="0"/>
        <w:spacing w:after="120" w:line="276" w:lineRule="auto"/>
        <w:contextualSpacing/>
        <w:rPr>
          <w:rFonts w:ascii="Calibri" w:hAnsi="Calibri" w:cs="Calibri"/>
          <w:i/>
          <w:sz w:val="20"/>
          <w:szCs w:val="20"/>
        </w:rPr>
      </w:pPr>
    </w:p>
    <w:p w14:paraId="1D35F847" w14:textId="18BBA631" w:rsidR="00392394" w:rsidRPr="00D8453C" w:rsidRDefault="001B45E3" w:rsidP="00E27CE7">
      <w:pPr>
        <w:autoSpaceDE w:val="0"/>
        <w:autoSpaceDN w:val="0"/>
        <w:adjustRightInd w:val="0"/>
        <w:spacing w:after="120" w:line="276" w:lineRule="auto"/>
        <w:contextualSpacing/>
        <w:rPr>
          <w:rFonts w:asciiTheme="majorHAnsi" w:hAnsiTheme="majorHAnsi" w:cstheme="majorHAnsi"/>
          <w:i/>
          <w:sz w:val="20"/>
          <w:szCs w:val="20"/>
        </w:rPr>
      </w:pPr>
      <w:r w:rsidRPr="00D8453C">
        <w:rPr>
          <w:rFonts w:asciiTheme="majorHAnsi" w:hAnsiTheme="majorHAnsi" w:cstheme="majorHAnsi"/>
          <w:i/>
          <w:sz w:val="20"/>
          <w:szCs w:val="20"/>
        </w:rPr>
        <w:t>E</w:t>
      </w:r>
      <w:r w:rsidR="00392394" w:rsidRPr="00D8453C">
        <w:rPr>
          <w:rFonts w:asciiTheme="majorHAnsi" w:hAnsiTheme="majorHAnsi" w:cstheme="majorHAnsi"/>
          <w:i/>
          <w:sz w:val="20"/>
          <w:szCs w:val="20"/>
        </w:rPr>
        <w:t>quivalence of care for individuals in detention</w:t>
      </w:r>
    </w:p>
    <w:p w14:paraId="56D14E74" w14:textId="77777777" w:rsidR="00392394" w:rsidRPr="002B416D" w:rsidRDefault="00392394" w:rsidP="00E27CE7">
      <w:pPr>
        <w:autoSpaceDE w:val="0"/>
        <w:autoSpaceDN w:val="0"/>
        <w:adjustRightInd w:val="0"/>
        <w:spacing w:after="120" w:line="276" w:lineRule="auto"/>
        <w:contextualSpacing/>
        <w:rPr>
          <w:rFonts w:ascii="Calibri" w:hAnsi="Calibri" w:cs="Calibri"/>
          <w:i/>
          <w:sz w:val="20"/>
          <w:szCs w:val="20"/>
        </w:rPr>
      </w:pPr>
    </w:p>
    <w:p w14:paraId="0B366710" w14:textId="2DEFA6F9" w:rsidR="0056176B" w:rsidRPr="002B416D" w:rsidRDefault="003B4371" w:rsidP="00E27CE7">
      <w:pPr>
        <w:autoSpaceDE w:val="0"/>
        <w:autoSpaceDN w:val="0"/>
        <w:adjustRightInd w:val="0"/>
        <w:spacing w:after="120" w:line="276" w:lineRule="auto"/>
        <w:contextualSpacing/>
        <w:jc w:val="both"/>
        <w:rPr>
          <w:rFonts w:ascii="Calibri" w:hAnsi="Calibri" w:cs="Calibri"/>
          <w:sz w:val="20"/>
          <w:szCs w:val="20"/>
        </w:rPr>
      </w:pPr>
      <w:r w:rsidRPr="002B416D">
        <w:rPr>
          <w:rFonts w:ascii="Calibri" w:hAnsi="Calibri" w:cs="Calibri"/>
          <w:sz w:val="20"/>
          <w:szCs w:val="20"/>
        </w:rPr>
        <w:t xml:space="preserve">As emphasised by the General Assembly in the </w:t>
      </w:r>
      <w:r w:rsidR="00636712">
        <w:rPr>
          <w:rFonts w:ascii="Calibri" w:hAnsi="Calibri" w:cs="Calibri"/>
          <w:sz w:val="20"/>
          <w:szCs w:val="20"/>
        </w:rPr>
        <w:t xml:space="preserve">UNGASS </w:t>
      </w:r>
      <w:r w:rsidRPr="002B416D">
        <w:rPr>
          <w:rFonts w:ascii="Calibri" w:hAnsi="Calibri" w:cs="Calibri"/>
          <w:sz w:val="20"/>
          <w:szCs w:val="20"/>
        </w:rPr>
        <w:t>Outcome Document,</w:t>
      </w:r>
      <w:r w:rsidRPr="002B416D">
        <w:rPr>
          <w:rStyle w:val="FootnoteReference"/>
          <w:rFonts w:ascii="Calibri" w:hAnsi="Calibri" w:cs="Calibri"/>
          <w:sz w:val="20"/>
          <w:szCs w:val="20"/>
        </w:rPr>
        <w:footnoteReference w:id="28"/>
      </w:r>
      <w:r w:rsidRPr="002B416D">
        <w:rPr>
          <w:rFonts w:ascii="Calibri" w:hAnsi="Calibri" w:cs="Calibri"/>
          <w:sz w:val="20"/>
          <w:szCs w:val="20"/>
        </w:rPr>
        <w:t xml:space="preserve"> i</w:t>
      </w:r>
      <w:r w:rsidR="001551FA" w:rsidRPr="002B416D">
        <w:rPr>
          <w:rFonts w:ascii="Calibri" w:hAnsi="Calibri" w:cs="Calibri"/>
          <w:sz w:val="20"/>
          <w:szCs w:val="20"/>
        </w:rPr>
        <w:t>ndividuals in detention retain their fundamental right to health</w:t>
      </w:r>
      <w:r w:rsidR="00016122" w:rsidRPr="002B416D">
        <w:rPr>
          <w:rFonts w:ascii="Calibri" w:hAnsi="Calibri" w:cs="Calibri"/>
          <w:sz w:val="20"/>
          <w:szCs w:val="20"/>
        </w:rPr>
        <w:t>,</w:t>
      </w:r>
      <w:r w:rsidR="009961A3" w:rsidRPr="002B416D">
        <w:rPr>
          <w:rFonts w:ascii="Calibri" w:hAnsi="Calibri" w:cs="Calibri"/>
          <w:sz w:val="20"/>
          <w:szCs w:val="20"/>
        </w:rPr>
        <w:t xml:space="preserve"> </w:t>
      </w:r>
      <w:r w:rsidR="001551FA" w:rsidRPr="002B416D">
        <w:rPr>
          <w:rFonts w:ascii="Calibri" w:hAnsi="Calibri" w:cs="Calibri"/>
          <w:sz w:val="20"/>
          <w:szCs w:val="20"/>
        </w:rPr>
        <w:t xml:space="preserve">and </w:t>
      </w:r>
      <w:r w:rsidR="00B10F49">
        <w:rPr>
          <w:rFonts w:ascii="Calibri" w:hAnsi="Calibri" w:cs="Calibri"/>
          <w:sz w:val="20"/>
          <w:szCs w:val="20"/>
        </w:rPr>
        <w:t>S</w:t>
      </w:r>
      <w:r w:rsidR="001551FA" w:rsidRPr="002B416D">
        <w:rPr>
          <w:rFonts w:ascii="Calibri" w:hAnsi="Calibri" w:cs="Calibri"/>
          <w:sz w:val="20"/>
          <w:szCs w:val="20"/>
        </w:rPr>
        <w:t xml:space="preserve">tates have a </w:t>
      </w:r>
      <w:r w:rsidR="009961A3" w:rsidRPr="002B416D">
        <w:rPr>
          <w:rFonts w:ascii="Calibri" w:hAnsi="Calibri" w:cs="Calibri"/>
          <w:sz w:val="20"/>
          <w:szCs w:val="20"/>
        </w:rPr>
        <w:t xml:space="preserve">heightened, </w:t>
      </w:r>
      <w:r w:rsidR="001551FA" w:rsidRPr="002B416D">
        <w:rPr>
          <w:rFonts w:ascii="Calibri" w:hAnsi="Calibri" w:cs="Calibri"/>
          <w:sz w:val="20"/>
          <w:szCs w:val="20"/>
        </w:rPr>
        <w:t xml:space="preserve">positive obligation to protect those </w:t>
      </w:r>
      <w:r w:rsidRPr="002B416D">
        <w:rPr>
          <w:rFonts w:ascii="Calibri" w:hAnsi="Calibri" w:cs="Calibri"/>
          <w:sz w:val="20"/>
          <w:szCs w:val="20"/>
        </w:rPr>
        <w:t xml:space="preserve">most vulnerable, and/or </w:t>
      </w:r>
      <w:r w:rsidR="001551FA" w:rsidRPr="002B416D">
        <w:rPr>
          <w:rFonts w:ascii="Calibri" w:hAnsi="Calibri" w:cs="Calibri"/>
          <w:sz w:val="20"/>
          <w:szCs w:val="20"/>
        </w:rPr>
        <w:t xml:space="preserve">under their direct control. In addition, evidence shows that harm reduction interventions can be </w:t>
      </w:r>
      <w:r w:rsidR="00161298" w:rsidRPr="002B416D">
        <w:rPr>
          <w:rFonts w:ascii="Calibri" w:hAnsi="Calibri" w:cs="Calibri"/>
          <w:sz w:val="20"/>
          <w:szCs w:val="20"/>
        </w:rPr>
        <w:t>implemented</w:t>
      </w:r>
      <w:r w:rsidR="00161298" w:rsidRPr="002B416D">
        <w:rPr>
          <w:rStyle w:val="FootnoteReference"/>
          <w:rFonts w:ascii="Calibri" w:hAnsi="Calibri" w:cs="Calibri"/>
          <w:sz w:val="20"/>
          <w:szCs w:val="20"/>
        </w:rPr>
        <w:t xml:space="preserve"> </w:t>
      </w:r>
      <w:r w:rsidR="001551FA" w:rsidRPr="002B416D">
        <w:rPr>
          <w:rFonts w:ascii="Calibri" w:hAnsi="Calibri" w:cs="Calibri"/>
          <w:sz w:val="20"/>
          <w:szCs w:val="20"/>
        </w:rPr>
        <w:t>safely and effectively</w:t>
      </w:r>
      <w:r w:rsidR="00161298" w:rsidRPr="002B416D">
        <w:rPr>
          <w:rFonts w:ascii="Calibri" w:hAnsi="Calibri" w:cs="Calibri"/>
          <w:sz w:val="20"/>
          <w:szCs w:val="20"/>
        </w:rPr>
        <w:t xml:space="preserve"> </w:t>
      </w:r>
      <w:r w:rsidR="001551FA" w:rsidRPr="002B416D">
        <w:rPr>
          <w:rFonts w:ascii="Calibri" w:hAnsi="Calibri" w:cs="Calibri"/>
          <w:sz w:val="20"/>
          <w:szCs w:val="20"/>
        </w:rPr>
        <w:t>in prison settings,</w:t>
      </w:r>
      <w:r w:rsidR="001551FA" w:rsidRPr="002B416D">
        <w:rPr>
          <w:rStyle w:val="FootnoteReference"/>
          <w:rFonts w:ascii="Calibri" w:hAnsi="Calibri" w:cs="Calibri"/>
          <w:sz w:val="20"/>
          <w:szCs w:val="20"/>
        </w:rPr>
        <w:footnoteReference w:id="29"/>
      </w:r>
      <w:r w:rsidR="001551FA" w:rsidRPr="002B416D">
        <w:rPr>
          <w:rFonts w:ascii="Calibri" w:hAnsi="Calibri" w:cs="Calibri"/>
          <w:sz w:val="20"/>
          <w:szCs w:val="20"/>
        </w:rPr>
        <w:t xml:space="preserve"> where they are </w:t>
      </w:r>
      <w:r w:rsidR="00636712">
        <w:rPr>
          <w:rFonts w:ascii="Calibri" w:hAnsi="Calibri" w:cs="Calibri"/>
          <w:sz w:val="20"/>
          <w:szCs w:val="20"/>
        </w:rPr>
        <w:t>greatly</w:t>
      </w:r>
      <w:r w:rsidR="001551FA" w:rsidRPr="002B416D">
        <w:rPr>
          <w:rFonts w:ascii="Calibri" w:hAnsi="Calibri" w:cs="Calibri"/>
          <w:i/>
          <w:sz w:val="20"/>
          <w:szCs w:val="20"/>
        </w:rPr>
        <w:t xml:space="preserve"> </w:t>
      </w:r>
      <w:r w:rsidR="00636712">
        <w:rPr>
          <w:rFonts w:ascii="Calibri" w:hAnsi="Calibri" w:cs="Calibri"/>
          <w:sz w:val="20"/>
          <w:szCs w:val="20"/>
        </w:rPr>
        <w:t>needed. I</w:t>
      </w:r>
      <w:r w:rsidR="001551FA" w:rsidRPr="002B416D">
        <w:rPr>
          <w:rFonts w:ascii="Calibri" w:hAnsi="Calibri" w:cs="Calibri"/>
          <w:sz w:val="20"/>
          <w:szCs w:val="20"/>
        </w:rPr>
        <w:t>ndeed, the prevalence</w:t>
      </w:r>
      <w:r w:rsidR="001B45E3">
        <w:rPr>
          <w:rFonts w:ascii="Calibri" w:hAnsi="Calibri" w:cs="Calibri"/>
          <w:sz w:val="20"/>
          <w:szCs w:val="20"/>
        </w:rPr>
        <w:t xml:space="preserve"> of HIV, hepatitis C virus </w:t>
      </w:r>
      <w:r w:rsidR="00660FA1">
        <w:rPr>
          <w:rFonts w:ascii="Calibri" w:hAnsi="Calibri" w:cs="Calibri"/>
          <w:sz w:val="20"/>
          <w:szCs w:val="20"/>
        </w:rPr>
        <w:t xml:space="preserve">(HCV) </w:t>
      </w:r>
      <w:r w:rsidR="001B45E3">
        <w:rPr>
          <w:rFonts w:ascii="Calibri" w:hAnsi="Calibri" w:cs="Calibri"/>
          <w:sz w:val="20"/>
          <w:szCs w:val="20"/>
        </w:rPr>
        <w:t>and tuberculosis</w:t>
      </w:r>
      <w:r w:rsidR="00660FA1">
        <w:rPr>
          <w:rFonts w:ascii="Calibri" w:hAnsi="Calibri" w:cs="Calibri"/>
          <w:sz w:val="20"/>
          <w:szCs w:val="20"/>
        </w:rPr>
        <w:t xml:space="preserve"> (TB)</w:t>
      </w:r>
      <w:r w:rsidR="001551FA" w:rsidRPr="002B416D">
        <w:rPr>
          <w:rFonts w:ascii="Calibri" w:hAnsi="Calibri" w:cs="Calibri"/>
          <w:sz w:val="20"/>
          <w:szCs w:val="20"/>
        </w:rPr>
        <w:t xml:space="preserve"> is still considerably higher among prison population than in the general population,</w:t>
      </w:r>
      <w:r w:rsidR="001551FA" w:rsidRPr="002B416D">
        <w:rPr>
          <w:rStyle w:val="FootnoteReference"/>
          <w:rFonts w:ascii="Calibri" w:hAnsi="Calibri" w:cs="Calibri"/>
          <w:sz w:val="20"/>
          <w:szCs w:val="20"/>
        </w:rPr>
        <w:footnoteReference w:id="30"/>
      </w:r>
      <w:r w:rsidR="001551FA" w:rsidRPr="002B416D">
        <w:rPr>
          <w:rFonts w:ascii="Calibri" w:hAnsi="Calibri" w:cs="Calibri"/>
          <w:sz w:val="20"/>
          <w:szCs w:val="20"/>
        </w:rPr>
        <w:t xml:space="preserve"> and detention settings are “high-risk environments for the transmission of</w:t>
      </w:r>
      <w:r w:rsidR="001B45E3">
        <w:rPr>
          <w:rFonts w:ascii="Calibri" w:hAnsi="Calibri" w:cs="Calibri"/>
          <w:sz w:val="20"/>
          <w:szCs w:val="20"/>
        </w:rPr>
        <w:t xml:space="preserve"> these diseases.</w:t>
      </w:r>
      <w:r w:rsidR="001551FA" w:rsidRPr="002B416D">
        <w:rPr>
          <w:rFonts w:ascii="Calibri" w:hAnsi="Calibri" w:cs="Calibri"/>
          <w:sz w:val="20"/>
          <w:szCs w:val="20"/>
        </w:rPr>
        <w:t>”</w:t>
      </w:r>
      <w:r w:rsidR="001551FA" w:rsidRPr="002B416D">
        <w:rPr>
          <w:rStyle w:val="FootnoteReference"/>
          <w:rFonts w:ascii="Calibri" w:hAnsi="Calibri" w:cs="Calibri"/>
          <w:sz w:val="20"/>
          <w:szCs w:val="20"/>
        </w:rPr>
        <w:footnoteReference w:id="31"/>
      </w:r>
      <w:r w:rsidR="001B45E3">
        <w:rPr>
          <w:rFonts w:ascii="Calibri" w:hAnsi="Calibri" w:cs="Calibri"/>
          <w:sz w:val="20"/>
          <w:szCs w:val="20"/>
        </w:rPr>
        <w:t xml:space="preserve"> Additionally,</w:t>
      </w:r>
      <w:r w:rsidR="002B6F8E">
        <w:rPr>
          <w:rFonts w:ascii="Calibri" w:hAnsi="Calibri" w:cs="Calibri"/>
          <w:sz w:val="20"/>
          <w:szCs w:val="20"/>
        </w:rPr>
        <w:t xml:space="preserve"> it was estimated that</w:t>
      </w:r>
      <w:r w:rsidR="005D25D7">
        <w:rPr>
          <w:rFonts w:ascii="Calibri" w:hAnsi="Calibri" w:cs="Calibri"/>
          <w:sz w:val="20"/>
          <w:szCs w:val="20"/>
        </w:rPr>
        <w:t xml:space="preserve"> 57.9% of people who inject drugs globally has a history of incarceration</w:t>
      </w:r>
      <w:r w:rsidR="002B6F8E">
        <w:rPr>
          <w:rFonts w:ascii="Calibri" w:hAnsi="Calibri" w:cs="Calibri"/>
          <w:sz w:val="20"/>
          <w:szCs w:val="20"/>
        </w:rPr>
        <w:t>.</w:t>
      </w:r>
      <w:r w:rsidR="002B6F8E">
        <w:rPr>
          <w:rStyle w:val="FootnoteReference"/>
          <w:rFonts w:ascii="Calibri" w:hAnsi="Calibri" w:cs="Calibri"/>
          <w:sz w:val="20"/>
          <w:szCs w:val="20"/>
        </w:rPr>
        <w:footnoteReference w:id="32"/>
      </w:r>
      <w:r w:rsidR="001551FA" w:rsidRPr="002B416D">
        <w:rPr>
          <w:rFonts w:ascii="Calibri" w:hAnsi="Calibri" w:cs="Calibri"/>
          <w:sz w:val="20"/>
          <w:szCs w:val="20"/>
        </w:rPr>
        <w:t xml:space="preserve"> As a consequence, effective and high-quality treatment options for persons with drug dependence should be available in prisons, in the same measure and of the same quality as those</w:t>
      </w:r>
      <w:r w:rsidR="00636712">
        <w:rPr>
          <w:rFonts w:ascii="Calibri" w:hAnsi="Calibri" w:cs="Calibri"/>
          <w:sz w:val="20"/>
          <w:szCs w:val="20"/>
        </w:rPr>
        <w:t xml:space="preserve"> provided to the general public,</w:t>
      </w:r>
      <w:r w:rsidR="001551FA" w:rsidRPr="002B416D">
        <w:rPr>
          <w:rStyle w:val="FootnoteReference"/>
          <w:rFonts w:ascii="Calibri" w:hAnsi="Calibri" w:cs="Calibri"/>
          <w:sz w:val="20"/>
          <w:szCs w:val="20"/>
        </w:rPr>
        <w:footnoteReference w:id="33"/>
      </w:r>
      <w:r w:rsidR="00636712">
        <w:rPr>
          <w:rFonts w:ascii="Calibri" w:hAnsi="Calibri" w:cs="Calibri"/>
          <w:sz w:val="20"/>
          <w:szCs w:val="20"/>
        </w:rPr>
        <w:t xml:space="preserve"> and in such a way that responds to the specific needs of the prospective beneficiaries. </w:t>
      </w:r>
      <w:r w:rsidR="001551FA" w:rsidRPr="002B416D">
        <w:rPr>
          <w:rFonts w:ascii="Calibri" w:hAnsi="Calibri" w:cs="Calibri"/>
          <w:sz w:val="20"/>
          <w:szCs w:val="20"/>
        </w:rPr>
        <w:t xml:space="preserve">  </w:t>
      </w:r>
    </w:p>
    <w:p w14:paraId="165231A9" w14:textId="77777777" w:rsidR="003B20BD" w:rsidRPr="002B416D" w:rsidRDefault="003B20BD" w:rsidP="00E27CE7">
      <w:pPr>
        <w:autoSpaceDE w:val="0"/>
        <w:autoSpaceDN w:val="0"/>
        <w:adjustRightInd w:val="0"/>
        <w:spacing w:after="120" w:line="276" w:lineRule="auto"/>
        <w:contextualSpacing/>
        <w:jc w:val="both"/>
        <w:rPr>
          <w:rFonts w:ascii="Calibri" w:hAnsi="Calibri" w:cs="Calibri"/>
          <w:sz w:val="20"/>
          <w:szCs w:val="20"/>
        </w:rPr>
      </w:pPr>
    </w:p>
    <w:p w14:paraId="4398934C" w14:textId="19C492CC" w:rsidR="0056176B" w:rsidRPr="002B416D" w:rsidRDefault="001551FA" w:rsidP="00591DD4">
      <w:pPr>
        <w:autoSpaceDE w:val="0"/>
        <w:autoSpaceDN w:val="0"/>
        <w:adjustRightInd w:val="0"/>
        <w:spacing w:after="0" w:line="276" w:lineRule="auto"/>
        <w:contextualSpacing/>
        <w:jc w:val="both"/>
        <w:rPr>
          <w:rFonts w:ascii="Calibri" w:hAnsi="Calibri" w:cs="Calibri"/>
          <w:sz w:val="20"/>
          <w:szCs w:val="20"/>
        </w:rPr>
      </w:pPr>
      <w:r w:rsidRPr="002B416D">
        <w:rPr>
          <w:rFonts w:ascii="Calibri" w:hAnsi="Calibri" w:cs="Calibri"/>
          <w:sz w:val="20"/>
          <w:szCs w:val="20"/>
        </w:rPr>
        <w:t>However, lack of political</w:t>
      </w:r>
      <w:r w:rsidR="00636712">
        <w:rPr>
          <w:rFonts w:ascii="Calibri" w:hAnsi="Calibri" w:cs="Calibri"/>
          <w:sz w:val="20"/>
          <w:szCs w:val="20"/>
        </w:rPr>
        <w:t xml:space="preserve"> will</w:t>
      </w:r>
      <w:r w:rsidRPr="002B416D">
        <w:rPr>
          <w:rFonts w:ascii="Calibri" w:hAnsi="Calibri" w:cs="Calibri"/>
          <w:sz w:val="20"/>
          <w:szCs w:val="20"/>
        </w:rPr>
        <w:t xml:space="preserve"> and financial support </w:t>
      </w:r>
      <w:r w:rsidR="00B2171A">
        <w:rPr>
          <w:rFonts w:ascii="Calibri" w:hAnsi="Calibri" w:cs="Calibri"/>
          <w:sz w:val="20"/>
          <w:szCs w:val="20"/>
        </w:rPr>
        <w:t>results</w:t>
      </w:r>
      <w:r w:rsidR="00B2171A" w:rsidRPr="002B416D">
        <w:rPr>
          <w:rFonts w:ascii="Calibri" w:hAnsi="Calibri" w:cs="Calibri"/>
          <w:sz w:val="20"/>
          <w:szCs w:val="20"/>
        </w:rPr>
        <w:t xml:space="preserve"> </w:t>
      </w:r>
      <w:r w:rsidR="00161298" w:rsidRPr="002B416D">
        <w:rPr>
          <w:rFonts w:ascii="Calibri" w:hAnsi="Calibri" w:cs="Calibri"/>
          <w:sz w:val="20"/>
          <w:szCs w:val="20"/>
        </w:rPr>
        <w:t xml:space="preserve">in </w:t>
      </w:r>
      <w:r w:rsidR="00636712">
        <w:rPr>
          <w:rFonts w:ascii="Calibri" w:hAnsi="Calibri" w:cs="Calibri"/>
          <w:sz w:val="20"/>
          <w:szCs w:val="20"/>
        </w:rPr>
        <w:t>a dearth of</w:t>
      </w:r>
      <w:r w:rsidRPr="002B416D">
        <w:rPr>
          <w:rFonts w:ascii="Calibri" w:hAnsi="Calibri" w:cs="Calibri"/>
          <w:sz w:val="20"/>
          <w:szCs w:val="20"/>
        </w:rPr>
        <w:t xml:space="preserve"> these fundamental services in </w:t>
      </w:r>
      <w:r w:rsidR="00636712">
        <w:rPr>
          <w:rFonts w:ascii="Calibri" w:hAnsi="Calibri" w:cs="Calibri"/>
          <w:sz w:val="20"/>
          <w:szCs w:val="20"/>
        </w:rPr>
        <w:t xml:space="preserve">many </w:t>
      </w:r>
      <w:r w:rsidRPr="002B416D">
        <w:rPr>
          <w:rFonts w:ascii="Calibri" w:hAnsi="Calibri" w:cs="Calibri"/>
          <w:sz w:val="20"/>
          <w:szCs w:val="20"/>
        </w:rPr>
        <w:t xml:space="preserve">detention settings. </w:t>
      </w:r>
      <w:r w:rsidRPr="002B416D">
        <w:rPr>
          <w:rFonts w:ascii="Calibri" w:hAnsi="Calibri" w:cs="Calibri"/>
          <w:sz w:val="20"/>
          <w:szCs w:val="20"/>
          <w:shd w:val="clear" w:color="auto" w:fill="FFFFFF"/>
        </w:rPr>
        <w:t xml:space="preserve">At the end of </w:t>
      </w:r>
      <w:r w:rsidRPr="002B416D">
        <w:rPr>
          <w:rFonts w:ascii="Calibri" w:hAnsi="Calibri" w:cs="Calibri"/>
          <w:sz w:val="20"/>
          <w:szCs w:val="20"/>
          <w:shd w:val="clear" w:color="auto" w:fill="FFFFFF"/>
        </w:rPr>
        <w:lastRenderedPageBreak/>
        <w:t>2016</w:t>
      </w:r>
      <w:r w:rsidR="00A13FE4" w:rsidRPr="002B416D">
        <w:rPr>
          <w:rFonts w:ascii="Calibri" w:hAnsi="Calibri" w:cs="Calibri"/>
          <w:sz w:val="20"/>
          <w:szCs w:val="20"/>
          <w:shd w:val="clear" w:color="auto" w:fill="FFFFFF"/>
        </w:rPr>
        <w:t>,</w:t>
      </w:r>
      <w:r w:rsidR="00074168">
        <w:rPr>
          <w:rFonts w:ascii="Calibri" w:hAnsi="Calibri" w:cs="Calibri"/>
          <w:sz w:val="20"/>
          <w:szCs w:val="20"/>
          <w:shd w:val="clear" w:color="auto" w:fill="FFFFFF"/>
        </w:rPr>
        <w:t xml:space="preserve"> </w:t>
      </w:r>
      <w:r w:rsidR="00603D63" w:rsidRPr="002B416D">
        <w:rPr>
          <w:rFonts w:ascii="Calibri" w:hAnsi="Calibri" w:cs="Calibri"/>
          <w:sz w:val="20"/>
          <w:szCs w:val="20"/>
          <w:shd w:val="clear" w:color="auto" w:fill="FFFFFF"/>
        </w:rPr>
        <w:t>OST was only available to some degree in 52 countries</w:t>
      </w:r>
      <w:r w:rsidR="00603D63">
        <w:rPr>
          <w:rFonts w:ascii="Calibri" w:hAnsi="Calibri" w:cs="Calibri"/>
          <w:sz w:val="20"/>
          <w:szCs w:val="20"/>
          <w:shd w:val="clear" w:color="auto" w:fill="FFFFFF"/>
        </w:rPr>
        <w:t>,</w:t>
      </w:r>
      <w:r w:rsidR="00603D63" w:rsidRPr="002B416D">
        <w:rPr>
          <w:rStyle w:val="FootnoteReference"/>
          <w:rFonts w:ascii="Calibri" w:hAnsi="Calibri" w:cs="Calibri"/>
          <w:sz w:val="20"/>
          <w:szCs w:val="20"/>
          <w:shd w:val="clear" w:color="auto" w:fill="FFFFFF"/>
        </w:rPr>
        <w:footnoteReference w:id="34"/>
      </w:r>
      <w:r w:rsidR="00603D63">
        <w:rPr>
          <w:rFonts w:ascii="Calibri" w:hAnsi="Calibri" w:cs="Calibri"/>
          <w:sz w:val="20"/>
          <w:szCs w:val="20"/>
          <w:shd w:val="clear" w:color="auto" w:fill="FFFFFF"/>
        </w:rPr>
        <w:t xml:space="preserve"> while </w:t>
      </w:r>
      <w:r w:rsidR="00074168">
        <w:rPr>
          <w:rFonts w:ascii="Calibri" w:hAnsi="Calibri" w:cs="Calibri"/>
          <w:sz w:val="20"/>
          <w:szCs w:val="20"/>
          <w:shd w:val="clear" w:color="auto" w:fill="FFFFFF"/>
        </w:rPr>
        <w:t xml:space="preserve">only </w:t>
      </w:r>
      <w:r w:rsidRPr="002B416D">
        <w:rPr>
          <w:rFonts w:ascii="Calibri" w:hAnsi="Calibri" w:cs="Calibri"/>
          <w:sz w:val="20"/>
          <w:szCs w:val="20"/>
          <w:shd w:val="clear" w:color="auto" w:fill="FFFFFF"/>
        </w:rPr>
        <w:t>8 countries</w:t>
      </w:r>
      <w:r w:rsidR="00016122" w:rsidRPr="002B416D">
        <w:rPr>
          <w:rFonts w:ascii="Calibri" w:hAnsi="Calibri" w:cs="Calibri"/>
          <w:sz w:val="20"/>
          <w:szCs w:val="20"/>
          <w:shd w:val="clear" w:color="auto" w:fill="FFFFFF"/>
        </w:rPr>
        <w:t xml:space="preserve"> (all in Western Europe and Central Asia)</w:t>
      </w:r>
      <w:r w:rsidR="00603D63">
        <w:rPr>
          <w:rFonts w:ascii="Calibri" w:hAnsi="Calibri" w:cs="Calibri"/>
          <w:sz w:val="20"/>
          <w:szCs w:val="20"/>
          <w:shd w:val="clear" w:color="auto" w:fill="FFFFFF"/>
        </w:rPr>
        <w:t xml:space="preserve"> </w:t>
      </w:r>
      <w:r w:rsidR="00603D63" w:rsidRPr="002B416D">
        <w:rPr>
          <w:rFonts w:ascii="Calibri" w:hAnsi="Calibri" w:cs="Calibri"/>
          <w:sz w:val="20"/>
          <w:szCs w:val="20"/>
          <w:shd w:val="clear" w:color="auto" w:fill="FFFFFF"/>
        </w:rPr>
        <w:t>provided NSPs in at least one prison</w:t>
      </w:r>
      <w:r w:rsidR="00603D63">
        <w:rPr>
          <w:rFonts w:ascii="Calibri" w:hAnsi="Calibri" w:cs="Calibri"/>
          <w:sz w:val="20"/>
          <w:szCs w:val="20"/>
          <w:shd w:val="clear" w:color="auto" w:fill="FFFFFF"/>
        </w:rPr>
        <w:t>;</w:t>
      </w:r>
      <w:r w:rsidR="00603D63">
        <w:rPr>
          <w:rStyle w:val="FootnoteReference"/>
          <w:rFonts w:ascii="Calibri" w:hAnsi="Calibri" w:cs="Calibri"/>
          <w:sz w:val="20"/>
          <w:szCs w:val="20"/>
          <w:shd w:val="clear" w:color="auto" w:fill="FFFFFF"/>
        </w:rPr>
        <w:footnoteReference w:id="35"/>
      </w:r>
      <w:r w:rsidRPr="002B416D">
        <w:rPr>
          <w:rFonts w:ascii="Calibri" w:hAnsi="Calibri" w:cs="Calibri"/>
          <w:sz w:val="20"/>
          <w:szCs w:val="20"/>
          <w:shd w:val="clear" w:color="auto" w:fill="FFFFFF"/>
        </w:rPr>
        <w:t xml:space="preserve"> </w:t>
      </w:r>
      <w:r w:rsidR="00603D63">
        <w:rPr>
          <w:rFonts w:ascii="Calibri" w:hAnsi="Calibri" w:cs="Calibri"/>
          <w:sz w:val="20"/>
          <w:szCs w:val="20"/>
          <w:shd w:val="clear" w:color="auto" w:fill="FFFFFF"/>
        </w:rPr>
        <w:t>in May 2018, Canada announced the implementation of a Needle Exchange Program in two detention institutions.</w:t>
      </w:r>
      <w:r w:rsidR="00603D63">
        <w:rPr>
          <w:rStyle w:val="FootnoteReference"/>
          <w:rFonts w:ascii="Calibri" w:hAnsi="Calibri" w:cs="Calibri"/>
          <w:sz w:val="20"/>
          <w:szCs w:val="20"/>
          <w:shd w:val="clear" w:color="auto" w:fill="FFFFFF"/>
        </w:rPr>
        <w:footnoteReference w:id="36"/>
      </w:r>
      <w:r w:rsidR="00636712">
        <w:rPr>
          <w:rFonts w:ascii="Calibri" w:hAnsi="Calibri" w:cs="Calibri"/>
          <w:sz w:val="20"/>
          <w:szCs w:val="20"/>
          <w:shd w:val="clear" w:color="auto" w:fill="FFFFFF"/>
        </w:rPr>
        <w:t xml:space="preserve"> Although </w:t>
      </w:r>
      <w:r w:rsidR="00603D63">
        <w:rPr>
          <w:rFonts w:ascii="Calibri" w:hAnsi="Calibri" w:cs="Calibri"/>
          <w:sz w:val="20"/>
          <w:szCs w:val="20"/>
          <w:shd w:val="clear" w:color="auto" w:fill="FFFFFF"/>
        </w:rPr>
        <w:t>these data</w:t>
      </w:r>
      <w:r w:rsidR="00636712">
        <w:rPr>
          <w:rFonts w:ascii="Calibri" w:hAnsi="Calibri" w:cs="Calibri"/>
          <w:sz w:val="20"/>
          <w:szCs w:val="20"/>
          <w:shd w:val="clear" w:color="auto" w:fill="FFFFFF"/>
        </w:rPr>
        <w:t xml:space="preserve"> </w:t>
      </w:r>
      <w:r w:rsidR="00603D63">
        <w:rPr>
          <w:rFonts w:ascii="Calibri" w:hAnsi="Calibri" w:cs="Calibri"/>
          <w:sz w:val="20"/>
          <w:szCs w:val="20"/>
          <w:shd w:val="clear" w:color="auto" w:fill="FFFFFF"/>
        </w:rPr>
        <w:t>show</w:t>
      </w:r>
      <w:r w:rsidR="00636712">
        <w:rPr>
          <w:rFonts w:ascii="Calibri" w:hAnsi="Calibri" w:cs="Calibri"/>
          <w:sz w:val="20"/>
          <w:szCs w:val="20"/>
          <w:shd w:val="clear" w:color="auto" w:fill="FFFFFF"/>
        </w:rPr>
        <w:t xml:space="preserve"> an increase from 2</w:t>
      </w:r>
      <w:r w:rsidR="00161298" w:rsidRPr="002B416D">
        <w:rPr>
          <w:rFonts w:ascii="Calibri" w:hAnsi="Calibri" w:cs="Calibri"/>
          <w:sz w:val="20"/>
          <w:szCs w:val="20"/>
          <w:shd w:val="clear" w:color="auto" w:fill="FFFFFF"/>
        </w:rPr>
        <w:t>014</w:t>
      </w:r>
      <w:r w:rsidR="00636712">
        <w:rPr>
          <w:rFonts w:ascii="Calibri" w:hAnsi="Calibri" w:cs="Calibri"/>
          <w:sz w:val="20"/>
          <w:szCs w:val="20"/>
          <w:shd w:val="clear" w:color="auto" w:fill="FFFFFF"/>
        </w:rPr>
        <w:t>,</w:t>
      </w:r>
      <w:r w:rsidR="00161298" w:rsidRPr="002B416D">
        <w:rPr>
          <w:rFonts w:ascii="Calibri" w:hAnsi="Calibri" w:cs="Calibri"/>
          <w:sz w:val="20"/>
          <w:szCs w:val="20"/>
          <w:shd w:val="clear" w:color="auto" w:fill="FFFFFF"/>
        </w:rPr>
        <w:t xml:space="preserve"> substantial issues remain; for example, even w</w:t>
      </w:r>
      <w:r w:rsidR="00161298" w:rsidRPr="002B416D">
        <w:rPr>
          <w:rFonts w:ascii="Calibri" w:hAnsi="Calibri" w:cs="Calibri"/>
          <w:sz w:val="20"/>
          <w:szCs w:val="20"/>
        </w:rPr>
        <w:t>hen available</w:t>
      </w:r>
      <w:r w:rsidRPr="002B416D">
        <w:rPr>
          <w:rFonts w:ascii="Calibri" w:hAnsi="Calibri" w:cs="Calibri"/>
          <w:sz w:val="20"/>
          <w:szCs w:val="20"/>
        </w:rPr>
        <w:t xml:space="preserve"> these services are often of an inferior quality than those provided </w:t>
      </w:r>
      <w:r w:rsidRPr="00636712">
        <w:rPr>
          <w:rFonts w:ascii="Calibri" w:hAnsi="Calibri" w:cs="Calibri"/>
          <w:sz w:val="20"/>
          <w:szCs w:val="20"/>
        </w:rPr>
        <w:t>outside</w:t>
      </w:r>
      <w:r w:rsidRPr="002B416D">
        <w:rPr>
          <w:rFonts w:ascii="Calibri" w:hAnsi="Calibri" w:cs="Calibri"/>
          <w:i/>
          <w:sz w:val="20"/>
          <w:szCs w:val="20"/>
        </w:rPr>
        <w:t xml:space="preserve"> </w:t>
      </w:r>
      <w:r w:rsidR="003B4371" w:rsidRPr="002B416D">
        <w:rPr>
          <w:rFonts w:ascii="Calibri" w:hAnsi="Calibri" w:cs="Calibri"/>
          <w:sz w:val="20"/>
          <w:szCs w:val="20"/>
        </w:rPr>
        <w:t>detention settings,</w:t>
      </w:r>
      <w:r w:rsidRPr="002B416D">
        <w:rPr>
          <w:rFonts w:ascii="Calibri" w:hAnsi="Calibri" w:cs="Calibri"/>
          <w:sz w:val="20"/>
          <w:szCs w:val="20"/>
        </w:rPr>
        <w:t xml:space="preserve"> their accessibility is limited, </w:t>
      </w:r>
      <w:r w:rsidR="003B4371" w:rsidRPr="002B416D">
        <w:rPr>
          <w:rFonts w:ascii="Calibri" w:hAnsi="Calibri" w:cs="Calibri"/>
          <w:sz w:val="20"/>
          <w:szCs w:val="20"/>
        </w:rPr>
        <w:t>and</w:t>
      </w:r>
      <w:r w:rsidRPr="002B416D">
        <w:rPr>
          <w:rFonts w:ascii="Calibri" w:hAnsi="Calibri" w:cs="Calibri"/>
          <w:sz w:val="20"/>
          <w:szCs w:val="20"/>
        </w:rPr>
        <w:t xml:space="preserve"> </w:t>
      </w:r>
      <w:r w:rsidRPr="00A40518">
        <w:rPr>
          <w:rFonts w:ascii="Calibri" w:hAnsi="Calibri" w:cs="Calibri"/>
          <w:sz w:val="20"/>
          <w:szCs w:val="20"/>
        </w:rPr>
        <w:t>continuity of treatment f</w:t>
      </w:r>
      <w:r w:rsidR="00636712" w:rsidRPr="00A40518">
        <w:rPr>
          <w:rFonts w:ascii="Calibri" w:hAnsi="Calibri" w:cs="Calibri"/>
          <w:sz w:val="20"/>
          <w:szCs w:val="20"/>
        </w:rPr>
        <w:t>or persons who arrive in prison</w:t>
      </w:r>
      <w:r w:rsidRPr="00A40518">
        <w:rPr>
          <w:rFonts w:ascii="Calibri" w:hAnsi="Calibri" w:cs="Calibri"/>
          <w:sz w:val="20"/>
          <w:szCs w:val="20"/>
        </w:rPr>
        <w:t xml:space="preserve">, are transferred, or are released is </w:t>
      </w:r>
      <w:r w:rsidR="00636712" w:rsidRPr="00A40518">
        <w:rPr>
          <w:rFonts w:ascii="Calibri" w:hAnsi="Calibri" w:cs="Calibri"/>
          <w:sz w:val="20"/>
          <w:szCs w:val="20"/>
        </w:rPr>
        <w:t>far from guaranteed</w:t>
      </w:r>
      <w:r w:rsidRPr="00A40518">
        <w:rPr>
          <w:rFonts w:ascii="Calibri" w:hAnsi="Calibri" w:cs="Calibri"/>
          <w:sz w:val="20"/>
          <w:szCs w:val="20"/>
        </w:rPr>
        <w:t>.</w:t>
      </w:r>
      <w:r w:rsidRPr="00A40518">
        <w:rPr>
          <w:rStyle w:val="FootnoteReference"/>
          <w:rFonts w:ascii="Calibri" w:hAnsi="Calibri" w:cs="Calibri"/>
          <w:sz w:val="20"/>
          <w:szCs w:val="20"/>
        </w:rPr>
        <w:footnoteReference w:id="37"/>
      </w:r>
      <w:r w:rsidR="009D151B" w:rsidRPr="00A40518">
        <w:rPr>
          <w:rFonts w:ascii="Calibri" w:hAnsi="Calibri" w:cs="Calibri"/>
          <w:sz w:val="20"/>
          <w:szCs w:val="20"/>
        </w:rPr>
        <w:t xml:space="preserve"> </w:t>
      </w:r>
      <w:r w:rsidR="00636712" w:rsidRPr="00A40518">
        <w:rPr>
          <w:rFonts w:ascii="Calibri" w:hAnsi="Calibri" w:cs="Calibri"/>
          <w:sz w:val="20"/>
          <w:szCs w:val="20"/>
        </w:rPr>
        <w:t>Among others</w:t>
      </w:r>
      <w:r w:rsidR="009D151B" w:rsidRPr="00A40518">
        <w:rPr>
          <w:rFonts w:ascii="Calibri" w:hAnsi="Calibri" w:cs="Calibri"/>
          <w:sz w:val="20"/>
          <w:szCs w:val="20"/>
        </w:rPr>
        <w:t xml:space="preserve">, the </w:t>
      </w:r>
      <w:r w:rsidR="007F3388" w:rsidRPr="00A40518">
        <w:rPr>
          <w:rFonts w:ascii="Calibri" w:hAnsi="Calibri" w:cs="Calibri"/>
          <w:sz w:val="20"/>
          <w:szCs w:val="20"/>
        </w:rPr>
        <w:t>European</w:t>
      </w:r>
      <w:r w:rsidRPr="00A40518">
        <w:rPr>
          <w:rFonts w:ascii="Calibri" w:hAnsi="Calibri" w:cs="Calibri"/>
          <w:sz w:val="20"/>
          <w:szCs w:val="20"/>
        </w:rPr>
        <w:t xml:space="preserve"> Committee </w:t>
      </w:r>
      <w:r w:rsidR="007F3388" w:rsidRPr="00A40518">
        <w:rPr>
          <w:rFonts w:ascii="Calibri" w:hAnsi="Calibri" w:cs="Calibri"/>
          <w:sz w:val="20"/>
          <w:szCs w:val="20"/>
        </w:rPr>
        <w:t>for the Prevention of Torture</w:t>
      </w:r>
      <w:r w:rsidR="002B6F8E">
        <w:rPr>
          <w:rFonts w:ascii="Calibri" w:hAnsi="Calibri" w:cs="Calibri"/>
          <w:sz w:val="20"/>
          <w:szCs w:val="20"/>
        </w:rPr>
        <w:t xml:space="preserve"> has urged S</w:t>
      </w:r>
      <w:r w:rsidRPr="00A40518">
        <w:rPr>
          <w:rFonts w:ascii="Calibri" w:hAnsi="Calibri" w:cs="Calibri"/>
          <w:sz w:val="20"/>
          <w:szCs w:val="20"/>
        </w:rPr>
        <w:t>tates to</w:t>
      </w:r>
      <w:r w:rsidR="00A40518" w:rsidRPr="00A40518">
        <w:rPr>
          <w:rFonts w:ascii="Calibri" w:hAnsi="Calibri" w:cs="Calibri"/>
          <w:sz w:val="20"/>
          <w:szCs w:val="20"/>
        </w:rPr>
        <w:t xml:space="preserve"> adopt comprehensive and multi-faceted plans and practices for the treatment of drug addiction in detention, also ensuring</w:t>
      </w:r>
      <w:r w:rsidRPr="00A40518">
        <w:rPr>
          <w:rFonts w:ascii="Calibri" w:hAnsi="Calibri" w:cs="Calibri"/>
          <w:sz w:val="20"/>
          <w:szCs w:val="20"/>
        </w:rPr>
        <w:t xml:space="preserve"> continuity of </w:t>
      </w:r>
      <w:r w:rsidR="00636712" w:rsidRPr="00A40518">
        <w:rPr>
          <w:rFonts w:ascii="Calibri" w:hAnsi="Calibri" w:cs="Calibri"/>
          <w:sz w:val="20"/>
          <w:szCs w:val="20"/>
        </w:rPr>
        <w:t>treatment</w:t>
      </w:r>
      <w:r w:rsidRPr="00A40518">
        <w:rPr>
          <w:rFonts w:ascii="Calibri" w:hAnsi="Calibri" w:cs="Calibri"/>
          <w:sz w:val="20"/>
          <w:szCs w:val="20"/>
        </w:rPr>
        <w:t xml:space="preserve"> started before the admission in prison.</w:t>
      </w:r>
      <w:r w:rsidRPr="00A40518">
        <w:rPr>
          <w:rStyle w:val="FootnoteReference"/>
          <w:rFonts w:ascii="Calibri" w:hAnsi="Calibri" w:cs="Calibri"/>
          <w:sz w:val="20"/>
          <w:szCs w:val="20"/>
        </w:rPr>
        <w:footnoteReference w:id="38"/>
      </w:r>
      <w:r w:rsidRPr="00A40518">
        <w:rPr>
          <w:rFonts w:ascii="Calibri" w:hAnsi="Calibri" w:cs="Calibri"/>
          <w:sz w:val="20"/>
          <w:szCs w:val="20"/>
        </w:rPr>
        <w:t xml:space="preserve"> </w:t>
      </w:r>
      <w:r w:rsidR="0056176B" w:rsidRPr="00A40518">
        <w:rPr>
          <w:rFonts w:ascii="Calibri" w:hAnsi="Calibri" w:cs="Calibri"/>
          <w:sz w:val="20"/>
          <w:szCs w:val="20"/>
        </w:rPr>
        <w:t xml:space="preserve">Harm Reduction International has repeatedly </w:t>
      </w:r>
      <w:r w:rsidR="00660FA1">
        <w:rPr>
          <w:rFonts w:ascii="Calibri" w:hAnsi="Calibri" w:cs="Calibri"/>
          <w:sz w:val="20"/>
          <w:szCs w:val="20"/>
        </w:rPr>
        <w:t>urged</w:t>
      </w:r>
      <w:r w:rsidR="0056176B" w:rsidRPr="00A40518">
        <w:rPr>
          <w:rFonts w:ascii="Calibri" w:hAnsi="Calibri" w:cs="Calibri"/>
          <w:sz w:val="20"/>
          <w:szCs w:val="20"/>
        </w:rPr>
        <w:t xml:space="preserve"> national authorities as well as international mechanisms to integrate</w:t>
      </w:r>
      <w:r w:rsidR="0056176B" w:rsidRPr="002B416D">
        <w:rPr>
          <w:rFonts w:ascii="Calibri" w:hAnsi="Calibri" w:cs="Calibri"/>
          <w:sz w:val="20"/>
          <w:szCs w:val="20"/>
        </w:rPr>
        <w:t xml:space="preserve"> an analysis of the availability of adequate harm reduction se</w:t>
      </w:r>
      <w:r w:rsidR="002B6F8E">
        <w:rPr>
          <w:rFonts w:ascii="Calibri" w:hAnsi="Calibri" w:cs="Calibri"/>
          <w:sz w:val="20"/>
          <w:szCs w:val="20"/>
        </w:rPr>
        <w:t xml:space="preserve">rvices in </w:t>
      </w:r>
      <w:r w:rsidR="00660FA1">
        <w:rPr>
          <w:rFonts w:ascii="Calibri" w:hAnsi="Calibri" w:cs="Calibri"/>
          <w:sz w:val="20"/>
          <w:szCs w:val="20"/>
        </w:rPr>
        <w:t xml:space="preserve">detention in </w:t>
      </w:r>
      <w:r w:rsidR="002B6F8E">
        <w:rPr>
          <w:rFonts w:ascii="Calibri" w:hAnsi="Calibri" w:cs="Calibri"/>
          <w:sz w:val="20"/>
          <w:szCs w:val="20"/>
        </w:rPr>
        <w:t>their assessments of S</w:t>
      </w:r>
      <w:r w:rsidR="0056176B" w:rsidRPr="002B416D">
        <w:rPr>
          <w:rFonts w:ascii="Calibri" w:hAnsi="Calibri" w:cs="Calibri"/>
          <w:sz w:val="20"/>
          <w:szCs w:val="20"/>
        </w:rPr>
        <w:t>tates’ compliance with their human rights obligations</w:t>
      </w:r>
      <w:r w:rsidR="00AB1943">
        <w:rPr>
          <w:rFonts w:ascii="Calibri" w:hAnsi="Calibri" w:cs="Calibri"/>
          <w:sz w:val="20"/>
          <w:szCs w:val="20"/>
        </w:rPr>
        <w:t xml:space="preserve">. </w:t>
      </w:r>
      <w:r w:rsidR="00965E34">
        <w:rPr>
          <w:rFonts w:ascii="Calibri" w:hAnsi="Calibri" w:cs="Calibri"/>
          <w:sz w:val="20"/>
          <w:szCs w:val="20"/>
        </w:rPr>
        <w:t>At this end, w</w:t>
      </w:r>
      <w:r w:rsidR="00AB1943">
        <w:rPr>
          <w:rFonts w:ascii="Calibri" w:hAnsi="Calibri" w:cs="Calibri"/>
          <w:sz w:val="20"/>
          <w:szCs w:val="20"/>
        </w:rPr>
        <w:t>e</w:t>
      </w:r>
      <w:r w:rsidR="00965E34">
        <w:rPr>
          <w:rFonts w:ascii="Calibri" w:hAnsi="Calibri" w:cs="Calibri"/>
          <w:sz w:val="20"/>
          <w:szCs w:val="20"/>
        </w:rPr>
        <w:t xml:space="preserve"> also</w:t>
      </w:r>
      <w:r w:rsidR="00AB1943">
        <w:rPr>
          <w:rFonts w:ascii="Calibri" w:hAnsi="Calibri" w:cs="Calibri"/>
          <w:sz w:val="20"/>
          <w:szCs w:val="20"/>
        </w:rPr>
        <w:t xml:space="preserve"> </w:t>
      </w:r>
      <w:r w:rsidR="0056176B" w:rsidRPr="00603D63">
        <w:rPr>
          <w:rFonts w:ascii="Calibri" w:hAnsi="Calibri" w:cs="Calibri"/>
          <w:sz w:val="20"/>
          <w:szCs w:val="20"/>
        </w:rPr>
        <w:t>develop</w:t>
      </w:r>
      <w:r w:rsidR="00AB1943" w:rsidRPr="00603D63">
        <w:rPr>
          <w:rFonts w:ascii="Calibri" w:hAnsi="Calibri" w:cs="Calibri"/>
          <w:sz w:val="20"/>
          <w:szCs w:val="20"/>
        </w:rPr>
        <w:t>ed</w:t>
      </w:r>
      <w:r w:rsidR="0056176B" w:rsidRPr="002B416D">
        <w:rPr>
          <w:rFonts w:ascii="Calibri" w:hAnsi="Calibri" w:cs="Calibri"/>
          <w:sz w:val="20"/>
          <w:szCs w:val="20"/>
        </w:rPr>
        <w:t xml:space="preserve"> a human-rights based tool for the monitoring of HIV, HCV and TB and harm reduction in prisons.</w:t>
      </w:r>
      <w:r w:rsidR="00EF1DCB">
        <w:rPr>
          <w:rStyle w:val="FootnoteReference"/>
          <w:rFonts w:ascii="Calibri" w:hAnsi="Calibri" w:cs="Calibri"/>
          <w:sz w:val="20"/>
          <w:szCs w:val="20"/>
        </w:rPr>
        <w:footnoteReference w:id="39"/>
      </w:r>
    </w:p>
    <w:p w14:paraId="6A47D691" w14:textId="1F34C3A0" w:rsidR="001551FA" w:rsidRPr="002B416D" w:rsidRDefault="001551FA" w:rsidP="00591DD4">
      <w:pPr>
        <w:pStyle w:val="BodyText"/>
        <w:spacing w:after="0" w:line="276" w:lineRule="auto"/>
        <w:contextualSpacing/>
        <w:jc w:val="both"/>
        <w:rPr>
          <w:rFonts w:ascii="Calibri" w:hAnsi="Calibri" w:cs="Calibri"/>
          <w:sz w:val="20"/>
          <w:szCs w:val="20"/>
        </w:rPr>
      </w:pPr>
    </w:p>
    <w:p w14:paraId="60FF5F07" w14:textId="4385297C" w:rsidR="001551FA" w:rsidRPr="002B416D" w:rsidRDefault="001551FA" w:rsidP="00591DD4">
      <w:pPr>
        <w:spacing w:after="0" w:line="276" w:lineRule="auto"/>
        <w:contextualSpacing/>
        <w:jc w:val="both"/>
        <w:rPr>
          <w:rFonts w:ascii="Calibri" w:hAnsi="Calibri" w:cs="Calibri"/>
          <w:sz w:val="20"/>
          <w:szCs w:val="20"/>
        </w:rPr>
      </w:pPr>
      <w:r w:rsidRPr="002B416D">
        <w:rPr>
          <w:rFonts w:ascii="Calibri" w:hAnsi="Calibri" w:cs="Calibri"/>
          <w:sz w:val="20"/>
          <w:szCs w:val="20"/>
        </w:rPr>
        <w:t xml:space="preserve">Denying treatment to a person with a drug dependence </w:t>
      </w:r>
      <w:r w:rsidR="00074168">
        <w:rPr>
          <w:rFonts w:ascii="Calibri" w:hAnsi="Calibri" w:cs="Calibri"/>
          <w:sz w:val="20"/>
          <w:szCs w:val="20"/>
        </w:rPr>
        <w:t>can cause</w:t>
      </w:r>
      <w:r w:rsidRPr="002B416D">
        <w:rPr>
          <w:rFonts w:ascii="Calibri" w:hAnsi="Calibri" w:cs="Calibri"/>
          <w:sz w:val="20"/>
          <w:szCs w:val="20"/>
        </w:rPr>
        <w:t xml:space="preserve"> the person unbearable pain and suffering. </w:t>
      </w:r>
      <w:r w:rsidR="00360378">
        <w:rPr>
          <w:rFonts w:ascii="Calibri" w:hAnsi="Calibri" w:cs="Calibri"/>
          <w:sz w:val="20"/>
          <w:szCs w:val="20"/>
        </w:rPr>
        <w:t xml:space="preserve">It is now </w:t>
      </w:r>
      <w:r w:rsidR="00360378" w:rsidRPr="00603D63">
        <w:rPr>
          <w:rFonts w:ascii="Calibri" w:hAnsi="Calibri" w:cs="Calibri"/>
          <w:sz w:val="20"/>
          <w:szCs w:val="20"/>
        </w:rPr>
        <w:t>recognised</w:t>
      </w:r>
      <w:r w:rsidR="00EC5DDD">
        <w:rPr>
          <w:rFonts w:ascii="Calibri" w:hAnsi="Calibri" w:cs="Calibri"/>
          <w:sz w:val="20"/>
          <w:szCs w:val="20"/>
        </w:rPr>
        <w:t xml:space="preserve"> by human rights mechanisms </w:t>
      </w:r>
      <w:r w:rsidRPr="00603D63">
        <w:rPr>
          <w:rFonts w:ascii="Calibri" w:hAnsi="Calibri" w:cs="Calibri"/>
          <w:sz w:val="20"/>
          <w:szCs w:val="20"/>
        </w:rPr>
        <w:t>that the denial of treatment</w:t>
      </w:r>
      <w:r w:rsidRPr="002B416D">
        <w:rPr>
          <w:rFonts w:ascii="Calibri" w:hAnsi="Calibri" w:cs="Calibri"/>
          <w:sz w:val="20"/>
          <w:szCs w:val="20"/>
        </w:rPr>
        <w:t xml:space="preserve"> services </w:t>
      </w:r>
      <w:r w:rsidR="00660FA1">
        <w:rPr>
          <w:rFonts w:ascii="Calibri" w:hAnsi="Calibri" w:cs="Calibri"/>
          <w:sz w:val="20"/>
          <w:szCs w:val="20"/>
        </w:rPr>
        <w:t>to</w:t>
      </w:r>
      <w:r w:rsidRPr="002B416D">
        <w:rPr>
          <w:rFonts w:ascii="Calibri" w:hAnsi="Calibri" w:cs="Calibri"/>
          <w:sz w:val="20"/>
          <w:szCs w:val="20"/>
        </w:rPr>
        <w:t xml:space="preserve"> prisoners with a drug dependence can constitute inhuman or degrading treatment.</w:t>
      </w:r>
      <w:r w:rsidRPr="002B416D">
        <w:rPr>
          <w:rStyle w:val="FootnoteReference"/>
          <w:rFonts w:ascii="Calibri" w:hAnsi="Calibri" w:cs="Calibri"/>
          <w:sz w:val="20"/>
          <w:szCs w:val="20"/>
        </w:rPr>
        <w:footnoteReference w:id="40"/>
      </w:r>
      <w:r w:rsidRPr="002B416D">
        <w:rPr>
          <w:rFonts w:ascii="Calibri" w:hAnsi="Calibri" w:cs="Calibri"/>
          <w:sz w:val="20"/>
          <w:szCs w:val="20"/>
        </w:rPr>
        <w:t xml:space="preserve"> The European Court of Human Rights reiterated this principle in September 2016, when it concluded that the </w:t>
      </w:r>
      <w:r w:rsidR="00660FA1">
        <w:rPr>
          <w:rFonts w:ascii="Calibri" w:hAnsi="Calibri" w:cs="Calibri"/>
          <w:sz w:val="20"/>
          <w:szCs w:val="20"/>
        </w:rPr>
        <w:t xml:space="preserve">failure </w:t>
      </w:r>
      <w:r w:rsidRPr="002B416D">
        <w:rPr>
          <w:rFonts w:ascii="Calibri" w:hAnsi="Calibri" w:cs="Calibri"/>
          <w:sz w:val="20"/>
          <w:szCs w:val="20"/>
        </w:rPr>
        <w:t xml:space="preserve">by German authorities </w:t>
      </w:r>
      <w:r w:rsidRPr="002B416D">
        <w:rPr>
          <w:rFonts w:ascii="Calibri" w:hAnsi="Calibri" w:cs="Calibri"/>
          <w:sz w:val="20"/>
          <w:szCs w:val="20"/>
          <w:shd w:val="clear" w:color="auto" w:fill="FFFFFF"/>
        </w:rPr>
        <w:t xml:space="preserve">to </w:t>
      </w:r>
      <w:r w:rsidR="00660FA1">
        <w:rPr>
          <w:rFonts w:ascii="Calibri" w:hAnsi="Calibri" w:cs="Calibri"/>
          <w:sz w:val="20"/>
          <w:szCs w:val="20"/>
          <w:shd w:val="clear" w:color="auto" w:fill="FFFFFF"/>
        </w:rPr>
        <w:t>adequately assess</w:t>
      </w:r>
      <w:r w:rsidR="00660FA1" w:rsidRPr="002B416D">
        <w:rPr>
          <w:rFonts w:ascii="Calibri" w:hAnsi="Calibri" w:cs="Calibri"/>
          <w:sz w:val="20"/>
          <w:szCs w:val="20"/>
          <w:shd w:val="clear" w:color="auto" w:fill="FFFFFF"/>
        </w:rPr>
        <w:t xml:space="preserve">  </w:t>
      </w:r>
      <w:r w:rsidR="00660FA1">
        <w:rPr>
          <w:rFonts w:ascii="Calibri" w:hAnsi="Calibri" w:cs="Calibri"/>
          <w:sz w:val="20"/>
          <w:szCs w:val="20"/>
          <w:shd w:val="clear" w:color="auto" w:fill="FFFFFF"/>
        </w:rPr>
        <w:t xml:space="preserve">the </w:t>
      </w:r>
      <w:r w:rsidR="00660FA1" w:rsidRPr="002B416D">
        <w:rPr>
          <w:rFonts w:ascii="Calibri" w:hAnsi="Calibri" w:cs="Calibri"/>
          <w:sz w:val="20"/>
          <w:szCs w:val="20"/>
          <w:shd w:val="clear" w:color="auto" w:fill="FFFFFF"/>
        </w:rPr>
        <w:t xml:space="preserve">need for </w:t>
      </w:r>
      <w:r w:rsidR="00660FA1">
        <w:rPr>
          <w:rFonts w:ascii="Calibri" w:hAnsi="Calibri" w:cs="Calibri"/>
          <w:sz w:val="20"/>
          <w:szCs w:val="20"/>
          <w:shd w:val="clear" w:color="auto" w:fill="FFFFFF"/>
        </w:rPr>
        <w:t>opioid substitution</w:t>
      </w:r>
      <w:r w:rsidR="00660FA1" w:rsidRPr="002B416D">
        <w:rPr>
          <w:rFonts w:ascii="Calibri" w:hAnsi="Calibri" w:cs="Calibri"/>
          <w:sz w:val="20"/>
          <w:szCs w:val="20"/>
          <w:shd w:val="clear" w:color="auto" w:fill="FFFFFF"/>
        </w:rPr>
        <w:t xml:space="preserve"> </w:t>
      </w:r>
      <w:r w:rsidR="00660FA1">
        <w:rPr>
          <w:rFonts w:ascii="Calibri" w:hAnsi="Calibri" w:cs="Calibri"/>
          <w:sz w:val="20"/>
          <w:szCs w:val="20"/>
          <w:shd w:val="clear" w:color="auto" w:fill="FFFFFF"/>
        </w:rPr>
        <w:t>therapy of</w:t>
      </w:r>
      <w:r w:rsidRPr="002B416D">
        <w:rPr>
          <w:rFonts w:ascii="Calibri" w:hAnsi="Calibri" w:cs="Calibri"/>
          <w:sz w:val="20"/>
          <w:szCs w:val="20"/>
          <w:shd w:val="clear" w:color="auto" w:fill="FFFFFF"/>
        </w:rPr>
        <w:t xml:space="preserve"> a</w:t>
      </w:r>
      <w:r w:rsidR="002B6F8E">
        <w:rPr>
          <w:rFonts w:ascii="Calibri" w:hAnsi="Calibri" w:cs="Calibri"/>
          <w:sz w:val="20"/>
          <w:szCs w:val="20"/>
          <w:shd w:val="clear" w:color="auto" w:fill="FFFFFF"/>
        </w:rPr>
        <w:t>n opioid dependent</w:t>
      </w:r>
      <w:r w:rsidRPr="002B416D">
        <w:rPr>
          <w:rFonts w:ascii="Calibri" w:hAnsi="Calibri" w:cs="Calibri"/>
          <w:sz w:val="20"/>
          <w:szCs w:val="20"/>
          <w:shd w:val="clear" w:color="auto" w:fill="FFFFFF"/>
        </w:rPr>
        <w:t xml:space="preserve"> prisoner</w:t>
      </w:r>
      <w:r w:rsidR="00660FA1">
        <w:rPr>
          <w:rFonts w:ascii="Calibri" w:hAnsi="Calibri" w:cs="Calibri"/>
          <w:sz w:val="20"/>
          <w:szCs w:val="20"/>
          <w:shd w:val="clear" w:color="auto" w:fill="FFFFFF"/>
        </w:rPr>
        <w:t>, and the physical and mental suffering this caused,</w:t>
      </w:r>
      <w:r w:rsidRPr="002B416D">
        <w:rPr>
          <w:rFonts w:ascii="Calibri" w:hAnsi="Calibri" w:cs="Calibri"/>
          <w:sz w:val="20"/>
          <w:szCs w:val="20"/>
          <w:shd w:val="clear" w:color="auto" w:fill="FFFFFF"/>
        </w:rPr>
        <w:t xml:space="preserve"> amounted to inhuman treatment</w:t>
      </w:r>
      <w:r w:rsidR="0056176B" w:rsidRPr="002B416D">
        <w:rPr>
          <w:rFonts w:ascii="Calibri" w:hAnsi="Calibri" w:cs="Calibri"/>
          <w:sz w:val="20"/>
          <w:szCs w:val="20"/>
          <w:shd w:val="clear" w:color="auto" w:fill="FFFFFF"/>
        </w:rPr>
        <w:t>.</w:t>
      </w:r>
      <w:r w:rsidRPr="002B416D">
        <w:rPr>
          <w:rStyle w:val="FootnoteReference"/>
          <w:rFonts w:ascii="Calibri" w:hAnsi="Calibri" w:cs="Calibri"/>
          <w:sz w:val="20"/>
          <w:szCs w:val="20"/>
          <w:shd w:val="clear" w:color="auto" w:fill="FFFFFF"/>
        </w:rPr>
        <w:footnoteReference w:id="41"/>
      </w:r>
      <w:r w:rsidRPr="002B416D">
        <w:rPr>
          <w:rFonts w:ascii="Calibri" w:hAnsi="Calibri" w:cs="Calibri"/>
          <w:sz w:val="20"/>
          <w:szCs w:val="20"/>
        </w:rPr>
        <w:t xml:space="preserve"> </w:t>
      </w:r>
    </w:p>
    <w:p w14:paraId="62EC6463" w14:textId="77777777" w:rsidR="007F3388" w:rsidRDefault="007F3388" w:rsidP="00591DD4">
      <w:pPr>
        <w:pStyle w:val="BodyText"/>
        <w:spacing w:after="0" w:line="276" w:lineRule="auto"/>
        <w:contextualSpacing/>
        <w:jc w:val="both"/>
        <w:rPr>
          <w:rFonts w:ascii="Calibri" w:hAnsi="Calibri" w:cs="Calibri"/>
          <w:b/>
          <w:sz w:val="20"/>
          <w:szCs w:val="20"/>
        </w:rPr>
      </w:pPr>
    </w:p>
    <w:p w14:paraId="0D354A0B" w14:textId="14E65234" w:rsidR="0005260F" w:rsidRDefault="0005260F" w:rsidP="00EF1DCB">
      <w:pPr>
        <w:pStyle w:val="Title"/>
      </w:pPr>
      <w:r w:rsidRPr="002B416D">
        <w:t>Conclusion</w:t>
      </w:r>
    </w:p>
    <w:p w14:paraId="67EB91E9" w14:textId="77777777" w:rsidR="007F3388" w:rsidRPr="002B416D" w:rsidRDefault="007F3388" w:rsidP="00E27CE7">
      <w:pPr>
        <w:pStyle w:val="BodyText"/>
        <w:spacing w:line="276" w:lineRule="auto"/>
        <w:contextualSpacing/>
        <w:jc w:val="both"/>
        <w:rPr>
          <w:rFonts w:ascii="Calibri" w:hAnsi="Calibri" w:cs="Calibri"/>
          <w:sz w:val="20"/>
          <w:szCs w:val="20"/>
        </w:rPr>
      </w:pPr>
    </w:p>
    <w:p w14:paraId="50664716" w14:textId="4F03325D" w:rsidR="0005260F" w:rsidRDefault="00EF1DCB" w:rsidP="00E27CE7">
      <w:pPr>
        <w:pStyle w:val="BodyText"/>
        <w:spacing w:line="276" w:lineRule="auto"/>
        <w:contextualSpacing/>
        <w:jc w:val="both"/>
        <w:rPr>
          <w:rFonts w:ascii="Calibri" w:hAnsi="Calibri" w:cs="Calibri"/>
          <w:sz w:val="20"/>
          <w:szCs w:val="20"/>
        </w:rPr>
      </w:pPr>
      <w:r>
        <w:rPr>
          <w:rFonts w:ascii="Calibri" w:hAnsi="Calibri" w:cs="Calibri"/>
          <w:sz w:val="20"/>
          <w:szCs w:val="20"/>
        </w:rPr>
        <w:lastRenderedPageBreak/>
        <w:t xml:space="preserve">In light of these </w:t>
      </w:r>
      <w:r w:rsidRPr="00EC5DDD">
        <w:rPr>
          <w:rFonts w:ascii="Calibri" w:hAnsi="Calibri" w:cs="Calibri"/>
          <w:sz w:val="20"/>
          <w:szCs w:val="20"/>
        </w:rPr>
        <w:t>findings</w:t>
      </w:r>
      <w:r>
        <w:rPr>
          <w:rFonts w:ascii="Calibri" w:hAnsi="Calibri" w:cs="Calibri"/>
          <w:sz w:val="20"/>
          <w:szCs w:val="20"/>
        </w:rPr>
        <w:t xml:space="preserve">, </w:t>
      </w:r>
      <w:r w:rsidR="0056176B" w:rsidRPr="002B416D">
        <w:rPr>
          <w:rFonts w:ascii="Calibri" w:hAnsi="Calibri" w:cs="Calibri"/>
          <w:sz w:val="20"/>
          <w:szCs w:val="20"/>
        </w:rPr>
        <w:t>Harm Reduction International invites the Office of the High Commissioner for Human Rights to urge States to:</w:t>
      </w:r>
      <w:r w:rsidR="0007267D" w:rsidRPr="002B416D">
        <w:rPr>
          <w:rFonts w:ascii="Calibri" w:hAnsi="Calibri" w:cs="Calibri"/>
          <w:sz w:val="20"/>
          <w:szCs w:val="20"/>
        </w:rPr>
        <w:t xml:space="preserve"> </w:t>
      </w:r>
    </w:p>
    <w:p w14:paraId="48AFF473" w14:textId="77777777" w:rsidR="00EF1DCB" w:rsidRPr="002B416D" w:rsidRDefault="00EF1DCB" w:rsidP="00E27CE7">
      <w:pPr>
        <w:pStyle w:val="BodyText"/>
        <w:spacing w:line="276" w:lineRule="auto"/>
        <w:contextualSpacing/>
        <w:jc w:val="both"/>
        <w:rPr>
          <w:rFonts w:ascii="Calibri" w:hAnsi="Calibri" w:cs="Calibri"/>
          <w:sz w:val="20"/>
          <w:szCs w:val="20"/>
        </w:rPr>
      </w:pPr>
    </w:p>
    <w:p w14:paraId="4D4C0631" w14:textId="4868ABCC" w:rsidR="00EF1DCB" w:rsidRDefault="00EF1DCB" w:rsidP="00660FA1">
      <w:pPr>
        <w:pStyle w:val="BodyText"/>
        <w:numPr>
          <w:ilvl w:val="0"/>
          <w:numId w:val="15"/>
        </w:numPr>
        <w:spacing w:line="276" w:lineRule="auto"/>
        <w:ind w:left="714" w:hanging="357"/>
        <w:jc w:val="both"/>
        <w:rPr>
          <w:rFonts w:ascii="Calibri" w:hAnsi="Calibri" w:cs="Calibri"/>
          <w:sz w:val="20"/>
          <w:szCs w:val="20"/>
        </w:rPr>
      </w:pPr>
      <w:r>
        <w:rPr>
          <w:rFonts w:ascii="Calibri" w:hAnsi="Calibri" w:cs="Calibri"/>
          <w:sz w:val="20"/>
          <w:szCs w:val="20"/>
        </w:rPr>
        <w:t>Ensure nation-wide availability of accessible, affordable, adequate and high-quality harm reduction goods, services and interventions</w:t>
      </w:r>
      <w:r w:rsidR="00AB5A01">
        <w:rPr>
          <w:rFonts w:ascii="Calibri" w:hAnsi="Calibri" w:cs="Calibri"/>
          <w:sz w:val="20"/>
          <w:szCs w:val="20"/>
        </w:rPr>
        <w:t xml:space="preserve"> to people who use drugs</w:t>
      </w:r>
      <w:r>
        <w:rPr>
          <w:rFonts w:ascii="Calibri" w:hAnsi="Calibri" w:cs="Calibri"/>
          <w:sz w:val="20"/>
          <w:szCs w:val="20"/>
        </w:rPr>
        <w:t xml:space="preserve">; </w:t>
      </w:r>
      <w:r w:rsidR="00F31F46">
        <w:rPr>
          <w:rFonts w:ascii="Calibri" w:hAnsi="Calibri" w:cs="Calibri"/>
          <w:sz w:val="20"/>
          <w:szCs w:val="20"/>
        </w:rPr>
        <w:t>emphasising a rights-based approach to service delivery, which upholds the dignity, autonomy and agency of individuals;</w:t>
      </w:r>
    </w:p>
    <w:p w14:paraId="3526078F" w14:textId="3B57A8AC" w:rsidR="0007267D" w:rsidRDefault="0056176B" w:rsidP="00660FA1">
      <w:pPr>
        <w:pStyle w:val="BodyText"/>
        <w:numPr>
          <w:ilvl w:val="0"/>
          <w:numId w:val="15"/>
        </w:numPr>
        <w:spacing w:line="276" w:lineRule="auto"/>
        <w:ind w:left="714" w:hanging="357"/>
        <w:jc w:val="both"/>
        <w:rPr>
          <w:rFonts w:ascii="Calibri" w:hAnsi="Calibri" w:cs="Calibri"/>
          <w:sz w:val="20"/>
          <w:szCs w:val="20"/>
        </w:rPr>
      </w:pPr>
      <w:r w:rsidRPr="002B416D">
        <w:rPr>
          <w:rFonts w:ascii="Calibri" w:hAnsi="Calibri" w:cs="Calibri"/>
          <w:sz w:val="20"/>
          <w:szCs w:val="20"/>
        </w:rPr>
        <w:t>Implement safe, effective, and evidence-based policies and practices for the p</w:t>
      </w:r>
      <w:r w:rsidR="00EF1DCB">
        <w:rPr>
          <w:rFonts w:ascii="Calibri" w:hAnsi="Calibri" w:cs="Calibri"/>
          <w:sz w:val="20"/>
          <w:szCs w:val="20"/>
        </w:rPr>
        <w:t>revention and treatment of drug-</w:t>
      </w:r>
      <w:r w:rsidRPr="002B416D">
        <w:rPr>
          <w:rFonts w:ascii="Calibri" w:hAnsi="Calibri" w:cs="Calibri"/>
          <w:sz w:val="20"/>
          <w:szCs w:val="20"/>
        </w:rPr>
        <w:t xml:space="preserve">related harms and risks, </w:t>
      </w:r>
      <w:r w:rsidR="00EF1DCB">
        <w:rPr>
          <w:rFonts w:ascii="Calibri" w:hAnsi="Calibri" w:cs="Calibri"/>
          <w:sz w:val="20"/>
          <w:szCs w:val="20"/>
        </w:rPr>
        <w:t>placing particular attention</w:t>
      </w:r>
      <w:r w:rsidRPr="002B416D">
        <w:rPr>
          <w:rFonts w:ascii="Calibri" w:hAnsi="Calibri" w:cs="Calibri"/>
          <w:sz w:val="20"/>
          <w:szCs w:val="20"/>
        </w:rPr>
        <w:t xml:space="preserve"> to the needs and experiences of women</w:t>
      </w:r>
      <w:r w:rsidR="00EF1DCB">
        <w:rPr>
          <w:rFonts w:ascii="Calibri" w:hAnsi="Calibri" w:cs="Calibri"/>
          <w:sz w:val="20"/>
          <w:szCs w:val="20"/>
        </w:rPr>
        <w:t xml:space="preserve">, </w:t>
      </w:r>
      <w:r w:rsidR="00AB5A01">
        <w:rPr>
          <w:rFonts w:ascii="Calibri" w:hAnsi="Calibri" w:cs="Calibri"/>
          <w:sz w:val="20"/>
          <w:szCs w:val="20"/>
        </w:rPr>
        <w:t xml:space="preserve">individuals </w:t>
      </w:r>
      <w:r w:rsidR="00EF1DCB">
        <w:rPr>
          <w:rFonts w:ascii="Calibri" w:hAnsi="Calibri" w:cs="Calibri"/>
          <w:sz w:val="20"/>
          <w:szCs w:val="20"/>
        </w:rPr>
        <w:t>in detention,</w:t>
      </w:r>
      <w:r w:rsidRPr="002B416D">
        <w:rPr>
          <w:rFonts w:ascii="Calibri" w:hAnsi="Calibri" w:cs="Calibri"/>
          <w:sz w:val="20"/>
          <w:szCs w:val="20"/>
        </w:rPr>
        <w:t xml:space="preserve"> and</w:t>
      </w:r>
      <w:r w:rsidR="00EF1DCB">
        <w:rPr>
          <w:rFonts w:ascii="Calibri" w:hAnsi="Calibri" w:cs="Calibri"/>
          <w:sz w:val="20"/>
          <w:szCs w:val="20"/>
        </w:rPr>
        <w:t xml:space="preserve"> other</w:t>
      </w:r>
      <w:r w:rsidRPr="002B416D">
        <w:rPr>
          <w:rFonts w:ascii="Calibri" w:hAnsi="Calibri" w:cs="Calibri"/>
          <w:sz w:val="20"/>
          <w:szCs w:val="20"/>
        </w:rPr>
        <w:t xml:space="preserve"> vulnerable </w:t>
      </w:r>
      <w:r w:rsidR="003B4371" w:rsidRPr="002B416D">
        <w:rPr>
          <w:rFonts w:ascii="Calibri" w:hAnsi="Calibri" w:cs="Calibri"/>
          <w:sz w:val="20"/>
          <w:szCs w:val="20"/>
        </w:rPr>
        <w:t>groups;</w:t>
      </w:r>
    </w:p>
    <w:p w14:paraId="2CEEAD92" w14:textId="0EB0A3E7" w:rsidR="00EC5DDD" w:rsidRPr="002B416D" w:rsidRDefault="00EC5DDD" w:rsidP="00660FA1">
      <w:pPr>
        <w:pStyle w:val="BodyText"/>
        <w:numPr>
          <w:ilvl w:val="0"/>
          <w:numId w:val="15"/>
        </w:numPr>
        <w:spacing w:line="276" w:lineRule="auto"/>
        <w:ind w:left="714" w:hanging="357"/>
        <w:jc w:val="both"/>
        <w:rPr>
          <w:rFonts w:ascii="Calibri" w:hAnsi="Calibri" w:cs="Calibri"/>
          <w:sz w:val="20"/>
          <w:szCs w:val="20"/>
        </w:rPr>
      </w:pPr>
      <w:r>
        <w:rPr>
          <w:rFonts w:ascii="Calibri" w:hAnsi="Calibri" w:cs="Calibri"/>
          <w:sz w:val="20"/>
          <w:szCs w:val="20"/>
        </w:rPr>
        <w:t>Adopt and implement adequate strategies for the monitoring and evaluation</w:t>
      </w:r>
      <w:r w:rsidRPr="00A40518">
        <w:rPr>
          <w:rFonts w:ascii="Calibri" w:hAnsi="Calibri" w:cs="Calibri"/>
          <w:sz w:val="20"/>
          <w:szCs w:val="20"/>
        </w:rPr>
        <w:t xml:space="preserve"> </w:t>
      </w:r>
      <w:r w:rsidRPr="002B416D">
        <w:rPr>
          <w:rFonts w:ascii="Calibri" w:hAnsi="Calibri" w:cs="Calibri"/>
          <w:sz w:val="20"/>
          <w:szCs w:val="20"/>
        </w:rPr>
        <w:t>of HIV, HCV and TB and harm reduction in prisons</w:t>
      </w:r>
      <w:r>
        <w:rPr>
          <w:rFonts w:ascii="Calibri" w:hAnsi="Calibri" w:cs="Calibri"/>
          <w:sz w:val="20"/>
          <w:szCs w:val="20"/>
        </w:rPr>
        <w:t xml:space="preserve"> from a human-rights perspective; </w:t>
      </w:r>
    </w:p>
    <w:p w14:paraId="200635D6" w14:textId="4AFE82F7" w:rsidR="0007267D" w:rsidRDefault="0056176B" w:rsidP="00660FA1">
      <w:pPr>
        <w:pStyle w:val="BodyText"/>
        <w:numPr>
          <w:ilvl w:val="0"/>
          <w:numId w:val="15"/>
        </w:numPr>
        <w:spacing w:line="276" w:lineRule="auto"/>
        <w:ind w:left="714" w:hanging="357"/>
        <w:jc w:val="both"/>
        <w:rPr>
          <w:rFonts w:ascii="Calibri" w:hAnsi="Calibri" w:cs="Calibri"/>
          <w:sz w:val="20"/>
          <w:szCs w:val="20"/>
        </w:rPr>
      </w:pPr>
      <w:r w:rsidRPr="002B416D">
        <w:rPr>
          <w:rFonts w:ascii="Calibri" w:hAnsi="Calibri" w:cs="Calibri"/>
          <w:sz w:val="20"/>
          <w:szCs w:val="20"/>
        </w:rPr>
        <w:t>Review budget</w:t>
      </w:r>
      <w:r w:rsidR="009E2E2A" w:rsidRPr="002B416D">
        <w:rPr>
          <w:rFonts w:ascii="Calibri" w:hAnsi="Calibri" w:cs="Calibri"/>
          <w:sz w:val="20"/>
          <w:szCs w:val="20"/>
        </w:rPr>
        <w:t>ary</w:t>
      </w:r>
      <w:r w:rsidRPr="002B416D">
        <w:rPr>
          <w:rFonts w:ascii="Calibri" w:hAnsi="Calibri" w:cs="Calibri"/>
          <w:sz w:val="20"/>
          <w:szCs w:val="20"/>
        </w:rPr>
        <w:t xml:space="preserve"> allocation</w:t>
      </w:r>
      <w:r w:rsidR="003B4371" w:rsidRPr="002B416D">
        <w:rPr>
          <w:rFonts w:ascii="Calibri" w:hAnsi="Calibri" w:cs="Calibri"/>
          <w:sz w:val="20"/>
          <w:szCs w:val="20"/>
        </w:rPr>
        <w:t>s</w:t>
      </w:r>
      <w:r w:rsidRPr="002B416D">
        <w:rPr>
          <w:rFonts w:ascii="Calibri" w:hAnsi="Calibri" w:cs="Calibri"/>
          <w:sz w:val="20"/>
          <w:szCs w:val="20"/>
        </w:rPr>
        <w:t xml:space="preserve"> in such a way that </w:t>
      </w:r>
      <w:r w:rsidR="003B4371" w:rsidRPr="002B416D">
        <w:rPr>
          <w:rFonts w:ascii="Calibri" w:hAnsi="Calibri" w:cs="Calibri"/>
          <w:sz w:val="20"/>
          <w:szCs w:val="20"/>
        </w:rPr>
        <w:t>reflects an understanding of</w:t>
      </w:r>
      <w:r w:rsidR="00EF1DCB">
        <w:rPr>
          <w:rFonts w:ascii="Calibri" w:hAnsi="Calibri" w:cs="Calibri"/>
          <w:sz w:val="20"/>
          <w:szCs w:val="20"/>
        </w:rPr>
        <w:t xml:space="preserve"> drugs as a public health -</w:t>
      </w:r>
      <w:r w:rsidR="009E2E2A" w:rsidRPr="002B416D">
        <w:rPr>
          <w:rFonts w:ascii="Calibri" w:hAnsi="Calibri" w:cs="Calibri"/>
          <w:sz w:val="20"/>
          <w:szCs w:val="20"/>
        </w:rPr>
        <w:t>rather than a criminal</w:t>
      </w:r>
      <w:r w:rsidR="003B4371" w:rsidRPr="002B416D">
        <w:rPr>
          <w:rFonts w:ascii="Calibri" w:hAnsi="Calibri" w:cs="Calibri"/>
          <w:sz w:val="20"/>
          <w:szCs w:val="20"/>
        </w:rPr>
        <w:t xml:space="preserve"> justice</w:t>
      </w:r>
      <w:r w:rsidR="00EF1DCB">
        <w:rPr>
          <w:rFonts w:ascii="Calibri" w:hAnsi="Calibri" w:cs="Calibri"/>
          <w:sz w:val="20"/>
          <w:szCs w:val="20"/>
        </w:rPr>
        <w:t xml:space="preserve"> -</w:t>
      </w:r>
      <w:r w:rsidR="009E2E2A" w:rsidRPr="002B416D">
        <w:rPr>
          <w:rFonts w:ascii="Calibri" w:hAnsi="Calibri" w:cs="Calibri"/>
          <w:sz w:val="20"/>
          <w:szCs w:val="20"/>
        </w:rPr>
        <w:t xml:space="preserve"> </w:t>
      </w:r>
      <w:r w:rsidR="00660FA1">
        <w:rPr>
          <w:rFonts w:ascii="Calibri" w:hAnsi="Calibri" w:cs="Calibri"/>
          <w:sz w:val="20"/>
          <w:szCs w:val="20"/>
        </w:rPr>
        <w:t xml:space="preserve">concern, and </w:t>
      </w:r>
      <w:r w:rsidR="002E79CC">
        <w:rPr>
          <w:rFonts w:ascii="Calibri" w:hAnsi="Calibri" w:cs="Calibri"/>
          <w:sz w:val="20"/>
          <w:szCs w:val="20"/>
        </w:rPr>
        <w:t>address non-</w:t>
      </w:r>
      <w:r w:rsidR="00660FA1">
        <w:rPr>
          <w:rFonts w:ascii="Calibri" w:hAnsi="Calibri" w:cs="Calibri"/>
          <w:sz w:val="20"/>
          <w:szCs w:val="20"/>
        </w:rPr>
        <w:t>compliance with S</w:t>
      </w:r>
      <w:r w:rsidR="009E2E2A" w:rsidRPr="002B416D">
        <w:rPr>
          <w:rFonts w:ascii="Calibri" w:hAnsi="Calibri" w:cs="Calibri"/>
          <w:sz w:val="20"/>
          <w:szCs w:val="20"/>
        </w:rPr>
        <w:t>tates</w:t>
      </w:r>
      <w:r w:rsidR="002E79CC">
        <w:rPr>
          <w:rFonts w:ascii="Calibri" w:hAnsi="Calibri" w:cs="Calibri"/>
          <w:sz w:val="20"/>
          <w:szCs w:val="20"/>
        </w:rPr>
        <w:t>’</w:t>
      </w:r>
      <w:r w:rsidR="009E2E2A" w:rsidRPr="002B416D">
        <w:rPr>
          <w:rFonts w:ascii="Calibri" w:hAnsi="Calibri" w:cs="Calibri"/>
          <w:sz w:val="20"/>
          <w:szCs w:val="20"/>
        </w:rPr>
        <w:t xml:space="preserve"> o</w:t>
      </w:r>
      <w:r w:rsidR="003D1B0B">
        <w:rPr>
          <w:rFonts w:ascii="Calibri" w:hAnsi="Calibri" w:cs="Calibri"/>
          <w:sz w:val="20"/>
          <w:szCs w:val="20"/>
        </w:rPr>
        <w:t>bligations to progressive</w:t>
      </w:r>
      <w:r w:rsidR="00A32331">
        <w:rPr>
          <w:rFonts w:ascii="Calibri" w:hAnsi="Calibri" w:cs="Calibri"/>
          <w:sz w:val="20"/>
          <w:szCs w:val="20"/>
        </w:rPr>
        <w:t>ly</w:t>
      </w:r>
      <w:r w:rsidR="003D1B0B">
        <w:rPr>
          <w:rFonts w:ascii="Calibri" w:hAnsi="Calibri" w:cs="Calibri"/>
          <w:sz w:val="20"/>
          <w:szCs w:val="20"/>
        </w:rPr>
        <w:t xml:space="preserve"> realis</w:t>
      </w:r>
      <w:r w:rsidR="009E2E2A" w:rsidRPr="002B416D">
        <w:rPr>
          <w:rFonts w:ascii="Calibri" w:hAnsi="Calibri" w:cs="Calibri"/>
          <w:sz w:val="20"/>
          <w:szCs w:val="20"/>
        </w:rPr>
        <w:t>e the right to the highest attainable standard of health to the maximum of their available resources</w:t>
      </w:r>
      <w:r w:rsidR="00EF1DCB">
        <w:rPr>
          <w:rFonts w:ascii="Calibri" w:hAnsi="Calibri" w:cs="Calibri"/>
          <w:sz w:val="20"/>
          <w:szCs w:val="20"/>
        </w:rPr>
        <w:t>;</w:t>
      </w:r>
    </w:p>
    <w:p w14:paraId="36B68337" w14:textId="258DE4D6" w:rsidR="00EF1DCB" w:rsidRPr="00EF1DCB" w:rsidRDefault="00EF1DCB" w:rsidP="00660FA1">
      <w:pPr>
        <w:pStyle w:val="BodyText"/>
        <w:numPr>
          <w:ilvl w:val="0"/>
          <w:numId w:val="15"/>
        </w:numPr>
        <w:spacing w:line="276" w:lineRule="auto"/>
        <w:ind w:left="714" w:hanging="357"/>
        <w:jc w:val="both"/>
        <w:rPr>
          <w:rFonts w:ascii="Calibri" w:hAnsi="Calibri" w:cs="Calibri"/>
          <w:sz w:val="20"/>
          <w:szCs w:val="20"/>
        </w:rPr>
      </w:pPr>
      <w:r w:rsidRPr="002B416D">
        <w:rPr>
          <w:rFonts w:ascii="Calibri" w:hAnsi="Calibri" w:cs="Calibri"/>
          <w:sz w:val="20"/>
          <w:szCs w:val="20"/>
        </w:rPr>
        <w:t>Prevent and combat any form of discrimination</w:t>
      </w:r>
      <w:r w:rsidR="00CA25A4">
        <w:rPr>
          <w:rFonts w:ascii="Calibri" w:hAnsi="Calibri" w:cs="Calibri"/>
          <w:sz w:val="20"/>
          <w:szCs w:val="20"/>
        </w:rPr>
        <w:t xml:space="preserve"> against people who use drugs</w:t>
      </w:r>
      <w:r w:rsidRPr="002B416D">
        <w:rPr>
          <w:rFonts w:ascii="Calibri" w:hAnsi="Calibri" w:cs="Calibri"/>
          <w:sz w:val="20"/>
          <w:szCs w:val="20"/>
        </w:rPr>
        <w:t xml:space="preserve"> in the access to health goods and</w:t>
      </w:r>
      <w:r>
        <w:rPr>
          <w:rFonts w:ascii="Calibri" w:hAnsi="Calibri" w:cs="Calibri"/>
          <w:sz w:val="20"/>
          <w:szCs w:val="20"/>
        </w:rPr>
        <w:t xml:space="preserve"> services</w:t>
      </w:r>
      <w:r w:rsidRPr="002B416D">
        <w:rPr>
          <w:rFonts w:ascii="Calibri" w:hAnsi="Calibri" w:cs="Calibri"/>
          <w:sz w:val="20"/>
          <w:szCs w:val="20"/>
        </w:rPr>
        <w:t xml:space="preserve">, as well as in the design and implementation of drug control and criminal justice </w:t>
      </w:r>
      <w:r>
        <w:rPr>
          <w:rFonts w:ascii="Calibri" w:hAnsi="Calibri" w:cs="Calibri"/>
          <w:sz w:val="20"/>
          <w:szCs w:val="20"/>
        </w:rPr>
        <w:t>policies and interventions.</w:t>
      </w:r>
    </w:p>
    <w:sectPr w:rsidR="00EF1DCB" w:rsidRPr="00EF1DCB" w:rsidSect="009E2E2A">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2BD6" w14:textId="77777777" w:rsidR="00EC7D0E" w:rsidRDefault="00EC7D0E" w:rsidP="001357CA">
      <w:pPr>
        <w:spacing w:after="0" w:line="240" w:lineRule="auto"/>
      </w:pPr>
      <w:r>
        <w:separator/>
      </w:r>
    </w:p>
  </w:endnote>
  <w:endnote w:type="continuationSeparator" w:id="0">
    <w:p w14:paraId="5029576F" w14:textId="77777777" w:rsidR="00EC7D0E" w:rsidRDefault="00EC7D0E" w:rsidP="0013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6193"/>
      <w:docPartObj>
        <w:docPartGallery w:val="Page Numbers (Bottom of Page)"/>
        <w:docPartUnique/>
      </w:docPartObj>
    </w:sdtPr>
    <w:sdtEndPr>
      <w:rPr>
        <w:noProof/>
      </w:rPr>
    </w:sdtEndPr>
    <w:sdtContent>
      <w:p w14:paraId="1F99E1AB" w14:textId="04E72084" w:rsidR="001B45E3" w:rsidRDefault="001B45E3">
        <w:pPr>
          <w:pStyle w:val="Footer"/>
          <w:jc w:val="center"/>
        </w:pPr>
        <w:r>
          <w:fldChar w:fldCharType="begin"/>
        </w:r>
        <w:r>
          <w:instrText xml:space="preserve"> PAGE   \* MERGEFORMAT </w:instrText>
        </w:r>
        <w:r>
          <w:fldChar w:fldCharType="separate"/>
        </w:r>
        <w:r w:rsidR="006A2E47">
          <w:rPr>
            <w:noProof/>
          </w:rPr>
          <w:t>1</w:t>
        </w:r>
        <w:r>
          <w:rPr>
            <w:noProof/>
          </w:rPr>
          <w:fldChar w:fldCharType="end"/>
        </w:r>
      </w:p>
    </w:sdtContent>
  </w:sdt>
  <w:p w14:paraId="254B2091" w14:textId="77777777" w:rsidR="004208FD" w:rsidRDefault="0042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A348" w14:textId="580E09CB" w:rsidR="00786D21" w:rsidRPr="007F3388" w:rsidRDefault="00786D21" w:rsidP="00D8453C">
    <w:pPr>
      <w:spacing w:line="240" w:lineRule="auto"/>
      <w:contextualSpacing/>
      <w:jc w:val="center"/>
      <w:rPr>
        <w:rFonts w:ascii="Calibri Light" w:hAnsi="Calibri Light" w:cs="Calibri Light"/>
        <w:color w:val="A6A6A6"/>
        <w:sz w:val="18"/>
        <w:szCs w:val="18"/>
        <w:lang w:eastAsia="en-GB"/>
      </w:rPr>
    </w:pPr>
    <w:r w:rsidRPr="007F3388">
      <w:rPr>
        <w:rFonts w:ascii="Calibri Light" w:hAnsi="Calibri Light" w:cs="Calibri Light"/>
        <w:color w:val="A6A6A6"/>
        <w:sz w:val="18"/>
        <w:szCs w:val="18"/>
        <w:lang w:eastAsia="en-GB"/>
      </w:rPr>
      <w:t>Harm Reduction International</w:t>
    </w:r>
    <w:r w:rsidR="00D8453C">
      <w:rPr>
        <w:rFonts w:ascii="Calibri Light" w:hAnsi="Calibri Light" w:cs="Calibri Light"/>
        <w:color w:val="A6A6A6"/>
        <w:sz w:val="18"/>
        <w:szCs w:val="18"/>
        <w:lang w:eastAsia="en-GB"/>
      </w:rPr>
      <w:t xml:space="preserve"> - </w:t>
    </w:r>
    <w:r w:rsidRPr="007F3388">
      <w:rPr>
        <w:rFonts w:ascii="Calibri Light" w:hAnsi="Calibri Light" w:cs="Calibri Light"/>
        <w:color w:val="A6A6A6"/>
        <w:sz w:val="18"/>
        <w:szCs w:val="18"/>
        <w:lang w:eastAsia="en-GB"/>
      </w:rPr>
      <w:t>Unit 2C09, South Bank Technopark</w:t>
    </w:r>
    <w:r w:rsidR="00D8453C">
      <w:rPr>
        <w:rFonts w:ascii="Calibri Light" w:hAnsi="Calibri Light" w:cs="Calibri Light"/>
        <w:color w:val="A6A6A6"/>
        <w:sz w:val="18"/>
        <w:szCs w:val="18"/>
        <w:lang w:eastAsia="en-GB"/>
      </w:rPr>
      <w:t xml:space="preserve">, </w:t>
    </w:r>
    <w:r w:rsidRPr="007F3388">
      <w:rPr>
        <w:rFonts w:ascii="Calibri Light" w:hAnsi="Calibri Light" w:cs="Calibri Light"/>
        <w:color w:val="A6A6A6"/>
        <w:sz w:val="18"/>
        <w:szCs w:val="18"/>
        <w:lang w:eastAsia="en-GB"/>
      </w:rPr>
      <w:t>90 London Road, London</w:t>
    </w:r>
    <w:r w:rsidR="00D8453C">
      <w:rPr>
        <w:rFonts w:ascii="Calibri Light" w:hAnsi="Calibri Light" w:cs="Calibri Light"/>
        <w:color w:val="A6A6A6"/>
        <w:sz w:val="18"/>
        <w:szCs w:val="18"/>
        <w:lang w:eastAsia="en-GB"/>
      </w:rPr>
      <w:t>, SE1 6LN (UK)</w:t>
    </w:r>
  </w:p>
  <w:p w14:paraId="0DD873D3" w14:textId="77777777" w:rsidR="00786D21" w:rsidRDefault="00786D21" w:rsidP="00786D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6AEB" w14:textId="77777777" w:rsidR="00EC7D0E" w:rsidRDefault="00EC7D0E" w:rsidP="001357CA">
      <w:pPr>
        <w:spacing w:after="0" w:line="240" w:lineRule="auto"/>
      </w:pPr>
      <w:r>
        <w:separator/>
      </w:r>
    </w:p>
  </w:footnote>
  <w:footnote w:type="continuationSeparator" w:id="0">
    <w:p w14:paraId="1E6B3B99" w14:textId="77777777" w:rsidR="00EC7D0E" w:rsidRDefault="00EC7D0E" w:rsidP="001357CA">
      <w:pPr>
        <w:spacing w:after="0" w:line="240" w:lineRule="auto"/>
      </w:pPr>
      <w:r>
        <w:continuationSeparator/>
      </w:r>
    </w:p>
  </w:footnote>
  <w:footnote w:id="1">
    <w:p w14:paraId="1BA9E7B4" w14:textId="3D438F9E" w:rsidR="002505EA" w:rsidRPr="00E27CE7" w:rsidRDefault="002505EA" w:rsidP="00E27CE7">
      <w:pPr>
        <w:spacing w:after="0" w:line="240" w:lineRule="auto"/>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7F3388" w:rsidRPr="00E27CE7">
        <w:rPr>
          <w:rFonts w:ascii="Calibri" w:hAnsi="Calibri" w:cs="Calibri"/>
          <w:sz w:val="16"/>
          <w:szCs w:val="16"/>
        </w:rPr>
        <w:t xml:space="preserve">Paul Hunt, </w:t>
      </w:r>
      <w:r w:rsidR="00D8453C">
        <w:rPr>
          <w:rFonts w:ascii="Calibri" w:hAnsi="Calibri" w:cs="Calibri"/>
          <w:sz w:val="16"/>
          <w:szCs w:val="16"/>
        </w:rPr>
        <w:t>‘</w:t>
      </w:r>
      <w:r w:rsidR="007F3388" w:rsidRPr="00E27CE7">
        <w:rPr>
          <w:rFonts w:ascii="Calibri" w:hAnsi="Calibri" w:cs="Calibri"/>
          <w:sz w:val="16"/>
          <w:szCs w:val="16"/>
        </w:rPr>
        <w:t>Human rights, health, and harm reduction – States’</w:t>
      </w:r>
      <w:r w:rsidR="00D8453C">
        <w:rPr>
          <w:rFonts w:ascii="Calibri" w:hAnsi="Calibri" w:cs="Calibri"/>
          <w:sz w:val="16"/>
          <w:szCs w:val="16"/>
        </w:rPr>
        <w:t xml:space="preserve"> amnesia and parallel universes’</w:t>
      </w:r>
      <w:r w:rsidR="007F3388" w:rsidRPr="00E27CE7">
        <w:rPr>
          <w:rFonts w:ascii="Calibri" w:hAnsi="Calibri" w:cs="Calibri"/>
          <w:sz w:val="16"/>
          <w:szCs w:val="16"/>
        </w:rPr>
        <w:t xml:space="preserve"> (keynote presentation at the 19</w:t>
      </w:r>
      <w:r w:rsidR="007F3388" w:rsidRPr="00E27CE7">
        <w:rPr>
          <w:rFonts w:ascii="Calibri" w:hAnsi="Calibri" w:cs="Calibri"/>
          <w:sz w:val="16"/>
          <w:szCs w:val="16"/>
          <w:vertAlign w:val="superscript"/>
        </w:rPr>
        <w:t>th</w:t>
      </w:r>
      <w:r w:rsidR="007F3388" w:rsidRPr="00E27CE7">
        <w:rPr>
          <w:rFonts w:ascii="Calibri" w:hAnsi="Calibri" w:cs="Calibri"/>
          <w:sz w:val="16"/>
          <w:szCs w:val="16"/>
        </w:rPr>
        <w:t xml:space="preserve"> International Harm Reduction Conference, Barcelona, Spain, May 11, 2008). Accessible at: https://www.hri.global/files/2010/06/16/HumanRightsHealthAndHarmReduction.pdf</w:t>
      </w:r>
    </w:p>
  </w:footnote>
  <w:footnote w:id="2">
    <w:p w14:paraId="4F6ADA55" w14:textId="16C862B6" w:rsidR="00E770A2" w:rsidRPr="00E27CE7" w:rsidRDefault="00E770A2"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185024" w:rsidRPr="00E27CE7">
        <w:rPr>
          <w:rFonts w:ascii="Calibri" w:hAnsi="Calibri" w:cs="Calibri"/>
          <w:sz w:val="16"/>
          <w:szCs w:val="16"/>
        </w:rPr>
        <w:t xml:space="preserve">UNGASS Outcome Document, Paragraph 4(a) </w:t>
      </w:r>
    </w:p>
  </w:footnote>
  <w:footnote w:id="3">
    <w:p w14:paraId="602AABA5" w14:textId="02BDBCB1" w:rsidR="00BD6B01" w:rsidRPr="00E27CE7" w:rsidRDefault="00BD6B01" w:rsidP="00E27CE7">
      <w:pPr>
        <w:pStyle w:val="Heading1"/>
        <w:shd w:val="clear" w:color="auto" w:fill="FFFFFF"/>
        <w:spacing w:before="0" w:line="240" w:lineRule="auto"/>
        <w:contextualSpacing/>
        <w:textAlignment w:val="baseline"/>
        <w:rPr>
          <w:rFonts w:ascii="Calibri" w:hAnsi="Calibri" w:cs="Calibri"/>
          <w:color w:val="auto"/>
          <w:sz w:val="16"/>
          <w:szCs w:val="16"/>
        </w:rPr>
      </w:pPr>
      <w:r w:rsidRPr="00E27CE7">
        <w:rPr>
          <w:rStyle w:val="FootnoteReference"/>
          <w:rFonts w:ascii="Calibri" w:hAnsi="Calibri" w:cs="Calibri"/>
          <w:color w:val="auto"/>
          <w:sz w:val="16"/>
          <w:szCs w:val="16"/>
        </w:rPr>
        <w:footnoteRef/>
      </w:r>
      <w:r w:rsidRPr="00E27CE7">
        <w:rPr>
          <w:rFonts w:ascii="Calibri" w:hAnsi="Calibri" w:cs="Calibri"/>
          <w:color w:val="auto"/>
          <w:sz w:val="16"/>
          <w:szCs w:val="16"/>
        </w:rPr>
        <w:t xml:space="preserve"> </w:t>
      </w:r>
      <w:r w:rsidR="00185024" w:rsidRPr="00E27CE7">
        <w:rPr>
          <w:rFonts w:ascii="Calibri" w:hAnsi="Calibri" w:cs="Calibri"/>
          <w:color w:val="auto"/>
          <w:sz w:val="16"/>
          <w:szCs w:val="16"/>
        </w:rPr>
        <w:t xml:space="preserve">Gen Sander, </w:t>
      </w:r>
      <w:r w:rsidR="00687438" w:rsidRPr="00E27CE7">
        <w:rPr>
          <w:rFonts w:ascii="Calibri" w:hAnsi="Calibri" w:cs="Calibri"/>
          <w:color w:val="auto"/>
          <w:sz w:val="16"/>
          <w:szCs w:val="16"/>
        </w:rPr>
        <w:t>‘</w:t>
      </w:r>
      <w:r w:rsidR="00185024" w:rsidRPr="00E27CE7">
        <w:rPr>
          <w:rFonts w:ascii="Calibri" w:hAnsi="Calibri" w:cs="Calibri"/>
          <w:bCs/>
          <w:color w:val="auto"/>
          <w:sz w:val="16"/>
          <w:szCs w:val="16"/>
        </w:rPr>
        <w:t>The global state of harm reduction in prisons: Inadequate, unreliable and unlawful</w:t>
      </w:r>
      <w:r w:rsidR="00687438" w:rsidRPr="00E27CE7">
        <w:rPr>
          <w:rFonts w:ascii="Calibri" w:hAnsi="Calibri" w:cs="Calibri"/>
          <w:bCs/>
          <w:color w:val="auto"/>
          <w:sz w:val="16"/>
          <w:szCs w:val="16"/>
        </w:rPr>
        <w:t>’ (Penal Reform International, 6 February 2017). Available at https://www.penalreform.org/blog/the-global-state-of-harm-reduction-in-prisons/</w:t>
      </w:r>
    </w:p>
  </w:footnote>
  <w:footnote w:id="4">
    <w:p w14:paraId="56D2B65B" w14:textId="05AC0F39" w:rsidR="00BD6B01" w:rsidRPr="00E27CE7" w:rsidRDefault="00BD6B01"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00687438" w:rsidRPr="00E27CE7">
        <w:rPr>
          <w:rFonts w:ascii="Calibri" w:hAnsi="Calibri" w:cs="Calibri"/>
          <w:sz w:val="16"/>
          <w:szCs w:val="16"/>
        </w:rPr>
        <w:t xml:space="preserve"> Paul Hunt, ‘Human rights, health, and harm reduction’</w:t>
      </w:r>
      <w:r w:rsidRPr="00E27CE7">
        <w:rPr>
          <w:rFonts w:ascii="Calibri" w:hAnsi="Calibri" w:cs="Calibri"/>
          <w:sz w:val="16"/>
          <w:szCs w:val="16"/>
        </w:rPr>
        <w:t>, 8.</w:t>
      </w:r>
      <w:r w:rsidR="00687438" w:rsidRPr="00E27CE7">
        <w:rPr>
          <w:rFonts w:ascii="Calibri" w:hAnsi="Calibri" w:cs="Calibri"/>
          <w:sz w:val="16"/>
          <w:szCs w:val="16"/>
        </w:rPr>
        <w:t xml:space="preserve"> Key human rights mechanisms have reiterated this principle, such as: </w:t>
      </w:r>
      <w:r w:rsidRPr="00E27CE7">
        <w:rPr>
          <w:rFonts w:ascii="Calibri" w:hAnsi="Calibri" w:cs="Calibri"/>
          <w:sz w:val="16"/>
          <w:szCs w:val="16"/>
        </w:rPr>
        <w:t xml:space="preserve"> </w:t>
      </w:r>
      <w:r w:rsidR="00687438" w:rsidRPr="00E27CE7">
        <w:rPr>
          <w:rFonts w:ascii="Calibri" w:hAnsi="Calibri" w:cs="Calibri"/>
          <w:sz w:val="16"/>
          <w:szCs w:val="16"/>
        </w:rPr>
        <w:t xml:space="preserve">Special Rapporteur on the right of everyone to the highest attainable standard of mental and physical health, </w:t>
      </w:r>
      <w:proofErr w:type="spellStart"/>
      <w:r w:rsidR="00687438" w:rsidRPr="00E27CE7">
        <w:rPr>
          <w:rFonts w:ascii="Calibri" w:hAnsi="Calibri" w:cs="Calibri"/>
          <w:sz w:val="16"/>
          <w:szCs w:val="16"/>
        </w:rPr>
        <w:t>Dainius</w:t>
      </w:r>
      <w:proofErr w:type="spellEnd"/>
      <w:r w:rsidR="00687438" w:rsidRPr="00E27CE7">
        <w:rPr>
          <w:rFonts w:ascii="Calibri" w:hAnsi="Calibri" w:cs="Calibri"/>
          <w:sz w:val="16"/>
          <w:szCs w:val="16"/>
        </w:rPr>
        <w:t xml:space="preserve"> </w:t>
      </w:r>
      <w:proofErr w:type="spellStart"/>
      <w:r w:rsidR="00687438" w:rsidRPr="00E27CE7">
        <w:rPr>
          <w:rFonts w:ascii="Calibri" w:hAnsi="Calibri" w:cs="Calibri"/>
          <w:sz w:val="16"/>
          <w:szCs w:val="16"/>
        </w:rPr>
        <w:t>Pūras</w:t>
      </w:r>
      <w:proofErr w:type="spellEnd"/>
      <w:r w:rsidR="00687438" w:rsidRPr="00E27CE7">
        <w:rPr>
          <w:rFonts w:ascii="Calibri" w:hAnsi="Calibri" w:cs="Calibri"/>
          <w:sz w:val="16"/>
          <w:szCs w:val="16"/>
        </w:rPr>
        <w:t>, ‘Open Letter in the context of the preparations for the UN General Assembly Special Session on the Drug Problem (UNGASS), which will take place in New York in April 2016’ (7 December 2015)</w:t>
      </w:r>
    </w:p>
  </w:footnote>
  <w:footnote w:id="5">
    <w:p w14:paraId="6CAA94E7" w14:textId="43EEF076" w:rsidR="00BF61EA" w:rsidRPr="00E27CE7" w:rsidRDefault="00BF61EA" w:rsidP="00E27CE7">
      <w:pPr>
        <w:pStyle w:val="Heading1"/>
        <w:shd w:val="clear" w:color="auto" w:fill="FFFFFF"/>
        <w:spacing w:before="0" w:line="240" w:lineRule="auto"/>
        <w:contextualSpacing/>
        <w:rPr>
          <w:rFonts w:ascii="Calibri" w:hAnsi="Calibri" w:cs="Calibri"/>
          <w:color w:val="auto"/>
          <w:sz w:val="16"/>
          <w:szCs w:val="16"/>
        </w:rPr>
      </w:pPr>
      <w:r w:rsidRPr="00E27CE7">
        <w:rPr>
          <w:rStyle w:val="FootnoteReference"/>
          <w:rFonts w:ascii="Calibri" w:hAnsi="Calibri" w:cs="Calibri"/>
          <w:color w:val="auto"/>
          <w:sz w:val="16"/>
          <w:szCs w:val="16"/>
        </w:rPr>
        <w:footnoteRef/>
      </w:r>
      <w:r w:rsidRPr="00E27CE7">
        <w:rPr>
          <w:rFonts w:ascii="Calibri" w:hAnsi="Calibri" w:cs="Calibri"/>
          <w:color w:val="auto"/>
          <w:sz w:val="16"/>
          <w:szCs w:val="16"/>
        </w:rPr>
        <w:t xml:space="preserve"> </w:t>
      </w:r>
      <w:r w:rsidR="00687438" w:rsidRPr="00E27CE7">
        <w:rPr>
          <w:rFonts w:ascii="Calibri" w:hAnsi="Calibri" w:cs="Calibri"/>
          <w:color w:val="auto"/>
          <w:sz w:val="16"/>
          <w:szCs w:val="16"/>
        </w:rPr>
        <w:t xml:space="preserve">Sarah Larney et al., “Global, regional, and country-level coverage of interventions to prevent and manage HIV and hepatitis C among people who inject drugs: a systematic review” 5(12) </w:t>
      </w:r>
      <w:r w:rsidR="00687438" w:rsidRPr="00E27CE7">
        <w:rPr>
          <w:rFonts w:ascii="Calibri" w:hAnsi="Calibri" w:cs="Calibri"/>
          <w:i/>
          <w:color w:val="auto"/>
          <w:sz w:val="16"/>
          <w:szCs w:val="16"/>
        </w:rPr>
        <w:t>The Lancet</w:t>
      </w:r>
      <w:r w:rsidR="00781962" w:rsidRPr="00E27CE7">
        <w:rPr>
          <w:rFonts w:ascii="Calibri" w:hAnsi="Calibri" w:cs="Calibri"/>
          <w:color w:val="auto"/>
          <w:sz w:val="16"/>
          <w:szCs w:val="16"/>
        </w:rPr>
        <w:t xml:space="preserve"> (December 2017)</w:t>
      </w:r>
    </w:p>
  </w:footnote>
  <w:footnote w:id="6">
    <w:p w14:paraId="2A44A19D" w14:textId="280FC1EF" w:rsidR="00AB4506" w:rsidRPr="00E27CE7" w:rsidRDefault="00AB4506"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7F3388" w:rsidRPr="00E27CE7">
        <w:rPr>
          <w:rFonts w:ascii="Calibri" w:hAnsi="Calibri" w:cs="Calibri"/>
          <w:sz w:val="16"/>
          <w:szCs w:val="16"/>
        </w:rPr>
        <w:t>Katie Stone (ed.), ‘The Global State of Harm Reduction 2016’ (London: Harm Reduction International, 2016),</w:t>
      </w:r>
      <w:r w:rsidRPr="00E27CE7">
        <w:rPr>
          <w:rFonts w:ascii="Calibri" w:hAnsi="Calibri" w:cs="Calibri"/>
          <w:sz w:val="16"/>
          <w:szCs w:val="16"/>
        </w:rPr>
        <w:t xml:space="preserve"> 9</w:t>
      </w:r>
    </w:p>
  </w:footnote>
  <w:footnote w:id="7">
    <w:p w14:paraId="2C2ECE0B" w14:textId="1542964B" w:rsidR="00392394" w:rsidRPr="00E27CE7" w:rsidRDefault="00392394"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687438" w:rsidRPr="00E27CE7">
        <w:rPr>
          <w:rFonts w:ascii="Calibri" w:hAnsi="Calibri" w:cs="Calibri"/>
          <w:sz w:val="16"/>
          <w:szCs w:val="16"/>
        </w:rPr>
        <w:t>UN General Assembly, </w:t>
      </w:r>
      <w:r w:rsidR="00687438" w:rsidRPr="00E27CE7">
        <w:rPr>
          <w:rFonts w:ascii="Calibri" w:hAnsi="Calibri" w:cs="Calibri"/>
          <w:i/>
          <w:iCs/>
          <w:sz w:val="16"/>
          <w:szCs w:val="16"/>
        </w:rPr>
        <w:t>International Covenant on Economic, Social and Cultural Rights</w:t>
      </w:r>
      <w:r w:rsidR="00687438" w:rsidRPr="00E27CE7">
        <w:rPr>
          <w:rFonts w:ascii="Calibri" w:hAnsi="Calibri" w:cs="Calibri"/>
          <w:sz w:val="16"/>
          <w:szCs w:val="16"/>
        </w:rPr>
        <w:t>, 16 December 1966, United Nat</w:t>
      </w:r>
      <w:r w:rsidR="00D8453C">
        <w:rPr>
          <w:rFonts w:ascii="Calibri" w:hAnsi="Calibri" w:cs="Calibri"/>
          <w:sz w:val="16"/>
          <w:szCs w:val="16"/>
        </w:rPr>
        <w:t>ions, Treaty Series, Vol. 993</w:t>
      </w:r>
    </w:p>
  </w:footnote>
  <w:footnote w:id="8">
    <w:p w14:paraId="451FEF8E" w14:textId="41715B1E" w:rsidR="0054726F" w:rsidRPr="00E27CE7" w:rsidRDefault="0054726F"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F95D1F" w:rsidRPr="00E27CE7">
        <w:rPr>
          <w:rFonts w:ascii="Calibri" w:hAnsi="Calibri" w:cs="Calibri"/>
          <w:iCs/>
          <w:sz w:val="16"/>
          <w:szCs w:val="16"/>
        </w:rPr>
        <w:t>International Covenant on Economic, Social and Cultural Rights,</w:t>
      </w:r>
      <w:r w:rsidR="00F92BA0" w:rsidRPr="00E27CE7">
        <w:rPr>
          <w:rFonts w:ascii="Calibri" w:hAnsi="Calibri" w:cs="Calibri"/>
          <w:iCs/>
          <w:sz w:val="16"/>
          <w:szCs w:val="16"/>
        </w:rPr>
        <w:t xml:space="preserve"> Article</w:t>
      </w:r>
      <w:r w:rsidR="00781962" w:rsidRPr="00E27CE7">
        <w:rPr>
          <w:rFonts w:ascii="Calibri" w:hAnsi="Calibri" w:cs="Calibri"/>
          <w:iCs/>
          <w:sz w:val="16"/>
          <w:szCs w:val="16"/>
        </w:rPr>
        <w:t>s</w:t>
      </w:r>
      <w:r w:rsidR="00F92BA0" w:rsidRPr="00E27CE7">
        <w:rPr>
          <w:rFonts w:ascii="Calibri" w:hAnsi="Calibri" w:cs="Calibri"/>
          <w:iCs/>
          <w:sz w:val="16"/>
          <w:szCs w:val="16"/>
        </w:rPr>
        <w:t xml:space="preserve"> 2.1</w:t>
      </w:r>
      <w:r w:rsidR="00781962" w:rsidRPr="00E27CE7">
        <w:rPr>
          <w:rFonts w:ascii="Calibri" w:hAnsi="Calibri" w:cs="Calibri"/>
          <w:iCs/>
          <w:sz w:val="16"/>
          <w:szCs w:val="16"/>
        </w:rPr>
        <w:t xml:space="preserve"> and 12</w:t>
      </w:r>
    </w:p>
  </w:footnote>
  <w:footnote w:id="9">
    <w:p w14:paraId="7535FACA" w14:textId="2C450528" w:rsidR="00BC05EE" w:rsidRPr="00E27CE7" w:rsidRDefault="00BC05EE" w:rsidP="00E27CE7">
      <w:pPr>
        <w:pStyle w:val="Heading1"/>
        <w:spacing w:before="0" w:line="240" w:lineRule="auto"/>
        <w:contextualSpacing/>
        <w:rPr>
          <w:rFonts w:ascii="Calibri" w:hAnsi="Calibri" w:cs="Calibri"/>
          <w:color w:val="auto"/>
          <w:sz w:val="16"/>
          <w:szCs w:val="16"/>
        </w:rPr>
      </w:pPr>
      <w:r w:rsidRPr="00E27CE7">
        <w:rPr>
          <w:rStyle w:val="FootnoteReference"/>
          <w:rFonts w:ascii="Calibri" w:hAnsi="Calibri" w:cs="Calibri"/>
          <w:color w:val="auto"/>
          <w:sz w:val="16"/>
          <w:szCs w:val="16"/>
        </w:rPr>
        <w:footnoteRef/>
      </w:r>
      <w:r w:rsidRPr="00E27CE7">
        <w:rPr>
          <w:rFonts w:ascii="Calibri" w:hAnsi="Calibri" w:cs="Calibri"/>
          <w:color w:val="auto"/>
          <w:sz w:val="16"/>
          <w:szCs w:val="16"/>
        </w:rPr>
        <w:t xml:space="preserve"> </w:t>
      </w:r>
      <w:r w:rsidR="00F92BA0" w:rsidRPr="00E27CE7">
        <w:rPr>
          <w:rFonts w:ascii="Calibri" w:hAnsi="Calibri" w:cs="Calibri"/>
          <w:color w:val="auto"/>
          <w:sz w:val="16"/>
          <w:szCs w:val="16"/>
        </w:rPr>
        <w:t xml:space="preserve">Among others, see: ‘France's first drug room for addicts to inject opens in Paris’ (BBC News, 11 October 2016). Available at: </w:t>
      </w:r>
      <w:hyperlink r:id="rId1" w:history="1">
        <w:r w:rsidR="00F92BA0" w:rsidRPr="00E27CE7">
          <w:rPr>
            <w:rStyle w:val="Hyperlink"/>
            <w:rFonts w:ascii="Calibri" w:hAnsi="Calibri" w:cs="Calibri"/>
            <w:color w:val="auto"/>
            <w:sz w:val="16"/>
            <w:szCs w:val="16"/>
          </w:rPr>
          <w:t>http://www.bbc.co.uk/news/world-europe-37617360</w:t>
        </w:r>
      </w:hyperlink>
      <w:r w:rsidR="00F92BA0" w:rsidRPr="00E27CE7">
        <w:rPr>
          <w:rFonts w:ascii="Calibri" w:hAnsi="Calibri" w:cs="Calibri"/>
          <w:color w:val="auto"/>
          <w:sz w:val="16"/>
          <w:szCs w:val="16"/>
        </w:rPr>
        <w:t xml:space="preserve">; Ingrid </w:t>
      </w:r>
      <w:proofErr w:type="spellStart"/>
      <w:r w:rsidR="00F92BA0" w:rsidRPr="00E27CE7">
        <w:rPr>
          <w:rFonts w:ascii="Calibri" w:hAnsi="Calibri" w:cs="Calibri"/>
          <w:color w:val="auto"/>
          <w:sz w:val="16"/>
          <w:szCs w:val="16"/>
        </w:rPr>
        <w:t>Torjesen</w:t>
      </w:r>
      <w:proofErr w:type="spellEnd"/>
      <w:r w:rsidR="00F92BA0" w:rsidRPr="00E27CE7">
        <w:rPr>
          <w:rFonts w:ascii="Calibri" w:hAnsi="Calibri" w:cs="Calibri"/>
          <w:color w:val="auto"/>
          <w:sz w:val="16"/>
          <w:szCs w:val="16"/>
        </w:rPr>
        <w:t>, ‘</w:t>
      </w:r>
      <w:r w:rsidR="00F92BA0" w:rsidRPr="00E27CE7">
        <w:rPr>
          <w:rFonts w:ascii="Calibri" w:hAnsi="Calibri" w:cs="Calibri"/>
          <w:bCs/>
          <w:color w:val="auto"/>
          <w:sz w:val="16"/>
          <w:szCs w:val="16"/>
        </w:rPr>
        <w:t xml:space="preserve">Scottish MPs urge UK government to allow drug consumption rooms to be piloted in Scotland’ (The Pharmaceutical Journal, 22 January 2018). Available at: </w:t>
      </w:r>
      <w:r w:rsidR="00F92BA0" w:rsidRPr="00E27CE7">
        <w:rPr>
          <w:rFonts w:ascii="Calibri" w:hAnsi="Calibri" w:cs="Calibri"/>
          <w:color w:val="auto"/>
          <w:sz w:val="16"/>
          <w:szCs w:val="16"/>
        </w:rPr>
        <w:t xml:space="preserve"> </w:t>
      </w:r>
      <w:proofErr w:type="spellStart"/>
      <w:r w:rsidR="00F92BA0" w:rsidRPr="00E27CE7">
        <w:rPr>
          <w:rFonts w:ascii="Calibri" w:hAnsi="Calibri" w:cs="Calibri"/>
          <w:color w:val="auto"/>
          <w:sz w:val="16"/>
          <w:szCs w:val="16"/>
        </w:rPr>
        <w:t>scotland</w:t>
      </w:r>
      <w:proofErr w:type="spellEnd"/>
      <w:r w:rsidR="00F92BA0" w:rsidRPr="00E27CE7">
        <w:rPr>
          <w:rFonts w:ascii="Calibri" w:hAnsi="Calibri" w:cs="Calibri"/>
          <w:color w:val="auto"/>
          <w:sz w:val="16"/>
          <w:szCs w:val="16"/>
        </w:rPr>
        <w:t xml:space="preserve">/20204264.article; William </w:t>
      </w:r>
      <w:proofErr w:type="spellStart"/>
      <w:r w:rsidR="00F92BA0" w:rsidRPr="00E27CE7">
        <w:rPr>
          <w:rFonts w:ascii="Calibri" w:hAnsi="Calibri" w:cs="Calibri"/>
          <w:color w:val="auto"/>
          <w:sz w:val="16"/>
          <w:szCs w:val="16"/>
        </w:rPr>
        <w:t>Neuman</w:t>
      </w:r>
      <w:proofErr w:type="spellEnd"/>
      <w:r w:rsidR="00F92BA0" w:rsidRPr="00E27CE7">
        <w:rPr>
          <w:rFonts w:ascii="Calibri" w:hAnsi="Calibri" w:cs="Calibri"/>
          <w:color w:val="auto"/>
          <w:sz w:val="16"/>
          <w:szCs w:val="16"/>
        </w:rPr>
        <w:t xml:space="preserve">, ‘De </w:t>
      </w:r>
      <w:proofErr w:type="spellStart"/>
      <w:r w:rsidR="00F92BA0" w:rsidRPr="00E27CE7">
        <w:rPr>
          <w:rFonts w:ascii="Calibri" w:hAnsi="Calibri" w:cs="Calibri"/>
          <w:color w:val="auto"/>
          <w:sz w:val="16"/>
          <w:szCs w:val="16"/>
        </w:rPr>
        <w:t>Blasio</w:t>
      </w:r>
      <w:proofErr w:type="spellEnd"/>
      <w:r w:rsidR="00F92BA0" w:rsidRPr="00E27CE7">
        <w:rPr>
          <w:rFonts w:ascii="Calibri" w:hAnsi="Calibri" w:cs="Calibri"/>
          <w:color w:val="auto"/>
          <w:sz w:val="16"/>
          <w:szCs w:val="16"/>
        </w:rPr>
        <w:t xml:space="preserve"> moves to bring safe injection sites to New York City (New York Times, 3 May 2018). Available at: </w:t>
      </w:r>
      <w:r w:rsidR="007D281A" w:rsidRPr="00E27CE7">
        <w:rPr>
          <w:rFonts w:ascii="Calibri" w:hAnsi="Calibri" w:cs="Calibri"/>
          <w:color w:val="auto"/>
          <w:sz w:val="16"/>
          <w:szCs w:val="16"/>
        </w:rPr>
        <w:t xml:space="preserve"> </w:t>
      </w:r>
      <w:r w:rsidRPr="00E27CE7">
        <w:rPr>
          <w:rFonts w:ascii="Calibri" w:hAnsi="Calibri" w:cs="Calibri"/>
          <w:color w:val="auto"/>
          <w:sz w:val="16"/>
          <w:szCs w:val="16"/>
        </w:rPr>
        <w:t>https://www.nytimes.com/2018/05/03/nyregion/nyc-safe-injection-sites-heroin.html /</w:t>
      </w:r>
    </w:p>
  </w:footnote>
  <w:footnote w:id="10">
    <w:p w14:paraId="32E32047" w14:textId="62340627" w:rsidR="001C4F28" w:rsidRPr="00E27CE7" w:rsidRDefault="001C4F28"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proofErr w:type="spellStart"/>
      <w:r w:rsidR="00B24D8C" w:rsidRPr="00E27CE7">
        <w:rPr>
          <w:rFonts w:ascii="Calibri" w:hAnsi="Calibri" w:cs="Calibri"/>
          <w:sz w:val="16"/>
          <w:szCs w:val="16"/>
        </w:rPr>
        <w:t>Vendula</w:t>
      </w:r>
      <w:proofErr w:type="spellEnd"/>
      <w:r w:rsidR="00B24D8C" w:rsidRPr="00E27CE7">
        <w:rPr>
          <w:rFonts w:ascii="Calibri" w:hAnsi="Calibri" w:cs="Calibri"/>
          <w:sz w:val="16"/>
          <w:szCs w:val="16"/>
        </w:rPr>
        <w:t xml:space="preserve"> </w:t>
      </w:r>
      <w:proofErr w:type="spellStart"/>
      <w:r w:rsidR="00B24D8C" w:rsidRPr="00E27CE7">
        <w:rPr>
          <w:rFonts w:ascii="Calibri" w:hAnsi="Calibri" w:cs="Calibri"/>
          <w:sz w:val="16"/>
          <w:szCs w:val="16"/>
        </w:rPr>
        <w:t>belackova</w:t>
      </w:r>
      <w:proofErr w:type="spellEnd"/>
      <w:r w:rsidR="00B24D8C" w:rsidRPr="00E27CE7">
        <w:rPr>
          <w:rFonts w:ascii="Calibri" w:hAnsi="Calibri" w:cs="Calibri"/>
          <w:sz w:val="16"/>
          <w:szCs w:val="16"/>
        </w:rPr>
        <w:t xml:space="preserve"> et al., ‘Online Census of Drug Consumption Rooms (DCRs) as a setting to address HCV: current practice and future capacity (Amsterdam, Sidney: International Network of Drug Consumption Rooms, 2018). Accessible at: </w:t>
      </w:r>
      <w:r w:rsidRPr="00E27CE7">
        <w:rPr>
          <w:rFonts w:ascii="Calibri" w:hAnsi="Calibri" w:cs="Calibri"/>
          <w:sz w:val="16"/>
          <w:szCs w:val="16"/>
        </w:rPr>
        <w:t>http://www.drugconsumptionroom-international.org/index.php/dcr-survey/dcr-survey-2017</w:t>
      </w:r>
    </w:p>
  </w:footnote>
  <w:footnote w:id="11">
    <w:p w14:paraId="4E5A183D" w14:textId="0A388A51" w:rsidR="00BC05EE" w:rsidRPr="00E27CE7" w:rsidRDefault="00BC05EE"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7F3388" w:rsidRPr="00E27CE7">
        <w:rPr>
          <w:rFonts w:ascii="Calibri" w:hAnsi="Calibri" w:cs="Calibri"/>
          <w:sz w:val="16"/>
          <w:szCs w:val="16"/>
        </w:rPr>
        <w:t>Katie Stone (ed.), ‘The Global State of Harm Reduction 2016’ (London: Harm Reduction International, 2016), 19</w:t>
      </w:r>
      <w:r w:rsidRPr="00E27CE7">
        <w:rPr>
          <w:rFonts w:ascii="Calibri" w:hAnsi="Calibri" w:cs="Calibri"/>
          <w:i/>
          <w:sz w:val="16"/>
          <w:szCs w:val="16"/>
        </w:rPr>
        <w:t xml:space="preserve"> </w:t>
      </w:r>
    </w:p>
  </w:footnote>
  <w:footnote w:id="12">
    <w:p w14:paraId="5193BEDF" w14:textId="58F8DD34" w:rsidR="00392394" w:rsidRPr="00E27CE7" w:rsidRDefault="00392394" w:rsidP="00E27CE7">
      <w:pPr>
        <w:pStyle w:val="Heading2"/>
        <w:shd w:val="clear" w:color="auto" w:fill="FFFFFF"/>
        <w:spacing w:before="0" w:line="240" w:lineRule="auto"/>
        <w:contextualSpacing/>
        <w:rPr>
          <w:rFonts w:ascii="Calibri" w:hAnsi="Calibri" w:cs="Calibri"/>
          <w:color w:val="auto"/>
          <w:sz w:val="16"/>
          <w:szCs w:val="16"/>
        </w:rPr>
      </w:pPr>
      <w:r w:rsidRPr="00E27CE7">
        <w:rPr>
          <w:rStyle w:val="FootnoteReference"/>
          <w:rFonts w:ascii="Calibri" w:hAnsi="Calibri" w:cs="Calibri"/>
          <w:color w:val="auto"/>
          <w:sz w:val="16"/>
          <w:szCs w:val="16"/>
        </w:rPr>
        <w:footnoteRef/>
      </w:r>
      <w:r w:rsidRPr="00E27CE7">
        <w:rPr>
          <w:rFonts w:ascii="Calibri" w:hAnsi="Calibri" w:cs="Calibri"/>
          <w:color w:val="auto"/>
          <w:sz w:val="16"/>
          <w:szCs w:val="16"/>
        </w:rPr>
        <w:t xml:space="preserve"> </w:t>
      </w:r>
      <w:r w:rsidR="00B24D8C" w:rsidRPr="00E27CE7">
        <w:rPr>
          <w:rFonts w:ascii="Calibri" w:hAnsi="Calibri" w:cs="Calibri"/>
          <w:color w:val="auto"/>
          <w:sz w:val="16"/>
          <w:szCs w:val="16"/>
        </w:rPr>
        <w:t>Robin Dwyer et al., “</w:t>
      </w:r>
      <w:r w:rsidR="00781962" w:rsidRPr="00E27CE7">
        <w:rPr>
          <w:rFonts w:ascii="Calibri" w:hAnsi="Calibri" w:cs="Calibri"/>
          <w:color w:val="auto"/>
          <w:sz w:val="16"/>
          <w:szCs w:val="16"/>
        </w:rPr>
        <w:t xml:space="preserve">An overview of take‐home naloxone programs in Australia” 37(4) </w:t>
      </w:r>
      <w:r w:rsidR="00781962" w:rsidRPr="00E27CE7">
        <w:rPr>
          <w:rFonts w:ascii="Calibri" w:hAnsi="Calibri" w:cs="Calibri"/>
          <w:i/>
          <w:color w:val="auto"/>
          <w:sz w:val="16"/>
          <w:szCs w:val="16"/>
        </w:rPr>
        <w:t xml:space="preserve">Drug and Alcohol Review </w:t>
      </w:r>
      <w:r w:rsidR="00781962" w:rsidRPr="00E27CE7">
        <w:rPr>
          <w:rFonts w:ascii="Calibri" w:hAnsi="Calibri" w:cs="Calibri"/>
          <w:color w:val="auto"/>
          <w:sz w:val="16"/>
          <w:szCs w:val="16"/>
        </w:rPr>
        <w:t xml:space="preserve">(May 2018). Accessible at: </w:t>
      </w:r>
      <w:r w:rsidRPr="00E27CE7">
        <w:rPr>
          <w:rFonts w:ascii="Calibri" w:hAnsi="Calibri" w:cs="Calibri"/>
          <w:color w:val="auto"/>
          <w:sz w:val="16"/>
          <w:szCs w:val="16"/>
        </w:rPr>
        <w:t>https://onlinelibrary.wiley.com/doi/abs/10.1111/dar.12812</w:t>
      </w:r>
    </w:p>
  </w:footnote>
  <w:footnote w:id="13">
    <w:p w14:paraId="494E95E5" w14:textId="7033B4FF" w:rsidR="00392394" w:rsidRPr="00E27CE7" w:rsidRDefault="00392394"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00781962" w:rsidRPr="00E27CE7">
        <w:rPr>
          <w:rFonts w:ascii="Calibri" w:hAnsi="Calibri" w:cs="Calibri"/>
          <w:sz w:val="16"/>
          <w:szCs w:val="16"/>
        </w:rPr>
        <w:t xml:space="preserve"> For an overview and evaluation of the program, see:</w:t>
      </w:r>
      <w:r w:rsidRPr="00E27CE7">
        <w:rPr>
          <w:rFonts w:ascii="Calibri" w:hAnsi="Calibri" w:cs="Calibri"/>
          <w:sz w:val="16"/>
          <w:szCs w:val="16"/>
        </w:rPr>
        <w:t xml:space="preserve"> </w:t>
      </w:r>
      <w:r w:rsidR="00781962" w:rsidRPr="00E27CE7">
        <w:rPr>
          <w:rFonts w:ascii="Calibri" w:hAnsi="Calibri" w:cs="Calibri"/>
          <w:sz w:val="16"/>
          <w:szCs w:val="16"/>
        </w:rPr>
        <w:t xml:space="preserve">‘National Naloxone Programme Scotland. Monitoring Report 2016/17’ (NHS National Services Scotland, Information Services Division, 2017). Accessible at: </w:t>
      </w:r>
      <w:r w:rsidRPr="00E27CE7">
        <w:rPr>
          <w:rFonts w:ascii="Calibri" w:hAnsi="Calibri" w:cs="Calibri"/>
          <w:sz w:val="16"/>
          <w:szCs w:val="16"/>
        </w:rPr>
        <w:t>http://www.sdf.org.uk/wp-content/uploads/2017/11/2017-11-07-Naloxone-Report.pdf</w:t>
      </w:r>
    </w:p>
  </w:footnote>
  <w:footnote w:id="14">
    <w:p w14:paraId="1A328F54" w14:textId="49E5AEE2" w:rsidR="00AD69EE" w:rsidRPr="00E27CE7" w:rsidRDefault="00AD69EE"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proofErr w:type="spellStart"/>
      <w:r w:rsidR="00781962" w:rsidRPr="00E27CE7">
        <w:rPr>
          <w:rFonts w:ascii="Calibri" w:hAnsi="Calibri" w:cs="Calibri"/>
          <w:sz w:val="16"/>
          <w:szCs w:val="16"/>
        </w:rPr>
        <w:t>Vedan</w:t>
      </w:r>
      <w:proofErr w:type="spellEnd"/>
      <w:r w:rsidR="00781962" w:rsidRPr="00E27CE7">
        <w:rPr>
          <w:rFonts w:ascii="Calibri" w:hAnsi="Calibri" w:cs="Calibri"/>
          <w:sz w:val="16"/>
          <w:szCs w:val="16"/>
        </w:rPr>
        <w:t xml:space="preserve"> Anthony-North et al., ‘Correction-Based </w:t>
      </w:r>
      <w:r w:rsidR="003B3AFD" w:rsidRPr="00E27CE7">
        <w:rPr>
          <w:rFonts w:ascii="Calibri" w:hAnsi="Calibri" w:cs="Calibri"/>
          <w:sz w:val="16"/>
          <w:szCs w:val="16"/>
        </w:rPr>
        <w:t>Responses</w:t>
      </w:r>
      <w:r w:rsidR="00781962" w:rsidRPr="00E27CE7">
        <w:rPr>
          <w:rFonts w:ascii="Calibri" w:hAnsi="Calibri" w:cs="Calibri"/>
          <w:sz w:val="16"/>
          <w:szCs w:val="16"/>
        </w:rPr>
        <w:t xml:space="preserve"> </w:t>
      </w:r>
      <w:r w:rsidR="003B3AFD" w:rsidRPr="00E27CE7">
        <w:rPr>
          <w:rFonts w:ascii="Calibri" w:hAnsi="Calibri" w:cs="Calibri"/>
          <w:sz w:val="16"/>
          <w:szCs w:val="16"/>
        </w:rPr>
        <w:t>to</w:t>
      </w:r>
      <w:r w:rsidR="00781962" w:rsidRPr="00E27CE7">
        <w:rPr>
          <w:rFonts w:ascii="Calibri" w:hAnsi="Calibri" w:cs="Calibri"/>
          <w:sz w:val="16"/>
          <w:szCs w:val="16"/>
        </w:rPr>
        <w:t xml:space="preserve"> the Opioid Epidemic: Lessons from New York State’s Overdose Education and Naloxone Distribution Program (New York: Vera Institute of Justice, 2018). Accessible at: </w:t>
      </w:r>
      <w:r w:rsidRPr="00E27CE7">
        <w:rPr>
          <w:rFonts w:ascii="Calibri" w:hAnsi="Calibri" w:cs="Calibri"/>
          <w:sz w:val="16"/>
          <w:szCs w:val="16"/>
        </w:rPr>
        <w:t>https://storage.googleapis.com/vera-web-assets/downloads/Publications/corrections-responses-to-opioid-epidemic-new-york-state/legacy_downloads/corrections-responses-to-opioid-epidemic-new-york-state.pdf</w:t>
      </w:r>
    </w:p>
  </w:footnote>
  <w:footnote w:id="15">
    <w:p w14:paraId="067D6D2C" w14:textId="560565F8" w:rsidR="00F3445E" w:rsidRPr="00E27CE7" w:rsidRDefault="00F3445E"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proofErr w:type="spellStart"/>
      <w:r w:rsidRPr="00E27CE7">
        <w:rPr>
          <w:rFonts w:ascii="Calibri" w:hAnsi="Calibri" w:cs="Calibri"/>
          <w:sz w:val="16"/>
          <w:szCs w:val="16"/>
        </w:rPr>
        <w:t>Scheibe</w:t>
      </w:r>
      <w:proofErr w:type="spellEnd"/>
      <w:r w:rsidRPr="00E27CE7">
        <w:rPr>
          <w:rFonts w:ascii="Calibri" w:hAnsi="Calibri" w:cs="Calibri"/>
          <w:sz w:val="16"/>
          <w:szCs w:val="16"/>
        </w:rPr>
        <w:t xml:space="preserve"> A, Shelly S, Mac Donnell J. Global State of Harm </w:t>
      </w:r>
      <w:r w:rsidR="00D8453C">
        <w:rPr>
          <w:rFonts w:ascii="Calibri" w:hAnsi="Calibri" w:cs="Calibri"/>
          <w:sz w:val="16"/>
          <w:szCs w:val="16"/>
        </w:rPr>
        <w:t>Reduction survey response 2018 (London: Harm Reduction International, 2018)</w:t>
      </w:r>
    </w:p>
  </w:footnote>
  <w:footnote w:id="16">
    <w:p w14:paraId="7160AAD5" w14:textId="327B00F3" w:rsidR="00AC63C3" w:rsidRPr="00E27CE7" w:rsidRDefault="00AC63C3"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781962" w:rsidRPr="00E27CE7">
        <w:rPr>
          <w:rFonts w:ascii="Calibri" w:hAnsi="Calibri" w:cs="Calibri"/>
          <w:iCs/>
          <w:sz w:val="16"/>
          <w:szCs w:val="16"/>
        </w:rPr>
        <w:t>International Covenant on Economic, Social and Cultural Rights, Article 2.1</w:t>
      </w:r>
    </w:p>
  </w:footnote>
  <w:footnote w:id="17">
    <w:p w14:paraId="2486A2F2" w14:textId="1C162BCF" w:rsidR="003C52F4" w:rsidRPr="00E27CE7" w:rsidRDefault="003C52F4"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OHCHR </w:t>
      </w:r>
      <w:r w:rsidR="00781962" w:rsidRPr="00E27CE7">
        <w:rPr>
          <w:rFonts w:ascii="Calibri" w:hAnsi="Calibri" w:cs="Calibri"/>
          <w:sz w:val="16"/>
          <w:szCs w:val="16"/>
        </w:rPr>
        <w:t>and WHO, ‘Fact Sheet No.31: The Right to Health’ (Geneva, 2008), 4. Accessible at: http://www.ohchr.org/Documents/Publications/Factsheet31.pdf</w:t>
      </w:r>
    </w:p>
  </w:footnote>
  <w:footnote w:id="18">
    <w:p w14:paraId="5C25D13D" w14:textId="4B2BD2D1" w:rsidR="00AC63C3" w:rsidRPr="00E27CE7" w:rsidRDefault="00AC63C3"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Catherine Cook, ‘Harm Reduction Investment in the European Union’ (London: Harm Reduction International, 2017)</w:t>
      </w:r>
    </w:p>
  </w:footnote>
  <w:footnote w:id="19">
    <w:p w14:paraId="31D8FB43" w14:textId="2F4CC50D" w:rsidR="003C52F4" w:rsidRPr="00E27CE7" w:rsidRDefault="003C52F4"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Among others, see the example of Romania. Catherine Cook, ‘Harm Reduction Investment in the European Union’ (London: Harm Reduction International, 2017), 17</w:t>
      </w:r>
    </w:p>
  </w:footnote>
  <w:footnote w:id="20">
    <w:p w14:paraId="39B41291" w14:textId="48A4DBC0" w:rsidR="00BA6A3C" w:rsidRPr="00E27CE7" w:rsidRDefault="00BA6A3C"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Among others, see: UN Human Rights Council. Report of the Special Rapporteur on torture and other cruel, inhuman or degrading treatment or punishment, Manfred Nowak: Promotion and Protection of all Human Rights, Civil, Political, Economic, Social and Cultural Rights, Including the Right to Development (14 January 2009), para 50. UN Doc. A/HRC</w:t>
      </w:r>
      <w:r w:rsidRPr="00E27CE7">
        <w:rPr>
          <w:rFonts w:ascii="Calibri" w:hAnsi="Calibri" w:cs="Calibri"/>
          <w:sz w:val="16"/>
          <w:szCs w:val="16"/>
        </w:rPr>
        <w:t>/10/44</w:t>
      </w:r>
    </w:p>
  </w:footnote>
  <w:footnote w:id="21">
    <w:p w14:paraId="43B1CEC0" w14:textId="009E6E77" w:rsidR="008170FB" w:rsidRPr="00A40518" w:rsidRDefault="008170FB"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 xml:space="preserve">Committee on Economic, Social and Cultural Rights. General Comment no.20: on-discrimination in economic, social and cultural rights (2 July 2009). UN Doc. </w:t>
      </w:r>
      <w:r w:rsidR="00243665" w:rsidRPr="00A40518">
        <w:rPr>
          <w:rFonts w:ascii="Calibri" w:hAnsi="Calibri" w:cs="Calibri"/>
          <w:sz w:val="16"/>
          <w:szCs w:val="16"/>
        </w:rPr>
        <w:t>E/C.12/GC/20</w:t>
      </w:r>
    </w:p>
  </w:footnote>
  <w:footnote w:id="22">
    <w:p w14:paraId="08B649CB" w14:textId="31EDA7EE" w:rsidR="009C41DD" w:rsidRPr="00E27CE7" w:rsidRDefault="009C41DD"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 xml:space="preserve">Among others, see: </w:t>
      </w:r>
      <w:proofErr w:type="spellStart"/>
      <w:r w:rsidR="00243665" w:rsidRPr="00E27CE7">
        <w:rPr>
          <w:rFonts w:ascii="Calibri" w:hAnsi="Calibri" w:cs="Calibri"/>
          <w:sz w:val="16"/>
          <w:szCs w:val="16"/>
        </w:rPr>
        <w:t>Kasia</w:t>
      </w:r>
      <w:proofErr w:type="spellEnd"/>
      <w:r w:rsidR="00243665" w:rsidRPr="00E27CE7">
        <w:rPr>
          <w:rFonts w:ascii="Calibri" w:hAnsi="Calibri" w:cs="Calibri"/>
          <w:sz w:val="16"/>
          <w:szCs w:val="16"/>
        </w:rPr>
        <w:t xml:space="preserve"> </w:t>
      </w:r>
      <w:proofErr w:type="spellStart"/>
      <w:r w:rsidR="00243665" w:rsidRPr="00E27CE7">
        <w:rPr>
          <w:rFonts w:ascii="Calibri" w:hAnsi="Calibri" w:cs="Calibri"/>
          <w:sz w:val="16"/>
          <w:szCs w:val="16"/>
        </w:rPr>
        <w:t>Malinowska-Sempruch</w:t>
      </w:r>
      <w:proofErr w:type="spellEnd"/>
      <w:r w:rsidR="00243665" w:rsidRPr="00E27CE7">
        <w:rPr>
          <w:rFonts w:ascii="Calibri" w:hAnsi="Calibri" w:cs="Calibri"/>
          <w:sz w:val="16"/>
          <w:szCs w:val="16"/>
        </w:rPr>
        <w:t xml:space="preserve"> and Olga </w:t>
      </w:r>
      <w:proofErr w:type="spellStart"/>
      <w:r w:rsidR="00243665" w:rsidRPr="00E27CE7">
        <w:rPr>
          <w:rFonts w:ascii="Calibri" w:hAnsi="Calibri" w:cs="Calibri"/>
          <w:sz w:val="16"/>
          <w:szCs w:val="16"/>
        </w:rPr>
        <w:t>Rychkova</w:t>
      </w:r>
      <w:proofErr w:type="spellEnd"/>
      <w:r w:rsidR="00243665" w:rsidRPr="00E27CE7">
        <w:rPr>
          <w:rFonts w:ascii="Calibri" w:hAnsi="Calibri" w:cs="Calibri"/>
          <w:sz w:val="16"/>
          <w:szCs w:val="16"/>
        </w:rPr>
        <w:t xml:space="preserve">, ‘The Impact of Drug Policy on Women (New York: Open Society Foundation, 2015). Accessible at: </w:t>
      </w:r>
      <w:r w:rsidRPr="00E27CE7">
        <w:rPr>
          <w:rFonts w:ascii="Calibri" w:hAnsi="Calibri" w:cs="Calibri"/>
          <w:sz w:val="16"/>
          <w:szCs w:val="16"/>
        </w:rPr>
        <w:t>https://www.opensocietyfoundations.org/sites/default/files/impact-drug-policy-women-20160928.pdf</w:t>
      </w:r>
    </w:p>
  </w:footnote>
  <w:footnote w:id="23">
    <w:p w14:paraId="7FD94422" w14:textId="5E572629" w:rsidR="004B6F49" w:rsidRPr="00E27CE7" w:rsidRDefault="004B6F49"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243665" w:rsidRPr="00E27CE7">
        <w:rPr>
          <w:rFonts w:ascii="Calibri" w:hAnsi="Calibri" w:cs="Calibri"/>
          <w:sz w:val="16"/>
          <w:szCs w:val="16"/>
        </w:rPr>
        <w:t xml:space="preserve">Emily van der </w:t>
      </w:r>
      <w:proofErr w:type="spellStart"/>
      <w:r w:rsidR="00243665" w:rsidRPr="00E27CE7">
        <w:rPr>
          <w:rFonts w:ascii="Calibri" w:hAnsi="Calibri" w:cs="Calibri"/>
          <w:sz w:val="16"/>
          <w:szCs w:val="16"/>
        </w:rPr>
        <w:t>Meulen</w:t>
      </w:r>
      <w:proofErr w:type="spellEnd"/>
      <w:r w:rsidR="00243665" w:rsidRPr="00E27CE7">
        <w:rPr>
          <w:rFonts w:ascii="Calibri" w:hAnsi="Calibri" w:cs="Calibri"/>
          <w:sz w:val="16"/>
          <w:szCs w:val="16"/>
        </w:rPr>
        <w:t xml:space="preserve">, “A Legacy of Harm: Punitive Drug Policies and Women’s </w:t>
      </w:r>
      <w:proofErr w:type="spellStart"/>
      <w:r w:rsidR="00243665" w:rsidRPr="00E27CE7">
        <w:rPr>
          <w:rFonts w:ascii="Calibri" w:hAnsi="Calibri" w:cs="Calibri"/>
          <w:sz w:val="16"/>
          <w:szCs w:val="16"/>
        </w:rPr>
        <w:t>Carceral</w:t>
      </w:r>
      <w:proofErr w:type="spellEnd"/>
      <w:r w:rsidR="00243665" w:rsidRPr="00E27CE7">
        <w:rPr>
          <w:rFonts w:ascii="Calibri" w:hAnsi="Calibri" w:cs="Calibri"/>
          <w:sz w:val="16"/>
          <w:szCs w:val="16"/>
        </w:rPr>
        <w:t xml:space="preserve"> Experiences in Canada” 28(2) </w:t>
      </w:r>
      <w:r w:rsidR="00243665" w:rsidRPr="00E27CE7">
        <w:rPr>
          <w:rFonts w:ascii="Calibri" w:hAnsi="Calibri" w:cs="Calibri"/>
          <w:i/>
          <w:sz w:val="16"/>
          <w:szCs w:val="16"/>
        </w:rPr>
        <w:t xml:space="preserve">Women &amp; Criminal Justice </w:t>
      </w:r>
      <w:r w:rsidR="003B3AFD" w:rsidRPr="00E27CE7">
        <w:rPr>
          <w:rFonts w:ascii="Calibri" w:hAnsi="Calibri" w:cs="Calibri"/>
          <w:sz w:val="16"/>
          <w:szCs w:val="16"/>
        </w:rPr>
        <w:t xml:space="preserve">(April 2017). Accessible at: </w:t>
      </w:r>
      <w:r w:rsidRPr="00E27CE7">
        <w:rPr>
          <w:rFonts w:ascii="Calibri" w:hAnsi="Calibri" w:cs="Calibri"/>
          <w:i/>
          <w:sz w:val="16"/>
          <w:szCs w:val="16"/>
        </w:rPr>
        <w:t>https</w:t>
      </w:r>
      <w:r w:rsidRPr="00E27CE7">
        <w:rPr>
          <w:rFonts w:ascii="Calibri" w:hAnsi="Calibri" w:cs="Calibri"/>
          <w:sz w:val="16"/>
          <w:szCs w:val="16"/>
        </w:rPr>
        <w:t>://www.tandfonline.com/doi/full/10.1080/08974454.2017.1307160</w:t>
      </w:r>
    </w:p>
  </w:footnote>
  <w:footnote w:id="24">
    <w:p w14:paraId="4E7E916B" w14:textId="7D9B64B4" w:rsidR="00EC5E8F" w:rsidRPr="00E27CE7" w:rsidRDefault="00EC5E8F" w:rsidP="00EC5E8F">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Andrew Coyle, Catherine Heard and Helen Fair, “</w:t>
      </w:r>
      <w:r w:rsidR="00636712">
        <w:rPr>
          <w:rFonts w:ascii="Calibri" w:hAnsi="Calibri" w:cs="Calibri"/>
          <w:sz w:val="16"/>
          <w:szCs w:val="16"/>
        </w:rPr>
        <w:t xml:space="preserve">Current trends and </w:t>
      </w:r>
      <w:r w:rsidRPr="00E27CE7">
        <w:rPr>
          <w:rFonts w:ascii="Calibri" w:hAnsi="Calibri" w:cs="Calibri"/>
          <w:sz w:val="16"/>
          <w:szCs w:val="16"/>
        </w:rPr>
        <w:t xml:space="preserve">practices in the use of imprisonment” 98(3) </w:t>
      </w:r>
      <w:r w:rsidRPr="00E27CE7">
        <w:rPr>
          <w:rFonts w:ascii="Calibri" w:hAnsi="Calibri" w:cs="Calibri"/>
          <w:i/>
          <w:sz w:val="16"/>
          <w:szCs w:val="16"/>
        </w:rPr>
        <w:t xml:space="preserve">International </w:t>
      </w:r>
      <w:r w:rsidR="00636712" w:rsidRPr="00E27CE7">
        <w:rPr>
          <w:rFonts w:ascii="Calibri" w:hAnsi="Calibri" w:cs="Calibri"/>
          <w:i/>
          <w:sz w:val="16"/>
          <w:szCs w:val="16"/>
        </w:rPr>
        <w:t>Review</w:t>
      </w:r>
      <w:r w:rsidRPr="00E27CE7">
        <w:rPr>
          <w:rFonts w:ascii="Calibri" w:hAnsi="Calibri" w:cs="Calibri"/>
          <w:i/>
          <w:sz w:val="16"/>
          <w:szCs w:val="16"/>
        </w:rPr>
        <w:t xml:space="preserve"> of the Red Cross </w:t>
      </w:r>
      <w:r w:rsidRPr="00E27CE7">
        <w:rPr>
          <w:rFonts w:ascii="Calibri" w:hAnsi="Calibri" w:cs="Calibri"/>
          <w:sz w:val="16"/>
          <w:szCs w:val="16"/>
        </w:rPr>
        <w:t>(2016), 766. Accessible at: https://www.icrc.org/en/international-review/detention-addressing-human-cost</w:t>
      </w:r>
    </w:p>
  </w:footnote>
  <w:footnote w:id="25">
    <w:p w14:paraId="4BD972A9" w14:textId="60C31D6B" w:rsidR="004B6F49" w:rsidRPr="00E27CE7" w:rsidRDefault="004B6F49"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003B3AFD" w:rsidRPr="00E27CE7">
        <w:rPr>
          <w:rFonts w:ascii="Calibri" w:hAnsi="Calibri" w:cs="Calibri"/>
          <w:sz w:val="16"/>
          <w:szCs w:val="16"/>
        </w:rPr>
        <w:t xml:space="preserve"> Among others, see Emily van der </w:t>
      </w:r>
      <w:proofErr w:type="spellStart"/>
      <w:r w:rsidR="003B3AFD" w:rsidRPr="00E27CE7">
        <w:rPr>
          <w:rFonts w:ascii="Calibri" w:hAnsi="Calibri" w:cs="Calibri"/>
          <w:sz w:val="16"/>
          <w:szCs w:val="16"/>
        </w:rPr>
        <w:t>Meulen</w:t>
      </w:r>
      <w:proofErr w:type="spellEnd"/>
      <w:r w:rsidR="003B3AFD" w:rsidRPr="00E27CE7">
        <w:rPr>
          <w:rFonts w:ascii="Calibri" w:hAnsi="Calibri" w:cs="Calibri"/>
          <w:sz w:val="16"/>
          <w:szCs w:val="16"/>
        </w:rPr>
        <w:t xml:space="preserve">, “A Legacy of Harm: Punitive Drug Policies and Women’s </w:t>
      </w:r>
      <w:proofErr w:type="spellStart"/>
      <w:r w:rsidR="003B3AFD" w:rsidRPr="00E27CE7">
        <w:rPr>
          <w:rFonts w:ascii="Calibri" w:hAnsi="Calibri" w:cs="Calibri"/>
          <w:sz w:val="16"/>
          <w:szCs w:val="16"/>
        </w:rPr>
        <w:t>Carceral</w:t>
      </w:r>
      <w:proofErr w:type="spellEnd"/>
      <w:r w:rsidR="003B3AFD" w:rsidRPr="00E27CE7">
        <w:rPr>
          <w:rFonts w:ascii="Calibri" w:hAnsi="Calibri" w:cs="Calibri"/>
          <w:sz w:val="16"/>
          <w:szCs w:val="16"/>
        </w:rPr>
        <w:t xml:space="preserve"> Experiences in Canada” 28(2) </w:t>
      </w:r>
      <w:r w:rsidR="003B3AFD" w:rsidRPr="00E27CE7">
        <w:rPr>
          <w:rFonts w:ascii="Calibri" w:hAnsi="Calibri" w:cs="Calibri"/>
          <w:i/>
          <w:sz w:val="16"/>
          <w:szCs w:val="16"/>
        </w:rPr>
        <w:t xml:space="preserve">Women &amp; Criminal Justice </w:t>
      </w:r>
      <w:r w:rsidR="003B3AFD" w:rsidRPr="00E27CE7">
        <w:rPr>
          <w:rFonts w:ascii="Calibri" w:hAnsi="Calibri" w:cs="Calibri"/>
          <w:sz w:val="16"/>
          <w:szCs w:val="16"/>
        </w:rPr>
        <w:t>(April 2017), 81</w:t>
      </w:r>
    </w:p>
  </w:footnote>
  <w:footnote w:id="26">
    <w:p w14:paraId="2967E710" w14:textId="735421AF" w:rsidR="009D151B" w:rsidRPr="00E27CE7" w:rsidRDefault="009D151B"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917B35" w:rsidRPr="00E27CE7">
        <w:rPr>
          <w:rFonts w:ascii="Calibri" w:hAnsi="Calibri" w:cs="Calibri"/>
          <w:sz w:val="16"/>
          <w:szCs w:val="16"/>
        </w:rPr>
        <w:t>Committee on the Elimination of Racial Discrimination. Concluding observations on the combined twenty-first to twenty-third periodic reports of Canada (13 September 2017), para. 15. UN Doc. CERD/C/CAN/CO/21-23</w:t>
      </w:r>
    </w:p>
  </w:footnote>
  <w:footnote w:id="27">
    <w:p w14:paraId="121807AA" w14:textId="1409E422" w:rsidR="00C21BFC" w:rsidRPr="00E27CE7" w:rsidRDefault="00C21BFC"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917B35" w:rsidRPr="00E27CE7">
        <w:rPr>
          <w:rFonts w:ascii="Calibri" w:hAnsi="Calibri" w:cs="Calibri"/>
          <w:sz w:val="16"/>
          <w:szCs w:val="16"/>
        </w:rPr>
        <w:t xml:space="preserve">Committee on the Elimination of Discrimination against Women. Concluding observations on the combined eighth and ninth periodic reports of Canada (25 October 2016), para. 44. UN Doc. CEDAW/C/CAN/CO/8-9 </w:t>
      </w:r>
    </w:p>
  </w:footnote>
  <w:footnote w:id="28">
    <w:p w14:paraId="5592A9F4" w14:textId="362E393C" w:rsidR="003B4371" w:rsidRPr="00965E34" w:rsidRDefault="003B4371" w:rsidP="00E27CE7">
      <w:pPr>
        <w:pStyle w:val="FootnoteText"/>
        <w:contextualSpacing/>
        <w:rPr>
          <w:rFonts w:ascii="Calibri" w:hAnsi="Calibri" w:cs="Calibri"/>
          <w:sz w:val="16"/>
          <w:szCs w:val="16"/>
          <w:lang w:val="pt-BR"/>
        </w:rPr>
      </w:pPr>
      <w:r w:rsidRPr="00E27CE7">
        <w:rPr>
          <w:rStyle w:val="FootnoteReference"/>
          <w:rFonts w:ascii="Calibri" w:hAnsi="Calibri" w:cs="Calibri"/>
          <w:sz w:val="16"/>
          <w:szCs w:val="16"/>
        </w:rPr>
        <w:footnoteRef/>
      </w:r>
      <w:r w:rsidRPr="00965E34">
        <w:rPr>
          <w:rFonts w:ascii="Calibri" w:hAnsi="Calibri" w:cs="Calibri"/>
          <w:sz w:val="16"/>
          <w:szCs w:val="16"/>
          <w:lang w:val="pt-BR"/>
        </w:rPr>
        <w:t xml:space="preserve"> </w:t>
      </w:r>
      <w:r w:rsidR="00917B35" w:rsidRPr="00965E34">
        <w:rPr>
          <w:rFonts w:ascii="Calibri" w:hAnsi="Calibri" w:cs="Calibri"/>
          <w:sz w:val="16"/>
          <w:szCs w:val="16"/>
          <w:lang w:val="pt-BR"/>
        </w:rPr>
        <w:t xml:space="preserve">Outcome Document, paragraphs </w:t>
      </w:r>
      <w:r w:rsidRPr="00965E34">
        <w:rPr>
          <w:rFonts w:ascii="Calibri" w:hAnsi="Calibri" w:cs="Calibri"/>
          <w:sz w:val="16"/>
          <w:szCs w:val="16"/>
          <w:lang w:val="pt-BR"/>
        </w:rPr>
        <w:t>1(o), 4(b), 4(m)</w:t>
      </w:r>
    </w:p>
  </w:footnote>
  <w:footnote w:id="29">
    <w:p w14:paraId="48BF5A6C" w14:textId="0E0606BE"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57150A" w:rsidRPr="00E27CE7">
        <w:rPr>
          <w:rFonts w:ascii="Calibri" w:hAnsi="Calibri" w:cs="Calibri"/>
          <w:sz w:val="16"/>
          <w:szCs w:val="16"/>
        </w:rPr>
        <w:t xml:space="preserve">Gen Sander and Fionnuala Murphy, “The Furthest Left Behind: The Urgent Need to Scale Up Harm Reduction in Prisons” 13(3/4) </w:t>
      </w:r>
      <w:r w:rsidR="0057150A" w:rsidRPr="00E27CE7">
        <w:rPr>
          <w:rFonts w:ascii="Calibri" w:hAnsi="Calibri" w:cs="Calibri"/>
          <w:i/>
          <w:sz w:val="16"/>
          <w:szCs w:val="16"/>
        </w:rPr>
        <w:t xml:space="preserve">International Journal of Prisoner Health </w:t>
      </w:r>
      <w:r w:rsidR="0057150A" w:rsidRPr="00E27CE7">
        <w:rPr>
          <w:rFonts w:ascii="Calibri" w:hAnsi="Calibri" w:cs="Calibri"/>
          <w:sz w:val="16"/>
          <w:szCs w:val="16"/>
        </w:rPr>
        <w:t>(2017),</w:t>
      </w:r>
      <w:r w:rsidR="00161298" w:rsidRPr="00E27CE7">
        <w:rPr>
          <w:rFonts w:ascii="Calibri" w:hAnsi="Calibri" w:cs="Calibri"/>
          <w:sz w:val="16"/>
          <w:szCs w:val="16"/>
        </w:rPr>
        <w:t xml:space="preserve"> 1</w:t>
      </w:r>
      <w:r w:rsidR="0057150A" w:rsidRPr="00E27CE7">
        <w:rPr>
          <w:rFonts w:ascii="Calibri" w:hAnsi="Calibri" w:cs="Calibri"/>
          <w:sz w:val="16"/>
          <w:szCs w:val="16"/>
        </w:rPr>
        <w:t>85</w:t>
      </w:r>
    </w:p>
  </w:footnote>
  <w:footnote w:id="30">
    <w:p w14:paraId="6FFCC303" w14:textId="64519F86"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57150A" w:rsidRPr="00E27CE7">
        <w:rPr>
          <w:rFonts w:ascii="Calibri" w:hAnsi="Calibri" w:cs="Calibri"/>
          <w:sz w:val="16"/>
          <w:szCs w:val="16"/>
        </w:rPr>
        <w:t>Gen Sander, ‘Monitoring HIV, HCV, TB and Harm Reduction in Prisons: a Human Rights-Based Tool to Prevent Ill Treatment</w:t>
      </w:r>
      <w:r w:rsidR="00EF1DCB">
        <w:rPr>
          <w:rFonts w:ascii="Calibri" w:hAnsi="Calibri" w:cs="Calibri"/>
          <w:sz w:val="16"/>
          <w:szCs w:val="16"/>
        </w:rPr>
        <w:t>’</w:t>
      </w:r>
      <w:r w:rsidR="0057150A" w:rsidRPr="00E27CE7">
        <w:rPr>
          <w:rFonts w:ascii="Calibri" w:hAnsi="Calibri" w:cs="Calibri"/>
          <w:sz w:val="16"/>
          <w:szCs w:val="16"/>
        </w:rPr>
        <w:t xml:space="preserve"> (London: Harm Reduction International, 2016)</w:t>
      </w:r>
      <w:r w:rsidRPr="00E27CE7">
        <w:rPr>
          <w:rFonts w:ascii="Calibri" w:hAnsi="Calibri" w:cs="Calibri"/>
          <w:sz w:val="16"/>
          <w:szCs w:val="16"/>
        </w:rPr>
        <w:t>, 7</w:t>
      </w:r>
    </w:p>
  </w:footnote>
  <w:footnote w:id="31">
    <w:p w14:paraId="4ED24BDD" w14:textId="0978D4B3"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57150A" w:rsidRPr="00E27CE7">
        <w:rPr>
          <w:rFonts w:ascii="Calibri" w:hAnsi="Calibri" w:cs="Calibri"/>
          <w:sz w:val="16"/>
          <w:szCs w:val="16"/>
        </w:rPr>
        <w:t>Gen Sander, ‘Monitoring HIV, HCV, TB and Harm Reduction in Prisons: a Human Rights-Based Tool to Prevent Ill Treatment</w:t>
      </w:r>
      <w:r w:rsidR="00EF1DCB">
        <w:rPr>
          <w:rFonts w:ascii="Calibri" w:hAnsi="Calibri" w:cs="Calibri"/>
          <w:sz w:val="16"/>
          <w:szCs w:val="16"/>
        </w:rPr>
        <w:t>’</w:t>
      </w:r>
      <w:r w:rsidR="0057150A" w:rsidRPr="00E27CE7">
        <w:rPr>
          <w:rFonts w:ascii="Calibri" w:hAnsi="Calibri" w:cs="Calibri"/>
          <w:sz w:val="16"/>
          <w:szCs w:val="16"/>
        </w:rPr>
        <w:t>, 7</w:t>
      </w:r>
    </w:p>
  </w:footnote>
  <w:footnote w:id="32">
    <w:p w14:paraId="3BC22FCF" w14:textId="3BFB5827" w:rsidR="002B6F8E" w:rsidRPr="00603D63" w:rsidRDefault="002B6F8E" w:rsidP="005D25D7">
      <w:pPr>
        <w:pStyle w:val="Heading1"/>
        <w:shd w:val="clear" w:color="auto" w:fill="FFFFFF"/>
        <w:spacing w:before="0"/>
        <w:rPr>
          <w:rFonts w:ascii="Calibri" w:hAnsi="Calibri" w:cs="Calibri"/>
          <w:color w:val="auto"/>
          <w:sz w:val="16"/>
          <w:szCs w:val="16"/>
        </w:rPr>
      </w:pPr>
      <w:r w:rsidRPr="005D25D7">
        <w:rPr>
          <w:rStyle w:val="FootnoteReference"/>
          <w:rFonts w:ascii="Calibri" w:hAnsi="Calibri" w:cs="Calibri"/>
          <w:color w:val="auto"/>
          <w:sz w:val="16"/>
          <w:szCs w:val="16"/>
        </w:rPr>
        <w:footnoteRef/>
      </w:r>
      <w:r w:rsidRPr="005D25D7">
        <w:rPr>
          <w:rFonts w:ascii="Calibri" w:hAnsi="Calibri" w:cs="Calibri"/>
          <w:color w:val="auto"/>
          <w:sz w:val="16"/>
          <w:szCs w:val="16"/>
        </w:rPr>
        <w:t xml:space="preserve"> </w:t>
      </w:r>
      <w:proofErr w:type="spellStart"/>
      <w:r w:rsidR="005D25D7" w:rsidRPr="005D25D7">
        <w:rPr>
          <w:rFonts w:ascii="Calibri" w:hAnsi="Calibri" w:cs="Calibri"/>
          <w:color w:val="auto"/>
          <w:sz w:val="16"/>
          <w:szCs w:val="16"/>
        </w:rPr>
        <w:t>Degenhardt</w:t>
      </w:r>
      <w:proofErr w:type="spellEnd"/>
      <w:r w:rsidR="005D25D7" w:rsidRPr="005D25D7">
        <w:rPr>
          <w:rFonts w:ascii="Calibri" w:hAnsi="Calibri" w:cs="Calibri"/>
          <w:color w:val="auto"/>
          <w:sz w:val="16"/>
          <w:szCs w:val="16"/>
        </w:rPr>
        <w:t xml:space="preserve"> et al., “Global prevalence of injecting drug use and sociodemographic characteristics and prevalence of HIV, HBV, and HCV in people who inject drugs: a multistage systematic review</w:t>
      </w:r>
      <w:r w:rsidR="005D25D7">
        <w:rPr>
          <w:rFonts w:ascii="Calibri" w:hAnsi="Calibri" w:cs="Calibri"/>
          <w:color w:val="auto"/>
          <w:sz w:val="16"/>
          <w:szCs w:val="16"/>
        </w:rPr>
        <w:t>”</w:t>
      </w:r>
      <w:r w:rsidR="00603D63">
        <w:rPr>
          <w:rFonts w:ascii="Calibri" w:hAnsi="Calibri" w:cs="Calibri"/>
          <w:color w:val="auto"/>
          <w:sz w:val="16"/>
          <w:szCs w:val="16"/>
        </w:rPr>
        <w:t xml:space="preserve"> 5 </w:t>
      </w:r>
      <w:r w:rsidR="00603D63">
        <w:rPr>
          <w:rFonts w:ascii="Calibri" w:hAnsi="Calibri" w:cs="Calibri"/>
          <w:i/>
          <w:color w:val="auto"/>
          <w:sz w:val="16"/>
          <w:szCs w:val="16"/>
        </w:rPr>
        <w:t xml:space="preserve">Lancet Global Health </w:t>
      </w:r>
      <w:r w:rsidR="00603D63">
        <w:rPr>
          <w:rFonts w:ascii="Calibri" w:hAnsi="Calibri" w:cs="Calibri"/>
          <w:color w:val="auto"/>
          <w:sz w:val="16"/>
          <w:szCs w:val="16"/>
        </w:rPr>
        <w:t>(December 2017), 1203</w:t>
      </w:r>
      <w:r w:rsidR="00603D63">
        <w:rPr>
          <w:rFonts w:ascii="Calibri" w:hAnsi="Calibri" w:cs="Calibri"/>
          <w:i/>
          <w:color w:val="auto"/>
          <w:sz w:val="16"/>
          <w:szCs w:val="16"/>
        </w:rPr>
        <w:t xml:space="preserve"> </w:t>
      </w:r>
    </w:p>
  </w:footnote>
  <w:footnote w:id="33">
    <w:p w14:paraId="74B54E33" w14:textId="40113ED5"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E37664" w:rsidRPr="00E27CE7">
        <w:rPr>
          <w:rFonts w:ascii="Calibri" w:hAnsi="Calibri" w:cs="Calibri"/>
          <w:sz w:val="16"/>
          <w:szCs w:val="16"/>
        </w:rPr>
        <w:t xml:space="preserve">Among others, see: General Assembly. Resolution 70/175: United Nations Standard Minimum Rules for the Treatment of Prisoners (8 January 2016), Rule 24. UN Doc. A/RES/70/175 </w:t>
      </w:r>
    </w:p>
  </w:footnote>
  <w:footnote w:id="34">
    <w:p w14:paraId="0FA9B75A" w14:textId="77777777" w:rsidR="00603D63" w:rsidRPr="00E27CE7" w:rsidRDefault="00603D63" w:rsidP="00603D63">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Katie Stone (ed.), ‘The Global State of Harm Reduction 2016’ (London: Harm Reduction International, 2016), 19</w:t>
      </w:r>
    </w:p>
  </w:footnote>
  <w:footnote w:id="35">
    <w:p w14:paraId="206587AA" w14:textId="77777777" w:rsidR="00603D63" w:rsidRPr="00603D63" w:rsidRDefault="00603D63" w:rsidP="00603D63">
      <w:pPr>
        <w:autoSpaceDE w:val="0"/>
        <w:autoSpaceDN w:val="0"/>
        <w:adjustRightInd w:val="0"/>
        <w:spacing w:after="0" w:line="240" w:lineRule="auto"/>
        <w:rPr>
          <w:rFonts w:ascii="Calibri" w:hAnsi="Calibri" w:cs="Calibri"/>
          <w:sz w:val="16"/>
          <w:szCs w:val="16"/>
        </w:rPr>
      </w:pPr>
      <w:r w:rsidRPr="00074168">
        <w:rPr>
          <w:rStyle w:val="FootnoteReference"/>
          <w:sz w:val="16"/>
          <w:szCs w:val="16"/>
        </w:rPr>
        <w:footnoteRef/>
      </w:r>
      <w:r>
        <w:rPr>
          <w:sz w:val="16"/>
          <w:szCs w:val="16"/>
        </w:rPr>
        <w:t xml:space="preserve"> For an updated overview of the availability of NSP in prisons in </w:t>
      </w:r>
      <w:r w:rsidRPr="00603D63">
        <w:rPr>
          <w:sz w:val="16"/>
          <w:szCs w:val="16"/>
        </w:rPr>
        <w:t xml:space="preserve">Europe, see </w:t>
      </w:r>
      <w:proofErr w:type="spellStart"/>
      <w:r w:rsidRPr="00603D63">
        <w:rPr>
          <w:sz w:val="16"/>
          <w:szCs w:val="16"/>
        </w:rPr>
        <w:t>Bielen</w:t>
      </w:r>
      <w:proofErr w:type="spellEnd"/>
      <w:r w:rsidRPr="00603D63">
        <w:rPr>
          <w:sz w:val="16"/>
          <w:szCs w:val="16"/>
        </w:rPr>
        <w:t xml:space="preserve"> et al., “</w:t>
      </w:r>
      <w:r w:rsidRPr="00603D63">
        <w:rPr>
          <w:rFonts w:ascii="Calibri" w:hAnsi="Calibri" w:cs="Calibri"/>
          <w:sz w:val="16"/>
          <w:szCs w:val="16"/>
        </w:rPr>
        <w:t xml:space="preserve">Harm reduction and viral hepatitis C in European prisons: a cross-sectional survey of 25 countries” </w:t>
      </w:r>
      <w:r w:rsidRPr="00603D63">
        <w:rPr>
          <w:rFonts w:ascii="Calibri" w:hAnsi="Calibri" w:cs="Calibri"/>
          <w:i/>
          <w:sz w:val="16"/>
          <w:szCs w:val="16"/>
        </w:rPr>
        <w:t xml:space="preserve">Harm Reduction Journal </w:t>
      </w:r>
      <w:r w:rsidRPr="00603D63">
        <w:rPr>
          <w:rFonts w:ascii="Calibri" w:hAnsi="Calibri" w:cs="Calibri"/>
          <w:sz w:val="16"/>
          <w:szCs w:val="16"/>
        </w:rPr>
        <w:t>(2018), 19</w:t>
      </w:r>
    </w:p>
  </w:footnote>
  <w:footnote w:id="36">
    <w:p w14:paraId="2AB0E868" w14:textId="2E6ABE70" w:rsidR="00603D63" w:rsidRPr="00603D63" w:rsidRDefault="00603D63">
      <w:pPr>
        <w:pStyle w:val="FootnoteText"/>
        <w:rPr>
          <w:sz w:val="16"/>
        </w:rPr>
      </w:pPr>
      <w:r w:rsidRPr="00603D63">
        <w:rPr>
          <w:rStyle w:val="FootnoteReference"/>
          <w:sz w:val="16"/>
        </w:rPr>
        <w:footnoteRef/>
      </w:r>
      <w:r w:rsidRPr="00603D63">
        <w:rPr>
          <w:sz w:val="16"/>
        </w:rPr>
        <w:t xml:space="preserve"> </w:t>
      </w:r>
      <w:r>
        <w:rPr>
          <w:sz w:val="16"/>
        </w:rPr>
        <w:t xml:space="preserve">"Correctional Service Canada announces a Prison Needle Exchange Program” (Correctional Service Canada, 2018). Available at </w:t>
      </w:r>
      <w:r w:rsidRPr="00603D63">
        <w:rPr>
          <w:sz w:val="16"/>
        </w:rPr>
        <w:t>https://www.canada.ca/en/correctional-service/news/2018/05/correctional-service-canada-announces-a-prison-needle-exchange-program.html</w:t>
      </w:r>
    </w:p>
  </w:footnote>
  <w:footnote w:id="37">
    <w:p w14:paraId="17FE8D6C" w14:textId="749DF0A4"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E37664" w:rsidRPr="00E27CE7">
        <w:rPr>
          <w:rFonts w:ascii="Calibri" w:hAnsi="Calibri" w:cs="Calibri"/>
          <w:sz w:val="16"/>
          <w:szCs w:val="16"/>
        </w:rPr>
        <w:t xml:space="preserve">Gen Sander and Fionnuala Murphy, “The Furthest Left Behind: The Urgent Need to Scale Up Harm Reduction in Prisons” 13(3/4) </w:t>
      </w:r>
      <w:r w:rsidR="00E37664" w:rsidRPr="00E27CE7">
        <w:rPr>
          <w:rFonts w:ascii="Calibri" w:hAnsi="Calibri" w:cs="Calibri"/>
          <w:i/>
          <w:sz w:val="16"/>
          <w:szCs w:val="16"/>
        </w:rPr>
        <w:t xml:space="preserve">International Journal of Prisoner Health </w:t>
      </w:r>
      <w:r w:rsidR="00E37664" w:rsidRPr="00E27CE7">
        <w:rPr>
          <w:rFonts w:ascii="Calibri" w:hAnsi="Calibri" w:cs="Calibri"/>
          <w:sz w:val="16"/>
          <w:szCs w:val="16"/>
        </w:rPr>
        <w:t>(2017), 187</w:t>
      </w:r>
    </w:p>
  </w:footnote>
  <w:footnote w:id="38">
    <w:p w14:paraId="1B842142" w14:textId="7E24681C" w:rsidR="001551FA" w:rsidRPr="00A40518" w:rsidRDefault="001551FA" w:rsidP="00A40518">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Pr="00E27CE7">
        <w:rPr>
          <w:rFonts w:ascii="Calibri" w:hAnsi="Calibri" w:cs="Calibri"/>
          <w:sz w:val="16"/>
          <w:szCs w:val="16"/>
        </w:rPr>
        <w:t xml:space="preserve"> </w:t>
      </w:r>
      <w:r w:rsidR="00B506BF" w:rsidRPr="00E27CE7">
        <w:rPr>
          <w:rFonts w:ascii="Calibri" w:hAnsi="Calibri" w:cs="Calibri"/>
          <w:sz w:val="16"/>
          <w:szCs w:val="16"/>
        </w:rPr>
        <w:t>European Committee for the Prevention of Torture and Inhuman or Degrading Treatment or Punishment, ‘26</w:t>
      </w:r>
      <w:r w:rsidR="00B506BF" w:rsidRPr="00E27CE7">
        <w:rPr>
          <w:rFonts w:ascii="Calibri" w:hAnsi="Calibri" w:cs="Calibri"/>
          <w:sz w:val="16"/>
          <w:szCs w:val="16"/>
          <w:vertAlign w:val="superscript"/>
        </w:rPr>
        <w:t>th</w:t>
      </w:r>
      <w:r w:rsidR="00B506BF" w:rsidRPr="00E27CE7">
        <w:rPr>
          <w:rFonts w:ascii="Calibri" w:hAnsi="Calibri" w:cs="Calibri"/>
          <w:sz w:val="16"/>
          <w:szCs w:val="16"/>
        </w:rPr>
        <w:t xml:space="preserve"> General Report of the CPT: 1 January – 31 December 2016’ (Council of Europe, 2017), para. 73. Doc. CPT/</w:t>
      </w:r>
      <w:proofErr w:type="spellStart"/>
      <w:r w:rsidR="00B506BF" w:rsidRPr="00E27CE7">
        <w:rPr>
          <w:rFonts w:ascii="Calibri" w:hAnsi="Calibri" w:cs="Calibri"/>
          <w:sz w:val="16"/>
          <w:szCs w:val="16"/>
        </w:rPr>
        <w:t>Inf</w:t>
      </w:r>
      <w:proofErr w:type="spellEnd"/>
      <w:r w:rsidR="00512F10">
        <w:rPr>
          <w:rFonts w:ascii="Calibri" w:hAnsi="Calibri" w:cs="Calibri"/>
          <w:sz w:val="16"/>
          <w:szCs w:val="16"/>
        </w:rPr>
        <w:t xml:space="preserve"> </w:t>
      </w:r>
      <w:r w:rsidR="00B506BF" w:rsidRPr="00E27CE7">
        <w:rPr>
          <w:rFonts w:ascii="Calibri" w:hAnsi="Calibri" w:cs="Calibri"/>
          <w:sz w:val="16"/>
          <w:szCs w:val="16"/>
        </w:rPr>
        <w:t>(2017)</w:t>
      </w:r>
      <w:r w:rsidR="00512F10">
        <w:rPr>
          <w:rFonts w:ascii="Calibri" w:hAnsi="Calibri" w:cs="Calibri"/>
          <w:sz w:val="16"/>
          <w:szCs w:val="16"/>
        </w:rPr>
        <w:t xml:space="preserve"> </w:t>
      </w:r>
      <w:r w:rsidR="00B506BF" w:rsidRPr="00E27CE7">
        <w:rPr>
          <w:rFonts w:ascii="Calibri" w:hAnsi="Calibri" w:cs="Calibri"/>
          <w:sz w:val="16"/>
          <w:szCs w:val="16"/>
        </w:rPr>
        <w:t xml:space="preserve">5. Accessible at:  </w:t>
      </w:r>
      <w:hyperlink r:id="rId2" w:history="1">
        <w:r w:rsidRPr="00A40518">
          <w:rPr>
            <w:rStyle w:val="Hyperlink"/>
            <w:rFonts w:ascii="Calibri" w:hAnsi="Calibri" w:cs="Calibri"/>
            <w:color w:val="auto"/>
            <w:sz w:val="16"/>
            <w:szCs w:val="16"/>
            <w:u w:val="none"/>
          </w:rPr>
          <w:t>https://rm.coe.int/168070af7a</w:t>
        </w:r>
      </w:hyperlink>
      <w:r w:rsidR="00A40518">
        <w:rPr>
          <w:rStyle w:val="Hyperlink"/>
          <w:rFonts w:ascii="Calibri" w:hAnsi="Calibri" w:cs="Calibri"/>
          <w:color w:val="auto"/>
          <w:sz w:val="16"/>
          <w:szCs w:val="16"/>
          <w:u w:val="none"/>
        </w:rPr>
        <w:t>; Council of Europe</w:t>
      </w:r>
      <w:r w:rsidR="00A40518" w:rsidRPr="00A40518">
        <w:rPr>
          <w:rStyle w:val="Hyperlink"/>
          <w:rFonts w:ascii="Calibri" w:hAnsi="Calibri" w:cs="Calibri"/>
          <w:color w:val="auto"/>
          <w:sz w:val="16"/>
          <w:szCs w:val="16"/>
          <w:u w:val="none"/>
        </w:rPr>
        <w:t>, ‘</w:t>
      </w:r>
      <w:r w:rsidR="00A40518" w:rsidRPr="00A40518">
        <w:rPr>
          <w:sz w:val="16"/>
          <w:szCs w:val="16"/>
        </w:rPr>
        <w:t>Report to the Bulgarian Government on the visit to Bulgaria carried out by the European Committee for the Prevention of Torture and Inhuman or Degrading Treatment or Punishment (CPT)</w:t>
      </w:r>
      <w:r w:rsidR="00A40518">
        <w:rPr>
          <w:sz w:val="16"/>
          <w:szCs w:val="16"/>
        </w:rPr>
        <w:t xml:space="preserve"> </w:t>
      </w:r>
      <w:r w:rsidR="00A40518" w:rsidRPr="00A40518">
        <w:rPr>
          <w:sz w:val="16"/>
          <w:szCs w:val="16"/>
        </w:rPr>
        <w:t>from 25 September to 6 October 2017’</w:t>
      </w:r>
      <w:r w:rsidR="00A40518">
        <w:rPr>
          <w:sz w:val="16"/>
          <w:szCs w:val="16"/>
        </w:rPr>
        <w:t xml:space="preserve"> (4 May 2018), para. 97. Accessible at: </w:t>
      </w:r>
      <w:hyperlink r:id="rId3" w:history="1">
        <w:r w:rsidR="00A40518" w:rsidRPr="0026554A">
          <w:rPr>
            <w:rStyle w:val="Hyperlink"/>
            <w:sz w:val="16"/>
            <w:szCs w:val="16"/>
          </w:rPr>
          <w:t>https://rm.coe.int/16807c4b74</w:t>
        </w:r>
      </w:hyperlink>
      <w:r w:rsidR="00A40518">
        <w:rPr>
          <w:sz w:val="16"/>
          <w:szCs w:val="16"/>
        </w:rPr>
        <w:t xml:space="preserve">; </w:t>
      </w:r>
      <w:r w:rsidR="00A40518">
        <w:rPr>
          <w:rStyle w:val="Hyperlink"/>
          <w:rFonts w:ascii="Calibri" w:hAnsi="Calibri" w:cs="Calibri"/>
          <w:color w:val="auto"/>
          <w:sz w:val="16"/>
          <w:szCs w:val="16"/>
          <w:u w:val="none"/>
        </w:rPr>
        <w:t>Council of Europe,</w:t>
      </w:r>
      <w:r w:rsidR="00A40518" w:rsidRPr="00A40518">
        <w:rPr>
          <w:rFonts w:ascii="Calibri" w:hAnsi="Calibri" w:cs="Calibri"/>
          <w:sz w:val="16"/>
          <w:szCs w:val="16"/>
        </w:rPr>
        <w:t xml:space="preserve"> Report to the Lithuanian Government on the visit to Lithuania carried out by the European Committee for the Prevention of Torture and Inhuman or Degrading Treatment or Punishment (CPT) from 5 to 15 September 2016</w:t>
      </w:r>
      <w:r w:rsidR="00A40518">
        <w:rPr>
          <w:rFonts w:ascii="Calibri" w:hAnsi="Calibri" w:cs="Calibri"/>
          <w:sz w:val="16"/>
          <w:szCs w:val="16"/>
        </w:rPr>
        <w:t xml:space="preserve">’ (1 February 2018), para. 74. Doc. </w:t>
      </w:r>
      <w:r w:rsidR="00A40518" w:rsidRPr="00A40518">
        <w:rPr>
          <w:sz w:val="16"/>
        </w:rPr>
        <w:t>CPT/</w:t>
      </w:r>
      <w:proofErr w:type="spellStart"/>
      <w:r w:rsidR="00A40518" w:rsidRPr="00A40518">
        <w:rPr>
          <w:sz w:val="16"/>
        </w:rPr>
        <w:t>Inf</w:t>
      </w:r>
      <w:proofErr w:type="spellEnd"/>
      <w:r w:rsidR="00A40518" w:rsidRPr="00A40518">
        <w:rPr>
          <w:sz w:val="16"/>
        </w:rPr>
        <w:t xml:space="preserve"> (2018) 2</w:t>
      </w:r>
      <w:r w:rsidR="00A40518">
        <w:rPr>
          <w:sz w:val="16"/>
        </w:rPr>
        <w:t xml:space="preserve">. Accessible at: </w:t>
      </w:r>
      <w:r w:rsidR="00A40518" w:rsidRPr="00A40518">
        <w:rPr>
          <w:sz w:val="16"/>
        </w:rPr>
        <w:t>https://rm.coe.int/pdf/16807843ca</w:t>
      </w:r>
    </w:p>
  </w:footnote>
  <w:footnote w:id="39">
    <w:p w14:paraId="7F3B25A9" w14:textId="6B278197" w:rsidR="00EF1DCB" w:rsidRDefault="00EF1DCB">
      <w:pPr>
        <w:pStyle w:val="FootnoteText"/>
      </w:pPr>
      <w:r>
        <w:rPr>
          <w:rStyle w:val="FootnoteReference"/>
        </w:rPr>
        <w:footnoteRef/>
      </w:r>
      <w:r>
        <w:t xml:space="preserve"> </w:t>
      </w:r>
      <w:r w:rsidRPr="00E27CE7">
        <w:rPr>
          <w:rFonts w:ascii="Calibri" w:hAnsi="Calibri" w:cs="Calibri"/>
          <w:sz w:val="16"/>
          <w:szCs w:val="16"/>
        </w:rPr>
        <w:t>Gen Sander, ‘Monitoring HIV, HCV, TB and Harm Reduction in Prisons: a Human Rights-Based Tool to Prevent Ill Treatment</w:t>
      </w:r>
      <w:r>
        <w:rPr>
          <w:rFonts w:ascii="Calibri" w:hAnsi="Calibri" w:cs="Calibri"/>
          <w:sz w:val="16"/>
          <w:szCs w:val="16"/>
        </w:rPr>
        <w:t>’</w:t>
      </w:r>
      <w:r w:rsidRPr="00E27CE7">
        <w:rPr>
          <w:rFonts w:ascii="Calibri" w:hAnsi="Calibri" w:cs="Calibri"/>
          <w:sz w:val="16"/>
          <w:szCs w:val="16"/>
        </w:rPr>
        <w:t xml:space="preserve"> (London: Harm Reduction International, 2016)</w:t>
      </w:r>
    </w:p>
  </w:footnote>
  <w:footnote w:id="40">
    <w:p w14:paraId="36FC9D38" w14:textId="7408268D" w:rsidR="001551FA" w:rsidRPr="00E27CE7" w:rsidRDefault="001551FA" w:rsidP="00E27CE7">
      <w:pPr>
        <w:pStyle w:val="Default"/>
        <w:contextualSpacing/>
        <w:rPr>
          <w:rFonts w:ascii="Calibri" w:hAnsi="Calibri" w:cs="Calibri"/>
          <w:color w:val="auto"/>
          <w:sz w:val="16"/>
          <w:szCs w:val="16"/>
        </w:rPr>
      </w:pPr>
      <w:r w:rsidRPr="00E27CE7">
        <w:rPr>
          <w:rStyle w:val="FootnoteReference"/>
          <w:rFonts w:ascii="Calibri" w:hAnsi="Calibri" w:cs="Calibri"/>
          <w:color w:val="auto"/>
          <w:sz w:val="16"/>
          <w:szCs w:val="16"/>
        </w:rPr>
        <w:footnoteRef/>
      </w:r>
      <w:r w:rsidRPr="00E27CE7">
        <w:rPr>
          <w:rFonts w:ascii="Calibri" w:hAnsi="Calibri" w:cs="Calibri"/>
          <w:color w:val="auto"/>
          <w:sz w:val="16"/>
          <w:szCs w:val="16"/>
        </w:rPr>
        <w:t xml:space="preserve"> </w:t>
      </w:r>
      <w:r w:rsidR="00B506BF" w:rsidRPr="00E27CE7">
        <w:rPr>
          <w:rFonts w:ascii="Calibri" w:hAnsi="Calibri" w:cs="Calibri"/>
          <w:color w:val="auto"/>
          <w:sz w:val="16"/>
          <w:szCs w:val="16"/>
        </w:rPr>
        <w:t>Human Rights Council. Report of the Special Rapporteur on torture and other cruel, inhuman or degrading treatment or punishment, Juan E. Ménd</w:t>
      </w:r>
      <w:r w:rsidR="00EC5DDD">
        <w:rPr>
          <w:rFonts w:ascii="Calibri" w:hAnsi="Calibri" w:cs="Calibri"/>
          <w:color w:val="auto"/>
          <w:sz w:val="16"/>
          <w:szCs w:val="16"/>
        </w:rPr>
        <w:t>ez (1 February 2013), para. 5</w:t>
      </w:r>
      <w:r w:rsidR="00B506BF" w:rsidRPr="00E27CE7">
        <w:rPr>
          <w:rFonts w:ascii="Calibri" w:hAnsi="Calibri" w:cs="Calibri"/>
          <w:color w:val="auto"/>
          <w:sz w:val="16"/>
          <w:szCs w:val="16"/>
        </w:rPr>
        <w:t>4. UN Doc A/</w:t>
      </w:r>
      <w:r w:rsidR="00E02057" w:rsidRPr="00E27CE7">
        <w:rPr>
          <w:rFonts w:ascii="Calibri" w:hAnsi="Calibri" w:cs="Calibri"/>
          <w:color w:val="auto"/>
          <w:sz w:val="16"/>
          <w:szCs w:val="16"/>
        </w:rPr>
        <w:t xml:space="preserve">HRC/22/53; Human Rights Committee. </w:t>
      </w:r>
      <w:r w:rsidR="00E02057" w:rsidRPr="00E27CE7">
        <w:rPr>
          <w:rFonts w:ascii="Calibri" w:hAnsi="Calibri" w:cs="Calibri"/>
          <w:bCs/>
          <w:color w:val="auto"/>
          <w:sz w:val="16"/>
          <w:szCs w:val="16"/>
        </w:rPr>
        <w:t>Concluding observations on the seventh periodic report of the Russian Federation (28 April 2015), para. 16. UN Doc.</w:t>
      </w:r>
      <w:r w:rsidR="00E02057" w:rsidRPr="00E27CE7">
        <w:rPr>
          <w:rFonts w:ascii="Calibri" w:hAnsi="Calibri" w:cs="Calibri"/>
          <w:color w:val="auto"/>
          <w:sz w:val="16"/>
          <w:szCs w:val="16"/>
        </w:rPr>
        <w:t xml:space="preserve"> </w:t>
      </w:r>
      <w:r w:rsidRPr="00E27CE7">
        <w:rPr>
          <w:rFonts w:ascii="Calibri" w:hAnsi="Calibri" w:cs="Calibri"/>
          <w:color w:val="auto"/>
          <w:sz w:val="16"/>
          <w:szCs w:val="16"/>
        </w:rPr>
        <w:t>CCPR/C/RUS/CO/7</w:t>
      </w:r>
    </w:p>
  </w:footnote>
  <w:footnote w:id="41">
    <w:p w14:paraId="142848AF" w14:textId="2424AB50" w:rsidR="001551FA" w:rsidRPr="00E27CE7" w:rsidRDefault="001551FA" w:rsidP="00E27CE7">
      <w:pPr>
        <w:pStyle w:val="FootnoteText"/>
        <w:contextualSpacing/>
        <w:rPr>
          <w:rFonts w:ascii="Calibri" w:hAnsi="Calibri" w:cs="Calibri"/>
          <w:sz w:val="16"/>
          <w:szCs w:val="16"/>
        </w:rPr>
      </w:pPr>
      <w:r w:rsidRPr="00E27CE7">
        <w:rPr>
          <w:rStyle w:val="FootnoteReference"/>
          <w:rFonts w:ascii="Calibri" w:hAnsi="Calibri" w:cs="Calibri"/>
          <w:sz w:val="16"/>
          <w:szCs w:val="16"/>
        </w:rPr>
        <w:footnoteRef/>
      </w:r>
      <w:r w:rsidR="00E27CE7">
        <w:rPr>
          <w:rFonts w:ascii="Calibri" w:hAnsi="Calibri" w:cs="Calibri"/>
          <w:sz w:val="16"/>
          <w:szCs w:val="16"/>
        </w:rPr>
        <w:t xml:space="preserve"> European Court of Human Rights</w:t>
      </w:r>
      <w:r w:rsidR="00E02057" w:rsidRPr="00E27CE7">
        <w:rPr>
          <w:rFonts w:ascii="Calibri" w:hAnsi="Calibri" w:cs="Calibri"/>
          <w:sz w:val="16"/>
          <w:szCs w:val="16"/>
        </w:rPr>
        <w:t xml:space="preserve"> </w:t>
      </w:r>
      <w:proofErr w:type="spellStart"/>
      <w:r w:rsidR="00E02057" w:rsidRPr="00E27CE7">
        <w:rPr>
          <w:rFonts w:ascii="Calibri" w:hAnsi="Calibri" w:cs="Calibri"/>
          <w:i/>
          <w:sz w:val="16"/>
          <w:szCs w:val="16"/>
        </w:rPr>
        <w:t>Wenner</w:t>
      </w:r>
      <w:proofErr w:type="spellEnd"/>
      <w:r w:rsidR="00E02057" w:rsidRPr="00E27CE7">
        <w:rPr>
          <w:rFonts w:ascii="Calibri" w:hAnsi="Calibri" w:cs="Calibri"/>
          <w:i/>
          <w:sz w:val="16"/>
          <w:szCs w:val="16"/>
        </w:rPr>
        <w:t xml:space="preserve"> v. Germany </w:t>
      </w:r>
      <w:r w:rsidR="00E02057" w:rsidRPr="00E27CE7">
        <w:rPr>
          <w:rFonts w:ascii="Calibri" w:hAnsi="Calibri" w:cs="Calibri"/>
          <w:sz w:val="16"/>
          <w:szCs w:val="16"/>
        </w:rPr>
        <w:t>App. 62303/13 (1 September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1129" w14:textId="77777777" w:rsidR="007F3388" w:rsidRPr="007F3388" w:rsidRDefault="009E2E2A" w:rsidP="007F3388">
    <w:pPr>
      <w:spacing w:line="240" w:lineRule="auto"/>
      <w:contextualSpacing/>
      <w:jc w:val="right"/>
      <w:rPr>
        <w:rFonts w:ascii="Calibri Light" w:hAnsi="Calibri Light" w:cs="Calibri Light"/>
        <w:color w:val="A6A6A6"/>
        <w:sz w:val="18"/>
        <w:szCs w:val="18"/>
        <w:lang w:eastAsia="en-GB"/>
      </w:rPr>
    </w:pPr>
    <w:r>
      <w:rPr>
        <w:rFonts w:ascii="HelveticaNeue-Light" w:hAnsi="HelveticaNeue-Light" w:cs="HelveticaNeue-Light"/>
        <w:noProof/>
        <w:color w:val="7F7F7F"/>
        <w:spacing w:val="-1"/>
        <w:sz w:val="16"/>
        <w:szCs w:val="18"/>
        <w:lang w:eastAsia="en-GB"/>
      </w:rPr>
      <w:drawing>
        <wp:anchor distT="0" distB="0" distL="114300" distR="114300" simplePos="0" relativeHeight="251658240" behindDoc="1" locked="0" layoutInCell="1" allowOverlap="1" wp14:anchorId="0501D3AE" wp14:editId="52027C7B">
          <wp:simplePos x="0" y="0"/>
          <wp:positionH relativeFrom="margin">
            <wp:align>left</wp:align>
          </wp:positionH>
          <wp:positionV relativeFrom="paragraph">
            <wp:posOffset>-30480</wp:posOffset>
          </wp:positionV>
          <wp:extent cx="2679700" cy="648033"/>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700" cy="648033"/>
                  </a:xfrm>
                  <a:prstGeom prst="rect">
                    <a:avLst/>
                  </a:prstGeom>
                  <a:noFill/>
                  <a:ln>
                    <a:noFill/>
                  </a:ln>
                </pic:spPr>
              </pic:pic>
            </a:graphicData>
          </a:graphic>
          <wp14:sizeRelH relativeFrom="page">
            <wp14:pctWidth>0</wp14:pctWidth>
          </wp14:sizeRelH>
          <wp14:sizeRelV relativeFrom="page">
            <wp14:pctHeight>0</wp14:pctHeight>
          </wp14:sizeRelV>
        </wp:anchor>
      </w:drawing>
    </w:r>
    <w:r w:rsidR="007F3388">
      <w:tab/>
    </w:r>
    <w:r w:rsidR="007F3388" w:rsidRPr="007F3388">
      <w:rPr>
        <w:rFonts w:ascii="Calibri Light" w:hAnsi="Calibri Light" w:cs="Calibri Light"/>
        <w:color w:val="A6A6A6"/>
        <w:sz w:val="18"/>
        <w:szCs w:val="18"/>
        <w:lang w:eastAsia="en-GB"/>
      </w:rPr>
      <w:t>Harm Reduction International</w:t>
    </w:r>
  </w:p>
  <w:p w14:paraId="2A8E1389" w14:textId="77777777" w:rsidR="007F3388" w:rsidRPr="007F3388" w:rsidRDefault="007F3388" w:rsidP="007F3388">
    <w:pPr>
      <w:spacing w:line="240" w:lineRule="auto"/>
      <w:contextualSpacing/>
      <w:jc w:val="right"/>
      <w:rPr>
        <w:rFonts w:ascii="Calibri Light" w:hAnsi="Calibri Light" w:cs="Calibri Light"/>
        <w:color w:val="A6A6A6"/>
        <w:sz w:val="18"/>
        <w:szCs w:val="18"/>
        <w:lang w:eastAsia="en-GB"/>
      </w:rPr>
    </w:pPr>
    <w:r w:rsidRPr="007F3388">
      <w:rPr>
        <w:rFonts w:ascii="Calibri Light" w:hAnsi="Calibri Light" w:cs="Calibri Light"/>
        <w:color w:val="A6A6A6"/>
        <w:sz w:val="18"/>
        <w:szCs w:val="18"/>
        <w:lang w:eastAsia="en-GB"/>
      </w:rPr>
      <w:t>Unit 2C09, South Bank Technopark</w:t>
    </w:r>
  </w:p>
  <w:p w14:paraId="279026BE" w14:textId="77777777" w:rsidR="007F3388" w:rsidRPr="007F3388" w:rsidRDefault="007F3388" w:rsidP="007F3388">
    <w:pPr>
      <w:spacing w:line="240" w:lineRule="auto"/>
      <w:contextualSpacing/>
      <w:jc w:val="right"/>
      <w:rPr>
        <w:rFonts w:ascii="Calibri Light" w:hAnsi="Calibri Light" w:cs="Calibri Light"/>
        <w:color w:val="A6A6A6"/>
        <w:sz w:val="18"/>
        <w:szCs w:val="18"/>
        <w:lang w:eastAsia="en-GB"/>
      </w:rPr>
    </w:pPr>
    <w:r w:rsidRPr="007F3388">
      <w:rPr>
        <w:rFonts w:ascii="Calibri Light" w:hAnsi="Calibri Light" w:cs="Calibri Light"/>
        <w:color w:val="A6A6A6"/>
        <w:sz w:val="18"/>
        <w:szCs w:val="18"/>
        <w:lang w:eastAsia="en-GB"/>
      </w:rPr>
      <w:t>90 London Road, London</w:t>
    </w:r>
  </w:p>
  <w:p w14:paraId="602B14CC" w14:textId="77777777" w:rsidR="007F3388" w:rsidRPr="007F3388" w:rsidRDefault="007F3388" w:rsidP="007F3388">
    <w:pPr>
      <w:spacing w:line="240" w:lineRule="auto"/>
      <w:contextualSpacing/>
      <w:jc w:val="right"/>
      <w:rPr>
        <w:rFonts w:ascii="Calibri Light" w:hAnsi="Calibri Light" w:cs="Calibri Light"/>
        <w:color w:val="A6A6A6"/>
        <w:sz w:val="18"/>
        <w:szCs w:val="18"/>
        <w:lang w:eastAsia="en-GB"/>
      </w:rPr>
    </w:pPr>
    <w:r w:rsidRPr="007F3388">
      <w:rPr>
        <w:rFonts w:ascii="Calibri Light" w:hAnsi="Calibri Light" w:cs="Calibri Light"/>
        <w:color w:val="A6A6A6"/>
        <w:sz w:val="18"/>
        <w:szCs w:val="18"/>
        <w:lang w:eastAsia="en-GB"/>
      </w:rPr>
      <w:t>SE1 6LN, United Kingdom</w:t>
    </w:r>
  </w:p>
  <w:p w14:paraId="58108899" w14:textId="279846A4" w:rsidR="009E2E2A" w:rsidRPr="009E2E2A" w:rsidRDefault="009E2E2A" w:rsidP="007F3388">
    <w:pPr>
      <w:pStyle w:val="Header"/>
      <w:tabs>
        <w:tab w:val="clear" w:pos="4513"/>
        <w:tab w:val="clear" w:pos="9026"/>
        <w:tab w:val="left" w:pos="63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9822" w14:textId="0B48DE33" w:rsidR="009E2E2A" w:rsidRDefault="009E2E2A">
    <w:pPr>
      <w:pStyle w:val="Header"/>
    </w:pPr>
  </w:p>
  <w:p w14:paraId="2955858B" w14:textId="77777777" w:rsidR="009E2E2A" w:rsidRDefault="009E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CCC70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C3202A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CF0CF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320AC0"/>
    <w:multiLevelType w:val="hybridMultilevel"/>
    <w:tmpl w:val="58E6E252"/>
    <w:lvl w:ilvl="0" w:tplc="9FA06B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511FC"/>
    <w:multiLevelType w:val="hybridMultilevel"/>
    <w:tmpl w:val="D15A2950"/>
    <w:lvl w:ilvl="0" w:tplc="3976F2F2">
      <w:start w:val="14"/>
      <w:numFmt w:val="bullet"/>
      <w:lvlText w:val=""/>
      <w:lvlJc w:val="left"/>
      <w:pPr>
        <w:ind w:left="720" w:hanging="360"/>
      </w:pPr>
      <w:rPr>
        <w:rFonts w:ascii="Wingdings" w:eastAsiaTheme="minorHAnsi" w:hAnsi="Wingdings"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26DE"/>
    <w:multiLevelType w:val="hybridMultilevel"/>
    <w:tmpl w:val="622ED3AA"/>
    <w:lvl w:ilvl="0" w:tplc="BA4C781C">
      <w:start w:val="2"/>
      <w:numFmt w:val="bullet"/>
      <w:lvlText w:val=""/>
      <w:lvlJc w:val="left"/>
      <w:pPr>
        <w:ind w:left="720" w:hanging="360"/>
      </w:pPr>
      <w:rPr>
        <w:rFonts w:ascii="Wingdings" w:eastAsiaTheme="minorHAnsi" w:hAnsi="Wingdings" w:cs="Times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5"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F46"/>
    <w:multiLevelType w:val="hybridMultilevel"/>
    <w:tmpl w:val="EDF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752E"/>
    <w:multiLevelType w:val="hybridMultilevel"/>
    <w:tmpl w:val="C99E3A04"/>
    <w:lvl w:ilvl="0" w:tplc="97343294">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70666"/>
    <w:multiLevelType w:val="hybridMultilevel"/>
    <w:tmpl w:val="0B12FEFA"/>
    <w:lvl w:ilvl="0" w:tplc="BA0E1E2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F33FB"/>
    <w:multiLevelType w:val="hybridMultilevel"/>
    <w:tmpl w:val="4086DD5E"/>
    <w:lvl w:ilvl="0" w:tplc="C714D7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16BD2"/>
    <w:multiLevelType w:val="hybridMultilevel"/>
    <w:tmpl w:val="07E061E8"/>
    <w:lvl w:ilvl="0" w:tplc="BE2C4A3A">
      <w:start w:val="1"/>
      <w:numFmt w:val="bullet"/>
      <w:lvlText w:val="-"/>
      <w:lvlJc w:val="left"/>
      <w:pPr>
        <w:ind w:left="927" w:hanging="360"/>
      </w:pPr>
      <w:rPr>
        <w:rFonts w:ascii="TimesLTStd-Roman" w:eastAsiaTheme="minorHAnsi" w:hAnsi="TimesLTStd-Roman" w:cs="TimesLTStd-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1D60315"/>
    <w:multiLevelType w:val="hybridMultilevel"/>
    <w:tmpl w:val="144267BE"/>
    <w:lvl w:ilvl="0" w:tplc="41ACE5E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00E79"/>
    <w:multiLevelType w:val="hybridMultilevel"/>
    <w:tmpl w:val="B53658A0"/>
    <w:lvl w:ilvl="0" w:tplc="C982256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82C6B"/>
    <w:multiLevelType w:val="hybridMultilevel"/>
    <w:tmpl w:val="CED2DF3E"/>
    <w:lvl w:ilvl="0" w:tplc="CC08DAC8">
      <w:start w:val="14"/>
      <w:numFmt w:val="bullet"/>
      <w:lvlText w:val="-"/>
      <w:lvlJc w:val="left"/>
      <w:pPr>
        <w:ind w:left="720" w:hanging="360"/>
      </w:pPr>
      <w:rPr>
        <w:rFonts w:ascii="TimesLTStd-Roman" w:eastAsiaTheme="minorHAnsi" w:hAnsi="TimesLTStd-Roman" w:cs="Times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1309A"/>
    <w:multiLevelType w:val="hybridMultilevel"/>
    <w:tmpl w:val="AFA6F7D6"/>
    <w:lvl w:ilvl="0" w:tplc="28B4F02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1"/>
  </w:num>
  <w:num w:numId="6">
    <w:abstractNumId w:val="0"/>
  </w:num>
  <w:num w:numId="7">
    <w:abstractNumId w:val="13"/>
  </w:num>
  <w:num w:numId="8">
    <w:abstractNumId w:val="11"/>
  </w:num>
  <w:num w:numId="9">
    <w:abstractNumId w:val="9"/>
  </w:num>
  <w:num w:numId="10">
    <w:abstractNumId w:val="7"/>
  </w:num>
  <w:num w:numId="11">
    <w:abstractNumId w:val="12"/>
  </w:num>
  <w:num w:numId="12">
    <w:abstractNumId w:val="14"/>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CA"/>
    <w:rsid w:val="00016122"/>
    <w:rsid w:val="00023EAB"/>
    <w:rsid w:val="0005260F"/>
    <w:rsid w:val="00055C99"/>
    <w:rsid w:val="0007267D"/>
    <w:rsid w:val="00074168"/>
    <w:rsid w:val="0008725B"/>
    <w:rsid w:val="000A272D"/>
    <w:rsid w:val="000B7AC9"/>
    <w:rsid w:val="000D3D1D"/>
    <w:rsid w:val="000D62CF"/>
    <w:rsid w:val="001357CA"/>
    <w:rsid w:val="0013669F"/>
    <w:rsid w:val="001551FA"/>
    <w:rsid w:val="00161298"/>
    <w:rsid w:val="00185024"/>
    <w:rsid w:val="00187577"/>
    <w:rsid w:val="001A152C"/>
    <w:rsid w:val="001A719C"/>
    <w:rsid w:val="001B45E3"/>
    <w:rsid w:val="001C4F28"/>
    <w:rsid w:val="001D2E3C"/>
    <w:rsid w:val="001E0FA0"/>
    <w:rsid w:val="00225339"/>
    <w:rsid w:val="00232A1E"/>
    <w:rsid w:val="00243665"/>
    <w:rsid w:val="002505EA"/>
    <w:rsid w:val="00262327"/>
    <w:rsid w:val="00293254"/>
    <w:rsid w:val="002A376D"/>
    <w:rsid w:val="002A4D8C"/>
    <w:rsid w:val="002A6D4E"/>
    <w:rsid w:val="002B416D"/>
    <w:rsid w:val="002B6F8E"/>
    <w:rsid w:val="002C1091"/>
    <w:rsid w:val="002C35C9"/>
    <w:rsid w:val="002C7789"/>
    <w:rsid w:val="002D0B28"/>
    <w:rsid w:val="002E4F15"/>
    <w:rsid w:val="002E79CC"/>
    <w:rsid w:val="00304BD4"/>
    <w:rsid w:val="00321472"/>
    <w:rsid w:val="00324D05"/>
    <w:rsid w:val="00360378"/>
    <w:rsid w:val="0038189A"/>
    <w:rsid w:val="00392394"/>
    <w:rsid w:val="00393042"/>
    <w:rsid w:val="00395F98"/>
    <w:rsid w:val="003B20BD"/>
    <w:rsid w:val="003B3AFD"/>
    <w:rsid w:val="003B4371"/>
    <w:rsid w:val="003C52F4"/>
    <w:rsid w:val="003D1B0B"/>
    <w:rsid w:val="003E593C"/>
    <w:rsid w:val="003F17E4"/>
    <w:rsid w:val="003F337F"/>
    <w:rsid w:val="0041337E"/>
    <w:rsid w:val="00417CDE"/>
    <w:rsid w:val="004208FD"/>
    <w:rsid w:val="00432F0F"/>
    <w:rsid w:val="004358A4"/>
    <w:rsid w:val="004412DA"/>
    <w:rsid w:val="004A0843"/>
    <w:rsid w:val="004A0E05"/>
    <w:rsid w:val="004A3268"/>
    <w:rsid w:val="004A6C73"/>
    <w:rsid w:val="004B6F49"/>
    <w:rsid w:val="004C0E41"/>
    <w:rsid w:val="004D04BC"/>
    <w:rsid w:val="004D6777"/>
    <w:rsid w:val="004E46EF"/>
    <w:rsid w:val="004F1677"/>
    <w:rsid w:val="005123F1"/>
    <w:rsid w:val="00512F10"/>
    <w:rsid w:val="00515C52"/>
    <w:rsid w:val="005220EB"/>
    <w:rsid w:val="0054726F"/>
    <w:rsid w:val="0056176B"/>
    <w:rsid w:val="0057150A"/>
    <w:rsid w:val="00591DD4"/>
    <w:rsid w:val="005B5A22"/>
    <w:rsid w:val="005D25D7"/>
    <w:rsid w:val="005E33F2"/>
    <w:rsid w:val="00603D63"/>
    <w:rsid w:val="00611C65"/>
    <w:rsid w:val="00623E2E"/>
    <w:rsid w:val="006349B2"/>
    <w:rsid w:val="00636712"/>
    <w:rsid w:val="00660FA1"/>
    <w:rsid w:val="00676634"/>
    <w:rsid w:val="00687438"/>
    <w:rsid w:val="00695213"/>
    <w:rsid w:val="006A17C9"/>
    <w:rsid w:val="006A2E47"/>
    <w:rsid w:val="006A4AF8"/>
    <w:rsid w:val="006A57DE"/>
    <w:rsid w:val="006A7243"/>
    <w:rsid w:val="006B11A7"/>
    <w:rsid w:val="006B2F1A"/>
    <w:rsid w:val="006E5DEE"/>
    <w:rsid w:val="00734534"/>
    <w:rsid w:val="00740BF3"/>
    <w:rsid w:val="007432DA"/>
    <w:rsid w:val="00771857"/>
    <w:rsid w:val="0077239B"/>
    <w:rsid w:val="00781962"/>
    <w:rsid w:val="00786D21"/>
    <w:rsid w:val="007C58AB"/>
    <w:rsid w:val="007D281A"/>
    <w:rsid w:val="007E4B39"/>
    <w:rsid w:val="007F0A51"/>
    <w:rsid w:val="007F3388"/>
    <w:rsid w:val="008170FB"/>
    <w:rsid w:val="00867F12"/>
    <w:rsid w:val="008C0074"/>
    <w:rsid w:val="009104E4"/>
    <w:rsid w:val="00917B35"/>
    <w:rsid w:val="009257C6"/>
    <w:rsid w:val="00926677"/>
    <w:rsid w:val="00927B82"/>
    <w:rsid w:val="0095034F"/>
    <w:rsid w:val="00960014"/>
    <w:rsid w:val="00965E34"/>
    <w:rsid w:val="009961A3"/>
    <w:rsid w:val="009A2F9B"/>
    <w:rsid w:val="009C3B8B"/>
    <w:rsid w:val="009C41DD"/>
    <w:rsid w:val="009D151B"/>
    <w:rsid w:val="009E2E2A"/>
    <w:rsid w:val="00A13FE4"/>
    <w:rsid w:val="00A302FD"/>
    <w:rsid w:val="00A32331"/>
    <w:rsid w:val="00A40518"/>
    <w:rsid w:val="00A442C3"/>
    <w:rsid w:val="00A45E39"/>
    <w:rsid w:val="00A47D37"/>
    <w:rsid w:val="00A56828"/>
    <w:rsid w:val="00A75F23"/>
    <w:rsid w:val="00AB146A"/>
    <w:rsid w:val="00AB1943"/>
    <w:rsid w:val="00AB4506"/>
    <w:rsid w:val="00AB5A01"/>
    <w:rsid w:val="00AC63C3"/>
    <w:rsid w:val="00AD69EE"/>
    <w:rsid w:val="00AD79AE"/>
    <w:rsid w:val="00AF3E74"/>
    <w:rsid w:val="00B10F49"/>
    <w:rsid w:val="00B2171A"/>
    <w:rsid w:val="00B24D8C"/>
    <w:rsid w:val="00B36506"/>
    <w:rsid w:val="00B44A4A"/>
    <w:rsid w:val="00B46EF2"/>
    <w:rsid w:val="00B506BF"/>
    <w:rsid w:val="00B56E4B"/>
    <w:rsid w:val="00BA6A3C"/>
    <w:rsid w:val="00BC05EE"/>
    <w:rsid w:val="00BD6B01"/>
    <w:rsid w:val="00BE6261"/>
    <w:rsid w:val="00BF61EA"/>
    <w:rsid w:val="00C00DA6"/>
    <w:rsid w:val="00C1226E"/>
    <w:rsid w:val="00C13242"/>
    <w:rsid w:val="00C21BFC"/>
    <w:rsid w:val="00C563AA"/>
    <w:rsid w:val="00C75B85"/>
    <w:rsid w:val="00C9383B"/>
    <w:rsid w:val="00CA25A4"/>
    <w:rsid w:val="00CA5DEC"/>
    <w:rsid w:val="00CD49B9"/>
    <w:rsid w:val="00CD7510"/>
    <w:rsid w:val="00D15521"/>
    <w:rsid w:val="00D376E7"/>
    <w:rsid w:val="00D57928"/>
    <w:rsid w:val="00D67989"/>
    <w:rsid w:val="00D8453C"/>
    <w:rsid w:val="00D96C6B"/>
    <w:rsid w:val="00DE1E00"/>
    <w:rsid w:val="00E02057"/>
    <w:rsid w:val="00E11679"/>
    <w:rsid w:val="00E1189C"/>
    <w:rsid w:val="00E1390B"/>
    <w:rsid w:val="00E27492"/>
    <w:rsid w:val="00E27CE7"/>
    <w:rsid w:val="00E32C4B"/>
    <w:rsid w:val="00E35159"/>
    <w:rsid w:val="00E37664"/>
    <w:rsid w:val="00E46DD6"/>
    <w:rsid w:val="00E53F7F"/>
    <w:rsid w:val="00E72499"/>
    <w:rsid w:val="00E770A2"/>
    <w:rsid w:val="00E95170"/>
    <w:rsid w:val="00EA4942"/>
    <w:rsid w:val="00EC4DBE"/>
    <w:rsid w:val="00EC5DDD"/>
    <w:rsid w:val="00EC5E8F"/>
    <w:rsid w:val="00EC7D0E"/>
    <w:rsid w:val="00ED34E4"/>
    <w:rsid w:val="00EF1DCB"/>
    <w:rsid w:val="00F23431"/>
    <w:rsid w:val="00F31F46"/>
    <w:rsid w:val="00F3445E"/>
    <w:rsid w:val="00F57E01"/>
    <w:rsid w:val="00F92BA0"/>
    <w:rsid w:val="00F95D1F"/>
    <w:rsid w:val="00FF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69B93"/>
  <w15:chartTrackingRefBased/>
  <w15:docId w15:val="{3F4471E8-BA42-4A61-9CA6-B9695952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5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23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357CA"/>
    <w:pPr>
      <w:spacing w:after="120"/>
    </w:pPr>
  </w:style>
  <w:style w:type="character" w:customStyle="1" w:styleId="BodyTextChar">
    <w:name w:val="Body Text Char"/>
    <w:basedOn w:val="DefaultParagraphFont"/>
    <w:link w:val="BodyText"/>
    <w:uiPriority w:val="99"/>
    <w:rsid w:val="001357CA"/>
  </w:style>
  <w:style w:type="paragraph" w:customStyle="1" w:styleId="BodyText1">
    <w:name w:val="Body Text1"/>
    <w:rsid w:val="001357CA"/>
    <w:pPr>
      <w:spacing w:after="120"/>
    </w:pPr>
    <w:rPr>
      <w:rFonts w:ascii="Lucida Grande" w:eastAsia="ヒラギノ角ゴ Pro W3" w:hAnsi="Lucida Grande" w:cs="Times New Roman"/>
      <w:color w:val="000000"/>
      <w:szCs w:val="20"/>
      <w:lang w:eastAsia="en-GB"/>
    </w:rPr>
  </w:style>
  <w:style w:type="character" w:customStyle="1" w:styleId="FootnoteReference1">
    <w:name w:val="Footnote Reference1"/>
    <w:rsid w:val="001357CA"/>
    <w:rPr>
      <w:color w:val="000000"/>
      <w:sz w:val="22"/>
      <w:vertAlign w:val="superscript"/>
    </w:rPr>
  </w:style>
  <w:style w:type="paragraph" w:customStyle="1" w:styleId="FootnoteText1">
    <w:name w:val="Footnote Text1"/>
    <w:autoRedefine/>
    <w:rsid w:val="001357CA"/>
    <w:pPr>
      <w:spacing w:after="0" w:line="240" w:lineRule="auto"/>
      <w:contextualSpacing/>
    </w:pPr>
    <w:rPr>
      <w:rFonts w:ascii="Calibri" w:eastAsia="Times New Roman" w:hAnsi="Calibri" w:cs="Times New Roman"/>
      <w:sz w:val="16"/>
      <w:szCs w:val="18"/>
      <w:lang w:eastAsia="en-GB"/>
    </w:rPr>
  </w:style>
  <w:style w:type="character" w:styleId="CommentReference">
    <w:name w:val="annotation reference"/>
    <w:basedOn w:val="DefaultParagraphFont"/>
    <w:uiPriority w:val="99"/>
    <w:semiHidden/>
    <w:unhideWhenUsed/>
    <w:rsid w:val="001357CA"/>
    <w:rPr>
      <w:sz w:val="16"/>
      <w:szCs w:val="16"/>
    </w:rPr>
  </w:style>
  <w:style w:type="paragraph" w:styleId="CommentText">
    <w:name w:val="annotation text"/>
    <w:basedOn w:val="Normal"/>
    <w:link w:val="CommentTextChar"/>
    <w:uiPriority w:val="99"/>
    <w:semiHidden/>
    <w:unhideWhenUsed/>
    <w:rsid w:val="001357CA"/>
    <w:pPr>
      <w:spacing w:line="240" w:lineRule="auto"/>
    </w:pPr>
    <w:rPr>
      <w:sz w:val="20"/>
      <w:szCs w:val="20"/>
    </w:rPr>
  </w:style>
  <w:style w:type="character" w:customStyle="1" w:styleId="CommentTextChar">
    <w:name w:val="Comment Text Char"/>
    <w:basedOn w:val="DefaultParagraphFont"/>
    <w:link w:val="CommentText"/>
    <w:uiPriority w:val="99"/>
    <w:semiHidden/>
    <w:rsid w:val="001357CA"/>
    <w:rPr>
      <w:sz w:val="20"/>
      <w:szCs w:val="20"/>
    </w:rPr>
  </w:style>
  <w:style w:type="paragraph" w:styleId="CommentSubject">
    <w:name w:val="annotation subject"/>
    <w:basedOn w:val="CommentText"/>
    <w:next w:val="CommentText"/>
    <w:link w:val="CommentSubjectChar"/>
    <w:uiPriority w:val="99"/>
    <w:semiHidden/>
    <w:unhideWhenUsed/>
    <w:rsid w:val="001357CA"/>
    <w:rPr>
      <w:b/>
      <w:bCs/>
    </w:rPr>
  </w:style>
  <w:style w:type="character" w:customStyle="1" w:styleId="CommentSubjectChar">
    <w:name w:val="Comment Subject Char"/>
    <w:basedOn w:val="CommentTextChar"/>
    <w:link w:val="CommentSubject"/>
    <w:uiPriority w:val="99"/>
    <w:semiHidden/>
    <w:rsid w:val="001357CA"/>
    <w:rPr>
      <w:b/>
      <w:bCs/>
      <w:sz w:val="20"/>
      <w:szCs w:val="20"/>
    </w:rPr>
  </w:style>
  <w:style w:type="paragraph" w:styleId="BalloonText">
    <w:name w:val="Balloon Text"/>
    <w:basedOn w:val="Normal"/>
    <w:link w:val="BalloonTextChar"/>
    <w:uiPriority w:val="99"/>
    <w:semiHidden/>
    <w:unhideWhenUsed/>
    <w:rsid w:val="0013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CA"/>
    <w:rPr>
      <w:rFonts w:ascii="Segoe UI" w:hAnsi="Segoe UI" w:cs="Segoe UI"/>
      <w:sz w:val="18"/>
      <w:szCs w:val="18"/>
    </w:rPr>
  </w:style>
  <w:style w:type="paragraph" w:styleId="FootnoteText">
    <w:name w:val="footnote text"/>
    <w:basedOn w:val="Normal"/>
    <w:link w:val="FootnoteTextChar"/>
    <w:uiPriority w:val="99"/>
    <w:unhideWhenUsed/>
    <w:rsid w:val="001357CA"/>
    <w:pPr>
      <w:spacing w:after="0" w:line="240" w:lineRule="auto"/>
    </w:pPr>
    <w:rPr>
      <w:sz w:val="20"/>
      <w:szCs w:val="20"/>
    </w:rPr>
  </w:style>
  <w:style w:type="character" w:customStyle="1" w:styleId="FootnoteTextChar">
    <w:name w:val="Footnote Text Char"/>
    <w:basedOn w:val="DefaultParagraphFont"/>
    <w:link w:val="FootnoteText"/>
    <w:uiPriority w:val="99"/>
    <w:rsid w:val="001357CA"/>
    <w:rPr>
      <w:sz w:val="20"/>
      <w:szCs w:val="20"/>
    </w:rPr>
  </w:style>
  <w:style w:type="character" w:styleId="FootnoteReference">
    <w:name w:val="footnote reference"/>
    <w:basedOn w:val="DefaultParagraphFont"/>
    <w:uiPriority w:val="99"/>
    <w:semiHidden/>
    <w:unhideWhenUsed/>
    <w:rsid w:val="001357CA"/>
    <w:rPr>
      <w:vertAlign w:val="superscript"/>
    </w:rPr>
  </w:style>
  <w:style w:type="character" w:customStyle="1" w:styleId="FootnoteReference11">
    <w:name w:val="Footnote Reference11"/>
    <w:rsid w:val="001357CA"/>
    <w:rPr>
      <w:color w:val="000000"/>
      <w:sz w:val="22"/>
      <w:vertAlign w:val="superscript"/>
    </w:rPr>
  </w:style>
  <w:style w:type="paragraph" w:customStyle="1" w:styleId="FootnoteText11">
    <w:name w:val="Footnote Text11"/>
    <w:autoRedefine/>
    <w:rsid w:val="001357CA"/>
    <w:pPr>
      <w:spacing w:after="0" w:line="240" w:lineRule="auto"/>
    </w:pPr>
    <w:rPr>
      <w:rFonts w:ascii="Lucida Grande" w:eastAsia="ヒラギノ角ゴ Pro W3" w:hAnsi="Lucida Grande" w:cs="Times New Roman"/>
      <w:color w:val="000000"/>
      <w:sz w:val="20"/>
      <w:szCs w:val="20"/>
      <w:lang w:eastAsia="en-GB"/>
    </w:rPr>
  </w:style>
  <w:style w:type="character" w:customStyle="1" w:styleId="Hyperlink1">
    <w:name w:val="Hyperlink1"/>
    <w:rsid w:val="001357CA"/>
    <w:rPr>
      <w:color w:val="1453B0"/>
      <w:sz w:val="22"/>
      <w:u w:val="single"/>
    </w:rPr>
  </w:style>
  <w:style w:type="paragraph" w:styleId="ListParagraph">
    <w:name w:val="List Paragraph"/>
    <w:basedOn w:val="Normal"/>
    <w:uiPriority w:val="34"/>
    <w:qFormat/>
    <w:rsid w:val="004A0843"/>
    <w:pPr>
      <w:ind w:left="720"/>
      <w:contextualSpacing/>
    </w:pPr>
  </w:style>
  <w:style w:type="character" w:styleId="Hyperlink">
    <w:name w:val="Hyperlink"/>
    <w:basedOn w:val="DefaultParagraphFont"/>
    <w:uiPriority w:val="99"/>
    <w:unhideWhenUsed/>
    <w:rsid w:val="004A0843"/>
    <w:rPr>
      <w:color w:val="0000FF"/>
      <w:u w:val="single"/>
    </w:rPr>
  </w:style>
  <w:style w:type="character" w:styleId="FollowedHyperlink">
    <w:name w:val="FollowedHyperlink"/>
    <w:basedOn w:val="DefaultParagraphFont"/>
    <w:uiPriority w:val="99"/>
    <w:semiHidden/>
    <w:unhideWhenUsed/>
    <w:rsid w:val="004D6777"/>
    <w:rPr>
      <w:color w:val="954F72" w:themeColor="followedHyperlink"/>
      <w:u w:val="single"/>
    </w:rPr>
  </w:style>
  <w:style w:type="character" w:customStyle="1" w:styleId="Heading1Char">
    <w:name w:val="Heading 1 Char"/>
    <w:basedOn w:val="DefaultParagraphFont"/>
    <w:link w:val="Heading1"/>
    <w:uiPriority w:val="9"/>
    <w:rsid w:val="009257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57C6"/>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9257C6"/>
    <w:pPr>
      <w:ind w:left="283" w:hanging="283"/>
      <w:contextualSpacing/>
    </w:pPr>
  </w:style>
  <w:style w:type="paragraph" w:styleId="List2">
    <w:name w:val="List 2"/>
    <w:basedOn w:val="Normal"/>
    <w:uiPriority w:val="99"/>
    <w:semiHidden/>
    <w:unhideWhenUsed/>
    <w:rsid w:val="009257C6"/>
    <w:pPr>
      <w:ind w:left="566" w:hanging="283"/>
      <w:contextualSpacing/>
    </w:pPr>
  </w:style>
  <w:style w:type="paragraph" w:styleId="MessageHeader">
    <w:name w:val="Message Header"/>
    <w:basedOn w:val="Normal"/>
    <w:link w:val="MessageHeaderChar"/>
    <w:uiPriority w:val="99"/>
    <w:semiHidden/>
    <w:unhideWhenUsed/>
    <w:rsid w:val="009257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57C6"/>
    <w:rPr>
      <w:rFonts w:asciiTheme="majorHAnsi" w:eastAsiaTheme="majorEastAsia" w:hAnsiTheme="majorHAnsi" w:cstheme="majorBidi"/>
      <w:sz w:val="24"/>
      <w:szCs w:val="24"/>
      <w:shd w:val="pct20" w:color="auto" w:fill="auto"/>
    </w:rPr>
  </w:style>
  <w:style w:type="paragraph" w:styleId="ListBullet">
    <w:name w:val="List Bullet"/>
    <w:basedOn w:val="Normal"/>
    <w:uiPriority w:val="99"/>
    <w:unhideWhenUsed/>
    <w:rsid w:val="009257C6"/>
    <w:pPr>
      <w:numPr>
        <w:numId w:val="4"/>
      </w:numPr>
      <w:contextualSpacing/>
    </w:pPr>
  </w:style>
  <w:style w:type="paragraph" w:styleId="ListBullet2">
    <w:name w:val="List Bullet 2"/>
    <w:basedOn w:val="Normal"/>
    <w:uiPriority w:val="99"/>
    <w:unhideWhenUsed/>
    <w:rsid w:val="009257C6"/>
    <w:pPr>
      <w:numPr>
        <w:numId w:val="5"/>
      </w:numPr>
      <w:contextualSpacing/>
    </w:pPr>
  </w:style>
  <w:style w:type="paragraph" w:styleId="ListBullet3">
    <w:name w:val="List Bullet 3"/>
    <w:basedOn w:val="Normal"/>
    <w:uiPriority w:val="99"/>
    <w:semiHidden/>
    <w:unhideWhenUsed/>
    <w:rsid w:val="009257C6"/>
    <w:pPr>
      <w:numPr>
        <w:numId w:val="6"/>
      </w:numPr>
      <w:tabs>
        <w:tab w:val="clear" w:pos="926"/>
        <w:tab w:val="num" w:pos="360"/>
      </w:tabs>
      <w:ind w:left="0" w:firstLine="0"/>
      <w:contextualSpacing/>
    </w:pPr>
  </w:style>
  <w:style w:type="paragraph" w:styleId="ListContinue3">
    <w:name w:val="List Continue 3"/>
    <w:basedOn w:val="Normal"/>
    <w:uiPriority w:val="99"/>
    <w:semiHidden/>
    <w:unhideWhenUsed/>
    <w:rsid w:val="009257C6"/>
    <w:pPr>
      <w:spacing w:after="120"/>
      <w:ind w:left="849"/>
      <w:contextualSpacing/>
    </w:pPr>
  </w:style>
  <w:style w:type="character" w:customStyle="1" w:styleId="Heading3Char">
    <w:name w:val="Heading 3 Char"/>
    <w:basedOn w:val="DefaultParagraphFont"/>
    <w:link w:val="Heading3"/>
    <w:uiPriority w:val="9"/>
    <w:rsid w:val="00E3515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13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5123F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2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8FD"/>
  </w:style>
  <w:style w:type="paragraph" w:styleId="Footer">
    <w:name w:val="footer"/>
    <w:basedOn w:val="Normal"/>
    <w:link w:val="FooterChar"/>
    <w:uiPriority w:val="99"/>
    <w:unhideWhenUsed/>
    <w:rsid w:val="0042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8FD"/>
  </w:style>
  <w:style w:type="paragraph" w:styleId="NoSpacing">
    <w:name w:val="No Spacing"/>
    <w:link w:val="NoSpacingChar"/>
    <w:uiPriority w:val="1"/>
    <w:qFormat/>
    <w:rsid w:val="004208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08FD"/>
    <w:rPr>
      <w:rFonts w:eastAsiaTheme="minorEastAsia"/>
      <w:lang w:val="en-US"/>
    </w:rPr>
  </w:style>
  <w:style w:type="character" w:customStyle="1" w:styleId="nlmyear">
    <w:name w:val="nlm_year"/>
    <w:basedOn w:val="DefaultParagraphFont"/>
    <w:rsid w:val="00917B35"/>
  </w:style>
  <w:style w:type="character" w:customStyle="1" w:styleId="nlmarticle-title">
    <w:name w:val="nlm_article-title"/>
    <w:basedOn w:val="DefaultParagraphFont"/>
    <w:rsid w:val="00917B35"/>
  </w:style>
  <w:style w:type="character" w:customStyle="1" w:styleId="nlmext-link">
    <w:name w:val="nlm_ext-link"/>
    <w:basedOn w:val="DefaultParagraphFont"/>
    <w:rsid w:val="00917B35"/>
  </w:style>
  <w:style w:type="character" w:customStyle="1" w:styleId="nlmdate-in-citation">
    <w:name w:val="nlm_date-in-citation"/>
    <w:basedOn w:val="DefaultParagraphFont"/>
    <w:rsid w:val="00917B35"/>
  </w:style>
  <w:style w:type="paragraph" w:customStyle="1" w:styleId="Default">
    <w:name w:val="Default"/>
    <w:rsid w:val="00E02057"/>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AD79AE"/>
    <w:pPr>
      <w:spacing w:after="0" w:line="240" w:lineRule="auto"/>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AD79AE"/>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79596">
      <w:bodyDiv w:val="1"/>
      <w:marLeft w:val="0"/>
      <w:marRight w:val="0"/>
      <w:marTop w:val="0"/>
      <w:marBottom w:val="0"/>
      <w:divBdr>
        <w:top w:val="none" w:sz="0" w:space="0" w:color="auto"/>
        <w:left w:val="none" w:sz="0" w:space="0" w:color="auto"/>
        <w:bottom w:val="none" w:sz="0" w:space="0" w:color="auto"/>
        <w:right w:val="none" w:sz="0" w:space="0" w:color="auto"/>
      </w:divBdr>
    </w:div>
    <w:div w:id="618880982">
      <w:bodyDiv w:val="1"/>
      <w:marLeft w:val="0"/>
      <w:marRight w:val="0"/>
      <w:marTop w:val="0"/>
      <w:marBottom w:val="0"/>
      <w:divBdr>
        <w:top w:val="none" w:sz="0" w:space="0" w:color="auto"/>
        <w:left w:val="none" w:sz="0" w:space="0" w:color="auto"/>
        <w:bottom w:val="none" w:sz="0" w:space="0" w:color="auto"/>
        <w:right w:val="none" w:sz="0" w:space="0" w:color="auto"/>
      </w:divBdr>
    </w:div>
    <w:div w:id="621810135">
      <w:bodyDiv w:val="1"/>
      <w:marLeft w:val="0"/>
      <w:marRight w:val="0"/>
      <w:marTop w:val="0"/>
      <w:marBottom w:val="0"/>
      <w:divBdr>
        <w:top w:val="none" w:sz="0" w:space="0" w:color="auto"/>
        <w:left w:val="none" w:sz="0" w:space="0" w:color="auto"/>
        <w:bottom w:val="none" w:sz="0" w:space="0" w:color="auto"/>
        <w:right w:val="none" w:sz="0" w:space="0" w:color="auto"/>
      </w:divBdr>
    </w:div>
    <w:div w:id="626200244">
      <w:bodyDiv w:val="1"/>
      <w:marLeft w:val="0"/>
      <w:marRight w:val="0"/>
      <w:marTop w:val="0"/>
      <w:marBottom w:val="0"/>
      <w:divBdr>
        <w:top w:val="none" w:sz="0" w:space="0" w:color="auto"/>
        <w:left w:val="none" w:sz="0" w:space="0" w:color="auto"/>
        <w:bottom w:val="none" w:sz="0" w:space="0" w:color="auto"/>
        <w:right w:val="none" w:sz="0" w:space="0" w:color="auto"/>
      </w:divBdr>
    </w:div>
    <w:div w:id="1052118580">
      <w:bodyDiv w:val="1"/>
      <w:marLeft w:val="0"/>
      <w:marRight w:val="0"/>
      <w:marTop w:val="0"/>
      <w:marBottom w:val="0"/>
      <w:divBdr>
        <w:top w:val="none" w:sz="0" w:space="0" w:color="auto"/>
        <w:left w:val="none" w:sz="0" w:space="0" w:color="auto"/>
        <w:bottom w:val="none" w:sz="0" w:space="0" w:color="auto"/>
        <w:right w:val="none" w:sz="0" w:space="0" w:color="auto"/>
      </w:divBdr>
    </w:div>
    <w:div w:id="1064647763">
      <w:bodyDiv w:val="1"/>
      <w:marLeft w:val="0"/>
      <w:marRight w:val="0"/>
      <w:marTop w:val="0"/>
      <w:marBottom w:val="0"/>
      <w:divBdr>
        <w:top w:val="none" w:sz="0" w:space="0" w:color="auto"/>
        <w:left w:val="none" w:sz="0" w:space="0" w:color="auto"/>
        <w:bottom w:val="none" w:sz="0" w:space="0" w:color="auto"/>
        <w:right w:val="none" w:sz="0" w:space="0" w:color="auto"/>
      </w:divBdr>
    </w:div>
    <w:div w:id="1227642645">
      <w:bodyDiv w:val="1"/>
      <w:marLeft w:val="0"/>
      <w:marRight w:val="0"/>
      <w:marTop w:val="0"/>
      <w:marBottom w:val="0"/>
      <w:divBdr>
        <w:top w:val="none" w:sz="0" w:space="0" w:color="auto"/>
        <w:left w:val="none" w:sz="0" w:space="0" w:color="auto"/>
        <w:bottom w:val="none" w:sz="0" w:space="0" w:color="auto"/>
        <w:right w:val="none" w:sz="0" w:space="0" w:color="auto"/>
      </w:divBdr>
    </w:div>
    <w:div w:id="1299339486">
      <w:bodyDiv w:val="1"/>
      <w:marLeft w:val="0"/>
      <w:marRight w:val="0"/>
      <w:marTop w:val="0"/>
      <w:marBottom w:val="0"/>
      <w:divBdr>
        <w:top w:val="none" w:sz="0" w:space="0" w:color="auto"/>
        <w:left w:val="none" w:sz="0" w:space="0" w:color="auto"/>
        <w:bottom w:val="none" w:sz="0" w:space="0" w:color="auto"/>
        <w:right w:val="none" w:sz="0" w:space="0" w:color="auto"/>
      </w:divBdr>
    </w:div>
    <w:div w:id="1717856388">
      <w:bodyDiv w:val="1"/>
      <w:marLeft w:val="0"/>
      <w:marRight w:val="0"/>
      <w:marTop w:val="0"/>
      <w:marBottom w:val="0"/>
      <w:divBdr>
        <w:top w:val="none" w:sz="0" w:space="0" w:color="auto"/>
        <w:left w:val="none" w:sz="0" w:space="0" w:color="auto"/>
        <w:bottom w:val="none" w:sz="0" w:space="0" w:color="auto"/>
        <w:right w:val="none" w:sz="0" w:space="0" w:color="auto"/>
      </w:divBdr>
    </w:div>
    <w:div w:id="1749232161">
      <w:bodyDiv w:val="1"/>
      <w:marLeft w:val="0"/>
      <w:marRight w:val="0"/>
      <w:marTop w:val="0"/>
      <w:marBottom w:val="0"/>
      <w:divBdr>
        <w:top w:val="none" w:sz="0" w:space="0" w:color="auto"/>
        <w:left w:val="none" w:sz="0" w:space="0" w:color="auto"/>
        <w:bottom w:val="none" w:sz="0" w:space="0" w:color="auto"/>
        <w:right w:val="none" w:sz="0" w:space="0" w:color="auto"/>
      </w:divBdr>
    </w:div>
    <w:div w:id="1835145861">
      <w:bodyDiv w:val="1"/>
      <w:marLeft w:val="0"/>
      <w:marRight w:val="0"/>
      <w:marTop w:val="0"/>
      <w:marBottom w:val="0"/>
      <w:divBdr>
        <w:top w:val="none" w:sz="0" w:space="0" w:color="auto"/>
        <w:left w:val="none" w:sz="0" w:space="0" w:color="auto"/>
        <w:bottom w:val="none" w:sz="0" w:space="0" w:color="auto"/>
        <w:right w:val="none" w:sz="0" w:space="0" w:color="auto"/>
      </w:divBdr>
    </w:div>
    <w:div w:id="1964771504">
      <w:bodyDiv w:val="1"/>
      <w:marLeft w:val="0"/>
      <w:marRight w:val="0"/>
      <w:marTop w:val="0"/>
      <w:marBottom w:val="0"/>
      <w:divBdr>
        <w:top w:val="none" w:sz="0" w:space="0" w:color="auto"/>
        <w:left w:val="none" w:sz="0" w:space="0" w:color="auto"/>
        <w:bottom w:val="none" w:sz="0" w:space="0" w:color="auto"/>
        <w:right w:val="none" w:sz="0" w:space="0" w:color="auto"/>
      </w:divBdr>
    </w:div>
    <w:div w:id="20667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i.global/files/2016/11/14/GSHR2016_14nov.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c4b74" TargetMode="External"/><Relationship Id="rId2" Type="http://schemas.openxmlformats.org/officeDocument/2006/relationships/hyperlink" Target="https://rm.coe.int/168070af7a" TargetMode="External"/><Relationship Id="rId1" Type="http://schemas.openxmlformats.org/officeDocument/2006/relationships/hyperlink" Target="http://www.bbc.co.uk/news/world-europe-37617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CC231-AEBF-4422-9840-A24B935048D4}">
  <ds:schemaRefs>
    <ds:schemaRef ds:uri="http://schemas.openxmlformats.org/officeDocument/2006/bibliography"/>
  </ds:schemaRefs>
</ds:datastoreItem>
</file>

<file path=customXml/itemProps2.xml><?xml version="1.0" encoding="utf-8"?>
<ds:datastoreItem xmlns:ds="http://schemas.openxmlformats.org/officeDocument/2006/customXml" ds:itemID="{E60FB924-A309-4757-9549-3A0D01392BDC}"/>
</file>

<file path=customXml/itemProps3.xml><?xml version="1.0" encoding="utf-8"?>
<ds:datastoreItem xmlns:ds="http://schemas.openxmlformats.org/officeDocument/2006/customXml" ds:itemID="{02C68513-9D91-4EBF-AD5D-0C0C59430ACE}"/>
</file>

<file path=customXml/itemProps4.xml><?xml version="1.0" encoding="utf-8"?>
<ds:datastoreItem xmlns:ds="http://schemas.openxmlformats.org/officeDocument/2006/customXml" ds:itemID="{7B3503DC-8B45-4A8A-8EDC-591F0E4760F5}"/>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11303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dc:description/>
  <cp:lastModifiedBy>OHCHR-ROLDS</cp:lastModifiedBy>
  <cp:revision>2</cp:revision>
  <cp:lastPrinted>2018-05-11T10:06:00Z</cp:lastPrinted>
  <dcterms:created xsi:type="dcterms:W3CDTF">2018-05-18T12:35:00Z</dcterms:created>
  <dcterms:modified xsi:type="dcterms:W3CDTF">2018-05-18T12:35:00Z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