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D24977" w14:textId="77777777" w:rsidR="00417AC2" w:rsidRDefault="009306E8" w:rsidP="009306E8">
      <w:pPr>
        <w:jc w:val="center"/>
      </w:pPr>
      <w:bookmarkStart w:id="0" w:name="_GoBack"/>
      <w:bookmarkEnd w:id="0"/>
      <w:r>
        <w:rPr>
          <w:rFonts w:eastAsia="Times New Roman" w:cs="Times New Roman"/>
          <w:noProof/>
          <w:lang w:val="en-GB" w:eastAsia="en-GB"/>
        </w:rPr>
        <w:drawing>
          <wp:inline distT="0" distB="0" distL="0" distR="0" wp14:anchorId="05B72DA3" wp14:editId="5F5E8A53">
            <wp:extent cx="2398395" cy="939122"/>
            <wp:effectExtent l="0" t="0" r="0" b="1270"/>
            <wp:docPr id="1" name="Image 1" descr="o automatic alt text avail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automatic alt text availabl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490" cy="939942"/>
                    </a:xfrm>
                    <a:prstGeom prst="rect">
                      <a:avLst/>
                    </a:prstGeom>
                    <a:noFill/>
                    <a:ln>
                      <a:noFill/>
                    </a:ln>
                  </pic:spPr>
                </pic:pic>
              </a:graphicData>
            </a:graphic>
          </wp:inline>
        </w:drawing>
      </w:r>
    </w:p>
    <w:p w14:paraId="44593E09" w14:textId="77777777" w:rsidR="009306E8" w:rsidRDefault="009306E8" w:rsidP="009306E8">
      <w:pPr>
        <w:jc w:val="center"/>
      </w:pPr>
    </w:p>
    <w:p w14:paraId="2EADB703" w14:textId="77777777" w:rsidR="009306E8" w:rsidRPr="00F13344" w:rsidRDefault="00A43D75" w:rsidP="009306E8">
      <w:pPr>
        <w:jc w:val="center"/>
        <w:rPr>
          <w:lang w:val="es-ES_tradnl"/>
        </w:rPr>
      </w:pPr>
      <w:hyperlink r:id="rId8" w:history="1">
        <w:r w:rsidR="009306E8" w:rsidRPr="00F13344">
          <w:rPr>
            <w:rStyle w:val="Hyperlink"/>
            <w:lang w:val="es-ES_tradnl"/>
          </w:rPr>
          <w:t>www.malocainternationale.com</w:t>
        </w:r>
      </w:hyperlink>
    </w:p>
    <w:p w14:paraId="5952BC77" w14:textId="77777777" w:rsidR="009306E8" w:rsidRPr="00F13344" w:rsidRDefault="009306E8" w:rsidP="009306E8">
      <w:pPr>
        <w:jc w:val="center"/>
        <w:rPr>
          <w:lang w:val="es-ES_tradnl"/>
        </w:rPr>
      </w:pPr>
    </w:p>
    <w:p w14:paraId="5614FAEB" w14:textId="77777777" w:rsidR="009306E8" w:rsidRPr="00F13344" w:rsidRDefault="009306E8" w:rsidP="009306E8">
      <w:pPr>
        <w:jc w:val="center"/>
        <w:rPr>
          <w:lang w:val="es-ES_tradnl"/>
        </w:rPr>
      </w:pPr>
    </w:p>
    <w:p w14:paraId="7DEAF377" w14:textId="77777777" w:rsidR="008D171C" w:rsidRPr="00F13344" w:rsidRDefault="008D171C" w:rsidP="009306E8">
      <w:pPr>
        <w:rPr>
          <w:lang w:val="es-ES_tradnl"/>
        </w:rPr>
      </w:pPr>
    </w:p>
    <w:p w14:paraId="47AE47EB" w14:textId="77777777" w:rsidR="00F13344" w:rsidRPr="00F13344" w:rsidRDefault="00F13344" w:rsidP="00F13344">
      <w:pPr>
        <w:spacing w:line="360" w:lineRule="auto"/>
        <w:rPr>
          <w:rFonts w:ascii="Arial" w:hAnsi="Arial" w:cs="Arial"/>
          <w:lang w:val="es-ES_tradnl"/>
        </w:rPr>
      </w:pPr>
      <w:r w:rsidRPr="00F13344">
        <w:rPr>
          <w:rFonts w:ascii="Arial" w:hAnsi="Arial" w:cs="Arial"/>
          <w:lang w:val="es-ES_tradnl"/>
        </w:rPr>
        <w:t xml:space="preserve">Ginebra, 18 de mayo de 2018 </w:t>
      </w:r>
    </w:p>
    <w:p w14:paraId="0409CB48" w14:textId="77777777" w:rsidR="00F13344" w:rsidRPr="00F13344" w:rsidRDefault="00F13344" w:rsidP="00F13344">
      <w:pPr>
        <w:spacing w:line="360" w:lineRule="auto"/>
        <w:rPr>
          <w:rFonts w:ascii="Arial" w:hAnsi="Arial" w:cs="Arial"/>
          <w:lang w:val="es-ES_tradnl"/>
        </w:rPr>
      </w:pPr>
    </w:p>
    <w:p w14:paraId="06C83285" w14:textId="0EF0BACF" w:rsidR="00F13344" w:rsidRPr="00F13344" w:rsidRDefault="00F13344" w:rsidP="00F13344">
      <w:pPr>
        <w:spacing w:line="360" w:lineRule="auto"/>
        <w:rPr>
          <w:rFonts w:ascii="Arial" w:hAnsi="Arial" w:cs="Arial"/>
          <w:lang w:val="es-ES_tradnl"/>
        </w:rPr>
      </w:pPr>
      <w:r w:rsidRPr="00F13344">
        <w:rPr>
          <w:rFonts w:ascii="Arial" w:hAnsi="Arial" w:cs="Arial"/>
          <w:lang w:val="es-ES_tradnl"/>
        </w:rPr>
        <w:t xml:space="preserve">Asunto: derechos de los pueblos indígenas en la interpretación de la política internacional sobre las drogas </w:t>
      </w:r>
    </w:p>
    <w:p w14:paraId="4946D5FB" w14:textId="77777777" w:rsidR="00F13344" w:rsidRPr="00F13344" w:rsidRDefault="00F13344" w:rsidP="00F13344">
      <w:pPr>
        <w:spacing w:line="360" w:lineRule="auto"/>
        <w:rPr>
          <w:rFonts w:ascii="Arial" w:hAnsi="Arial" w:cs="Arial"/>
          <w:lang w:val="es-ES_tradnl"/>
        </w:rPr>
      </w:pPr>
    </w:p>
    <w:p w14:paraId="3D8BEAD5" w14:textId="77777777" w:rsidR="00F13344" w:rsidRPr="00F13344" w:rsidRDefault="00F13344" w:rsidP="00F13344">
      <w:pPr>
        <w:spacing w:line="360" w:lineRule="auto"/>
        <w:rPr>
          <w:rFonts w:ascii="Arial" w:hAnsi="Arial" w:cs="Arial"/>
          <w:lang w:val="es-ES_tradnl"/>
        </w:rPr>
      </w:pPr>
    </w:p>
    <w:p w14:paraId="3BBCAF64" w14:textId="77777777" w:rsidR="00F13344" w:rsidRPr="00F13344" w:rsidRDefault="00F13344" w:rsidP="00F13344">
      <w:pPr>
        <w:spacing w:line="360" w:lineRule="auto"/>
        <w:rPr>
          <w:rFonts w:ascii="Arial" w:hAnsi="Arial" w:cs="Arial"/>
        </w:rPr>
      </w:pPr>
      <w:r w:rsidRPr="00F13344">
        <w:rPr>
          <w:rFonts w:ascii="Arial" w:hAnsi="Arial" w:cs="Arial"/>
        </w:rPr>
        <w:t>Estimado experto Mahmood</w:t>
      </w:r>
    </w:p>
    <w:p w14:paraId="0CDF80C0" w14:textId="77777777" w:rsidR="009306E8" w:rsidRPr="00F13344" w:rsidRDefault="009306E8" w:rsidP="00EB4A52">
      <w:pPr>
        <w:spacing w:line="360" w:lineRule="auto"/>
        <w:rPr>
          <w:rFonts w:ascii="Arial" w:hAnsi="Arial" w:cs="Arial"/>
          <w:lang w:val="es-ES_tradnl"/>
        </w:rPr>
      </w:pPr>
    </w:p>
    <w:p w14:paraId="755AFCE5" w14:textId="77777777" w:rsidR="009306E8" w:rsidRPr="00F13344" w:rsidRDefault="009306E8" w:rsidP="00EB4A52">
      <w:pPr>
        <w:spacing w:line="360" w:lineRule="auto"/>
        <w:rPr>
          <w:rFonts w:ascii="Arial" w:hAnsi="Arial" w:cs="Arial"/>
          <w:lang w:val="es-ES_tradnl"/>
        </w:rPr>
      </w:pPr>
    </w:p>
    <w:p w14:paraId="3EA4D168" w14:textId="72F236F8" w:rsidR="009306E8" w:rsidRPr="00F13344" w:rsidRDefault="00F13344" w:rsidP="00EB4A52">
      <w:pPr>
        <w:spacing w:line="360" w:lineRule="auto"/>
        <w:rPr>
          <w:rFonts w:ascii="Arial" w:hAnsi="Arial" w:cs="Arial"/>
          <w:lang w:val="es-ES_tradnl"/>
        </w:rPr>
      </w:pPr>
      <w:r>
        <w:rPr>
          <w:rFonts w:ascii="Arial" w:hAnsi="Arial" w:cs="Arial"/>
          <w:lang w:val="es-ES_tradnl"/>
        </w:rPr>
        <w:t>Estimado Grupo de Expertos</w:t>
      </w:r>
    </w:p>
    <w:p w14:paraId="54025221" w14:textId="77777777" w:rsidR="009306E8" w:rsidRPr="00F13344" w:rsidRDefault="009306E8" w:rsidP="00EB4A52">
      <w:pPr>
        <w:spacing w:line="360" w:lineRule="auto"/>
        <w:rPr>
          <w:rFonts w:ascii="Arial" w:hAnsi="Arial" w:cs="Arial"/>
          <w:lang w:val="es-ES_tradnl"/>
        </w:rPr>
      </w:pPr>
    </w:p>
    <w:p w14:paraId="7815A389" w14:textId="77777777" w:rsidR="009306E8" w:rsidRPr="00F13344" w:rsidRDefault="009306E8" w:rsidP="00EB4A52">
      <w:pPr>
        <w:spacing w:line="360" w:lineRule="auto"/>
        <w:rPr>
          <w:rFonts w:ascii="Arial" w:hAnsi="Arial" w:cs="Arial"/>
          <w:lang w:val="es-ES_tradnl"/>
        </w:rPr>
      </w:pPr>
    </w:p>
    <w:p w14:paraId="712FC005" w14:textId="084999A2" w:rsidR="009306E8" w:rsidRPr="00F13344" w:rsidRDefault="009306E8" w:rsidP="00EB4A52">
      <w:pPr>
        <w:spacing w:line="360" w:lineRule="auto"/>
        <w:jc w:val="both"/>
        <w:rPr>
          <w:rFonts w:ascii="Arial" w:hAnsi="Arial" w:cs="Arial"/>
          <w:lang w:val="es-ES_tradnl"/>
        </w:rPr>
      </w:pPr>
      <w:r w:rsidRPr="00F13344">
        <w:rPr>
          <w:rFonts w:ascii="Arial" w:hAnsi="Arial" w:cs="Arial"/>
          <w:lang w:val="es-ES_tradnl"/>
        </w:rPr>
        <w:t xml:space="preserve">Para nosotros es una gran </w:t>
      </w:r>
      <w:r w:rsidR="00F13344" w:rsidRPr="00F13344">
        <w:rPr>
          <w:rFonts w:ascii="Arial" w:hAnsi="Arial" w:cs="Arial"/>
          <w:lang w:val="es-ES_tradnl"/>
        </w:rPr>
        <w:t>alegría</w:t>
      </w:r>
      <w:r w:rsidRPr="00F13344">
        <w:rPr>
          <w:rFonts w:ascii="Arial" w:hAnsi="Arial" w:cs="Arial"/>
          <w:lang w:val="es-ES_tradnl"/>
        </w:rPr>
        <w:t xml:space="preserve"> y orgullo remitirle esta comunicación a su servicio, puesto que luchamos a</w:t>
      </w:r>
      <w:r w:rsidR="00EB4A52" w:rsidRPr="00F13344">
        <w:rPr>
          <w:rFonts w:ascii="Arial" w:hAnsi="Arial" w:cs="Arial"/>
          <w:lang w:val="es-ES_tradnl"/>
        </w:rPr>
        <w:t>rduamente por tener la resolució</w:t>
      </w:r>
      <w:r w:rsidRPr="00F13344">
        <w:rPr>
          <w:rFonts w:ascii="Arial" w:hAnsi="Arial" w:cs="Arial"/>
          <w:lang w:val="es-ES_tradnl"/>
        </w:rPr>
        <w:t xml:space="preserve">n 37/42 </w:t>
      </w:r>
      <w:r w:rsidR="00C1675F" w:rsidRPr="00F13344">
        <w:rPr>
          <w:rFonts w:ascii="Arial" w:hAnsi="Arial" w:cs="Arial"/>
          <w:lang w:val="es-ES_tradnl"/>
        </w:rPr>
        <w:t xml:space="preserve">y su párrafo operativo 5 </w:t>
      </w:r>
      <w:r w:rsidRPr="00F13344">
        <w:rPr>
          <w:rFonts w:ascii="Arial" w:hAnsi="Arial" w:cs="Arial"/>
          <w:lang w:val="es-ES_tradnl"/>
        </w:rPr>
        <w:t xml:space="preserve">que da lugar al estudio </w:t>
      </w:r>
      <w:r w:rsidR="00EB4A52" w:rsidRPr="00F13344">
        <w:rPr>
          <w:rFonts w:ascii="Arial" w:hAnsi="Arial" w:cs="Arial"/>
          <w:lang w:val="es-ES_tradnl"/>
        </w:rPr>
        <w:t>del cua</w:t>
      </w:r>
      <w:r w:rsidR="00C1675F" w:rsidRPr="00F13344">
        <w:rPr>
          <w:rFonts w:ascii="Arial" w:hAnsi="Arial" w:cs="Arial"/>
          <w:lang w:val="es-ES_tradnl"/>
        </w:rPr>
        <w:t>l usted es responsable</w:t>
      </w:r>
      <w:r w:rsidRPr="00F13344">
        <w:rPr>
          <w:rFonts w:ascii="Arial" w:hAnsi="Arial" w:cs="Arial"/>
          <w:lang w:val="es-ES_tradnl"/>
        </w:rPr>
        <w:t xml:space="preserve">. Nuestra ONG ha realizado un trabajo desde </w:t>
      </w:r>
      <w:r w:rsidR="0095704C" w:rsidRPr="00F13344">
        <w:rPr>
          <w:rFonts w:ascii="Arial" w:hAnsi="Arial" w:cs="Arial"/>
          <w:lang w:val="es-ES_tradnl"/>
        </w:rPr>
        <w:t xml:space="preserve">hace una década sobre </w:t>
      </w:r>
      <w:r w:rsidRPr="00F13344">
        <w:rPr>
          <w:rFonts w:ascii="Arial" w:hAnsi="Arial" w:cs="Arial"/>
          <w:lang w:val="es-ES_tradnl"/>
        </w:rPr>
        <w:t xml:space="preserve">en el campo de las substancias </w:t>
      </w:r>
      <w:r w:rsidR="00F13344" w:rsidRPr="00F13344">
        <w:rPr>
          <w:rFonts w:ascii="Arial" w:hAnsi="Arial" w:cs="Arial"/>
          <w:lang w:val="es-ES_tradnl"/>
        </w:rPr>
        <w:t>psicoactivas</w:t>
      </w:r>
      <w:r w:rsidRPr="00F13344">
        <w:rPr>
          <w:rFonts w:ascii="Arial" w:hAnsi="Arial" w:cs="Arial"/>
          <w:lang w:val="es-ES_tradnl"/>
        </w:rPr>
        <w:t xml:space="preserve"> utilizadas por los pueblos </w:t>
      </w:r>
      <w:r w:rsidR="00F13344" w:rsidRPr="00F13344">
        <w:rPr>
          <w:rFonts w:ascii="Arial" w:hAnsi="Arial" w:cs="Arial"/>
          <w:lang w:val="es-ES_tradnl"/>
        </w:rPr>
        <w:t>indígenas en</w:t>
      </w:r>
      <w:r w:rsidRPr="00F13344">
        <w:rPr>
          <w:rFonts w:ascii="Arial" w:hAnsi="Arial" w:cs="Arial"/>
          <w:lang w:val="es-ES_tradnl"/>
        </w:rPr>
        <w:t xml:space="preserve"> la Amazonía, y estamos activos en el tema de las drogas a nivel internacional desde el 2014. De hecho, somos pioneros en la inclusión del tema de los pueblos indígenas en </w:t>
      </w:r>
      <w:r w:rsidR="00F13344" w:rsidRPr="00F13344">
        <w:rPr>
          <w:rFonts w:ascii="Arial" w:hAnsi="Arial" w:cs="Arial"/>
          <w:lang w:val="es-ES_tradnl"/>
        </w:rPr>
        <w:t>esta área</w:t>
      </w:r>
      <w:r w:rsidRPr="00F13344">
        <w:rPr>
          <w:rFonts w:ascii="Arial" w:hAnsi="Arial" w:cs="Arial"/>
          <w:lang w:val="es-ES_tradnl"/>
        </w:rPr>
        <w:t>.  Nos sentimos muy satisfechos</w:t>
      </w:r>
      <w:r w:rsidR="00C1675F" w:rsidRPr="00F13344">
        <w:rPr>
          <w:rFonts w:ascii="Arial" w:hAnsi="Arial" w:cs="Arial"/>
          <w:lang w:val="es-ES_tradnl"/>
        </w:rPr>
        <w:t xml:space="preserve"> con el último estudio elabora</w:t>
      </w:r>
      <w:r w:rsidR="00F13344">
        <w:rPr>
          <w:rFonts w:ascii="Arial" w:hAnsi="Arial" w:cs="Arial"/>
          <w:lang w:val="es-ES_tradnl"/>
        </w:rPr>
        <w:t>do por el OHCHR en el 2015</w:t>
      </w:r>
      <w:r w:rsidRPr="00F13344">
        <w:rPr>
          <w:rFonts w:ascii="Arial" w:hAnsi="Arial" w:cs="Arial"/>
          <w:lang w:val="es-ES_tradnl"/>
        </w:rPr>
        <w:t xml:space="preserve">, donde el </w:t>
      </w:r>
      <w:r w:rsidR="00F13344" w:rsidRPr="00F13344">
        <w:rPr>
          <w:rFonts w:ascii="Arial" w:hAnsi="Arial" w:cs="Arial"/>
          <w:lang w:val="es-ES_tradnl"/>
        </w:rPr>
        <w:t>capítulo</w:t>
      </w:r>
      <w:r w:rsidRPr="00F13344">
        <w:rPr>
          <w:rFonts w:ascii="Arial" w:hAnsi="Arial" w:cs="Arial"/>
          <w:lang w:val="es-ES_tradnl"/>
        </w:rPr>
        <w:t xml:space="preserve"> final fue dedicado en su integridad a los pueblos indígenas. Esperamos que sea el caso otra vez en este estudio, así se preservaría el lugar ganado por los pueblos indígenas en esta discusión. </w:t>
      </w:r>
    </w:p>
    <w:p w14:paraId="4FE66665" w14:textId="77777777" w:rsidR="009306E8" w:rsidRPr="00F13344" w:rsidRDefault="009306E8" w:rsidP="00EB4A52">
      <w:pPr>
        <w:spacing w:line="360" w:lineRule="auto"/>
        <w:jc w:val="both"/>
        <w:rPr>
          <w:rFonts w:ascii="Arial" w:hAnsi="Arial" w:cs="Arial"/>
          <w:lang w:val="es-ES_tradnl"/>
        </w:rPr>
      </w:pPr>
    </w:p>
    <w:p w14:paraId="54F2FDCB" w14:textId="77777777" w:rsidR="009306E8" w:rsidRPr="00F13344" w:rsidRDefault="009306E8" w:rsidP="00EB4A52">
      <w:pPr>
        <w:spacing w:line="360" w:lineRule="auto"/>
        <w:jc w:val="both"/>
        <w:rPr>
          <w:rFonts w:ascii="Arial" w:hAnsi="Arial" w:cs="Arial"/>
          <w:lang w:val="es-ES_tradnl"/>
        </w:rPr>
      </w:pPr>
    </w:p>
    <w:p w14:paraId="08FF2B11" w14:textId="3CC7D66D" w:rsidR="009306E8" w:rsidRPr="00F13344" w:rsidRDefault="009306E8" w:rsidP="00EB4A52">
      <w:pPr>
        <w:spacing w:line="360" w:lineRule="auto"/>
        <w:jc w:val="both"/>
        <w:rPr>
          <w:rFonts w:ascii="Arial" w:hAnsi="Arial" w:cs="Arial"/>
          <w:lang w:val="es-ES_tradnl"/>
        </w:rPr>
      </w:pPr>
      <w:r w:rsidRPr="00F13344">
        <w:rPr>
          <w:rFonts w:ascii="Arial" w:hAnsi="Arial" w:cs="Arial"/>
          <w:lang w:val="es-ES_tradnl"/>
        </w:rPr>
        <w:t xml:space="preserve">Dado que el mandato del estudio es buscar la implementación de las recomendaciones del documento final del UNGASS 2016, nosotros vamos a proveer información sobre la recomendación </w:t>
      </w:r>
      <w:r w:rsidR="008D171C" w:rsidRPr="00F13344">
        <w:rPr>
          <w:rFonts w:ascii="Arial" w:hAnsi="Arial" w:cs="Arial"/>
          <w:lang w:val="es-ES_tradnl"/>
        </w:rPr>
        <w:t>4(i) sobre usos lícitos tradicionales por parte de los pueblos ind</w:t>
      </w:r>
      <w:r w:rsidR="002322A5" w:rsidRPr="00F13344">
        <w:rPr>
          <w:rFonts w:ascii="Arial" w:hAnsi="Arial" w:cs="Arial"/>
          <w:lang w:val="es-ES_tradnl"/>
        </w:rPr>
        <w:t>ígenas de plantas y substancias psicoa</w:t>
      </w:r>
      <w:r w:rsidR="00F13344">
        <w:rPr>
          <w:rFonts w:ascii="Arial" w:hAnsi="Arial" w:cs="Arial"/>
          <w:lang w:val="es-ES_tradnl"/>
        </w:rPr>
        <w:t>c</w:t>
      </w:r>
      <w:r w:rsidR="002322A5" w:rsidRPr="00F13344">
        <w:rPr>
          <w:rFonts w:ascii="Arial" w:hAnsi="Arial" w:cs="Arial"/>
          <w:lang w:val="es-ES_tradnl"/>
        </w:rPr>
        <w:t>tivas, de acuerdo con la Declaración de Derechos de los</w:t>
      </w:r>
      <w:r w:rsidR="00961275" w:rsidRPr="00F13344">
        <w:rPr>
          <w:rFonts w:ascii="Arial" w:hAnsi="Arial" w:cs="Arial"/>
          <w:lang w:val="es-ES_tradnl"/>
        </w:rPr>
        <w:t xml:space="preserve"> Pueblos Indígenas, en </w:t>
      </w:r>
      <w:r w:rsidR="002322A5" w:rsidRPr="00F13344">
        <w:rPr>
          <w:rFonts w:ascii="Arial" w:hAnsi="Arial" w:cs="Arial"/>
          <w:lang w:val="es-ES_tradnl"/>
        </w:rPr>
        <w:t>sus artículos 11, 2</w:t>
      </w:r>
      <w:r w:rsidR="00961275" w:rsidRPr="00F13344">
        <w:rPr>
          <w:rFonts w:ascii="Arial" w:hAnsi="Arial" w:cs="Arial"/>
          <w:lang w:val="es-ES_tradnl"/>
        </w:rPr>
        <w:t>4 y 31</w:t>
      </w:r>
      <w:r w:rsidR="002322A5" w:rsidRPr="00F13344">
        <w:rPr>
          <w:rFonts w:ascii="Arial" w:hAnsi="Arial" w:cs="Arial"/>
          <w:lang w:val="es-ES_tradnl"/>
        </w:rPr>
        <w:t xml:space="preserve">. En este punto, queremos hacer notar que el último estudio mencionó igualmente el Convenio 169 de 1989 de </w:t>
      </w:r>
      <w:r w:rsidR="00961275" w:rsidRPr="00F13344">
        <w:rPr>
          <w:rFonts w:ascii="Arial" w:hAnsi="Arial" w:cs="Arial"/>
          <w:lang w:val="es-ES_tradnl"/>
        </w:rPr>
        <w:t>la OIT y el C</w:t>
      </w:r>
      <w:r w:rsidR="002322A5" w:rsidRPr="00F13344">
        <w:rPr>
          <w:rFonts w:ascii="Arial" w:hAnsi="Arial" w:cs="Arial"/>
          <w:lang w:val="es-ES_tradnl"/>
        </w:rPr>
        <w:t xml:space="preserve">onvenio sobre salvaguardia del patrimonio inmaterial de la UNESCO (2003).  Pedimos que </w:t>
      </w:r>
      <w:r w:rsidR="00961275" w:rsidRPr="00F13344">
        <w:rPr>
          <w:rFonts w:ascii="Arial" w:hAnsi="Arial" w:cs="Arial"/>
          <w:lang w:val="es-ES_tradnl"/>
        </w:rPr>
        <w:t xml:space="preserve">se </w:t>
      </w:r>
      <w:r w:rsidR="002322A5" w:rsidRPr="00F13344">
        <w:rPr>
          <w:rFonts w:ascii="Arial" w:hAnsi="Arial" w:cs="Arial"/>
          <w:lang w:val="es-ES_tradnl"/>
        </w:rPr>
        <w:t xml:space="preserve">insista en mencionar estas normas internacionales, y en el caso del Convenio 169 de 1989 de la OIT, hacer </w:t>
      </w:r>
      <w:r w:rsidR="00F13344" w:rsidRPr="00F13344">
        <w:rPr>
          <w:rFonts w:ascii="Arial" w:hAnsi="Arial" w:cs="Arial"/>
          <w:lang w:val="es-ES_tradnl"/>
        </w:rPr>
        <w:t>hincapié</w:t>
      </w:r>
      <w:r w:rsidR="002322A5" w:rsidRPr="00F13344">
        <w:rPr>
          <w:rFonts w:ascii="Arial" w:hAnsi="Arial" w:cs="Arial"/>
          <w:lang w:val="es-ES_tradnl"/>
        </w:rPr>
        <w:t xml:space="preserve"> en el artículo 25 que hace eco del artículo 24 de la Declaración de Derechos de los Pueblos Indígenas. </w:t>
      </w:r>
    </w:p>
    <w:p w14:paraId="4023E83E" w14:textId="77777777" w:rsidR="002322A5" w:rsidRPr="00F13344" w:rsidRDefault="002322A5" w:rsidP="00EB4A52">
      <w:pPr>
        <w:spacing w:line="360" w:lineRule="auto"/>
        <w:jc w:val="both"/>
        <w:rPr>
          <w:rFonts w:ascii="Arial" w:hAnsi="Arial" w:cs="Arial"/>
          <w:lang w:val="es-ES_tradnl"/>
        </w:rPr>
      </w:pPr>
    </w:p>
    <w:p w14:paraId="3C916DC9" w14:textId="7ACC1B85" w:rsidR="002322A5" w:rsidRPr="00F13344" w:rsidRDefault="00961275" w:rsidP="00EB4A52">
      <w:pPr>
        <w:spacing w:line="360" w:lineRule="auto"/>
        <w:jc w:val="both"/>
        <w:rPr>
          <w:rFonts w:ascii="Arial" w:hAnsi="Arial" w:cs="Arial"/>
          <w:lang w:val="es-ES_tradnl"/>
        </w:rPr>
      </w:pPr>
      <w:r w:rsidRPr="00F13344">
        <w:rPr>
          <w:rFonts w:ascii="Arial" w:hAnsi="Arial" w:cs="Arial"/>
          <w:lang w:val="es-ES_tradnl"/>
        </w:rPr>
        <w:t>L</w:t>
      </w:r>
      <w:r w:rsidR="002322A5" w:rsidRPr="00F13344">
        <w:rPr>
          <w:rFonts w:ascii="Arial" w:hAnsi="Arial" w:cs="Arial"/>
          <w:lang w:val="es-ES_tradnl"/>
        </w:rPr>
        <w:t>a mención del artículo 25 del Convenio 169 de 1989 de la OIT, sobre pueblos indígenas y tribales</w:t>
      </w:r>
      <w:r w:rsidRPr="00F13344">
        <w:rPr>
          <w:rFonts w:ascii="Arial" w:hAnsi="Arial" w:cs="Arial"/>
          <w:lang w:val="es-ES_tradnl"/>
        </w:rPr>
        <w:t xml:space="preserve"> es importante</w:t>
      </w:r>
      <w:r w:rsidR="002322A5" w:rsidRPr="00F13344">
        <w:rPr>
          <w:rFonts w:ascii="Arial" w:hAnsi="Arial" w:cs="Arial"/>
          <w:lang w:val="es-ES_tradnl"/>
        </w:rPr>
        <w:t>, porque este Convenio ha sido sobre todo ratific</w:t>
      </w:r>
      <w:r w:rsidRPr="00F13344">
        <w:rPr>
          <w:rFonts w:ascii="Arial" w:hAnsi="Arial" w:cs="Arial"/>
          <w:lang w:val="es-ES_tradnl"/>
        </w:rPr>
        <w:t>ado por países de centro y sur A</w:t>
      </w:r>
      <w:r w:rsidR="002322A5" w:rsidRPr="00F13344">
        <w:rPr>
          <w:rFonts w:ascii="Arial" w:hAnsi="Arial" w:cs="Arial"/>
          <w:lang w:val="es-ES_tradnl"/>
        </w:rPr>
        <w:t>mérica, que es el área dond</w:t>
      </w:r>
      <w:r w:rsidRPr="00F13344">
        <w:rPr>
          <w:rFonts w:ascii="Arial" w:hAnsi="Arial" w:cs="Arial"/>
          <w:lang w:val="es-ES_tradnl"/>
        </w:rPr>
        <w:t xml:space="preserve">e hemos trabajado hasta ahora, </w:t>
      </w:r>
      <w:r w:rsidR="002322A5" w:rsidRPr="00F13344">
        <w:rPr>
          <w:rFonts w:ascii="Arial" w:hAnsi="Arial" w:cs="Arial"/>
          <w:lang w:val="es-ES_tradnl"/>
        </w:rPr>
        <w:t xml:space="preserve">donde se observan los beneficios de uso de plantas y substancias </w:t>
      </w:r>
      <w:r w:rsidR="00F13344" w:rsidRPr="00F13344">
        <w:rPr>
          <w:rFonts w:ascii="Arial" w:hAnsi="Arial" w:cs="Arial"/>
          <w:lang w:val="es-ES_tradnl"/>
        </w:rPr>
        <w:t>psicoactivas</w:t>
      </w:r>
      <w:r w:rsidR="002322A5" w:rsidRPr="00F13344">
        <w:rPr>
          <w:rFonts w:ascii="Arial" w:hAnsi="Arial" w:cs="Arial"/>
          <w:lang w:val="es-ES_tradnl"/>
        </w:rPr>
        <w:t xml:space="preserve"> por parte de los pueblos </w:t>
      </w:r>
      <w:r w:rsidR="002322A5" w:rsidRPr="00F13344">
        <w:rPr>
          <w:rFonts w:ascii="Arial" w:hAnsi="Arial" w:cs="Arial"/>
          <w:lang w:val="es-ES_tradnl"/>
        </w:rPr>
        <w:lastRenderedPageBreak/>
        <w:t xml:space="preserve">indígenas.  De acuerdo con el artículo 14(2) de la Convención de 1988, los pueblos indígenas tienen derecho a utilizar dichas plantas y substancias en sus territorios. Estas plantas y substancias hacen parte profunda de muchas culturas amazónicas y andinas, </w:t>
      </w:r>
      <w:r w:rsidR="00741517" w:rsidRPr="00F13344">
        <w:rPr>
          <w:rFonts w:ascii="Arial" w:hAnsi="Arial" w:cs="Arial"/>
          <w:lang w:val="es-ES_tradnl"/>
        </w:rPr>
        <w:t>y se constituyen en conocimientos etnobo</w:t>
      </w:r>
      <w:r w:rsidRPr="00F13344">
        <w:rPr>
          <w:rFonts w:ascii="Arial" w:hAnsi="Arial" w:cs="Arial"/>
          <w:lang w:val="es-ES_tradnl"/>
        </w:rPr>
        <w:t>tánicos</w:t>
      </w:r>
      <w:r w:rsidR="00741517" w:rsidRPr="00F13344">
        <w:rPr>
          <w:rFonts w:ascii="Arial" w:hAnsi="Arial" w:cs="Arial"/>
          <w:lang w:val="es-ES_tradnl"/>
        </w:rPr>
        <w:t xml:space="preserve"> </w:t>
      </w:r>
      <w:r w:rsidRPr="00F13344">
        <w:rPr>
          <w:rFonts w:ascii="Arial" w:hAnsi="Arial" w:cs="Arial"/>
          <w:lang w:val="es-ES_tradnl"/>
        </w:rPr>
        <w:t>integrados en</w:t>
      </w:r>
      <w:r w:rsidR="00741517" w:rsidRPr="00F13344">
        <w:rPr>
          <w:rFonts w:ascii="Arial" w:hAnsi="Arial" w:cs="Arial"/>
          <w:lang w:val="es-ES_tradnl"/>
        </w:rPr>
        <w:t xml:space="preserve"> mecanismos de diálogo tradicionales.  Tales mecani</w:t>
      </w:r>
      <w:r w:rsidR="00720472" w:rsidRPr="00F13344">
        <w:rPr>
          <w:rFonts w:ascii="Arial" w:hAnsi="Arial" w:cs="Arial"/>
          <w:lang w:val="es-ES_tradnl"/>
        </w:rPr>
        <w:t xml:space="preserve">smos </w:t>
      </w:r>
      <w:r w:rsidR="00741517" w:rsidRPr="00F13344">
        <w:rPr>
          <w:rFonts w:ascii="Arial" w:hAnsi="Arial" w:cs="Arial"/>
          <w:lang w:val="es-ES_tradnl"/>
        </w:rPr>
        <w:t>permiten implementar el derecho a la consulta previa, libre e informada de los pueblos indígenas (artículo 19 de la Declaración de Derechos de los Pueblos Indígenas y 6 del Convenio 169).  Nuestra ONG ha seguido el caso del pueblo siona, sobre el río Putumayo de la Amazonía colombiana, donde la utilización de la bebida conocida internacionalmente como Ayahuasca empoderó a las au</w:t>
      </w:r>
      <w:r w:rsidR="00720472" w:rsidRPr="00F13344">
        <w:rPr>
          <w:rFonts w:ascii="Arial" w:hAnsi="Arial" w:cs="Arial"/>
          <w:lang w:val="es-ES_tradnl"/>
        </w:rPr>
        <w:t>toridades tradicionales en las consultas con la empresa transnacional A</w:t>
      </w:r>
      <w:r w:rsidR="00741517" w:rsidRPr="00F13344">
        <w:rPr>
          <w:rFonts w:ascii="Arial" w:hAnsi="Arial" w:cs="Arial"/>
          <w:lang w:val="es-ES_tradnl"/>
        </w:rPr>
        <w:t xml:space="preserve">merisur. </w:t>
      </w:r>
    </w:p>
    <w:p w14:paraId="322D9B00" w14:textId="77777777" w:rsidR="009306E8" w:rsidRPr="00F13344" w:rsidRDefault="009306E8" w:rsidP="00EB4A52">
      <w:pPr>
        <w:spacing w:line="360" w:lineRule="auto"/>
        <w:rPr>
          <w:rFonts w:ascii="Arial" w:hAnsi="Arial" w:cs="Arial"/>
          <w:lang w:val="es-ES_tradnl"/>
        </w:rPr>
      </w:pPr>
    </w:p>
    <w:p w14:paraId="1AA026D2" w14:textId="77777777" w:rsidR="009306E8" w:rsidRPr="00F13344" w:rsidRDefault="009306E8" w:rsidP="00EB4A52">
      <w:pPr>
        <w:spacing w:line="360" w:lineRule="auto"/>
        <w:rPr>
          <w:rFonts w:ascii="Arial" w:hAnsi="Arial" w:cs="Arial"/>
          <w:lang w:val="es-ES_tradnl"/>
        </w:rPr>
      </w:pPr>
    </w:p>
    <w:p w14:paraId="0257E9F1" w14:textId="78D570EF" w:rsidR="00A662F0" w:rsidRPr="00EB4A52" w:rsidRDefault="00A662F0" w:rsidP="00EB4A52">
      <w:pPr>
        <w:spacing w:line="360" w:lineRule="auto"/>
        <w:jc w:val="both"/>
        <w:rPr>
          <w:rFonts w:ascii="Arial" w:hAnsi="Arial" w:cs="Arial"/>
          <w:lang w:val="es-ES_tradnl"/>
        </w:rPr>
      </w:pPr>
      <w:r w:rsidRPr="00EB4A52">
        <w:rPr>
          <w:rFonts w:ascii="Arial" w:hAnsi="Arial" w:cs="Arial"/>
          <w:lang w:val="es-ES_tradnl"/>
        </w:rPr>
        <w:t>Entre el 2013 y 2015, tres comunidades Siona ubicadas en la zona del Rio Putumayo tuvieron que participar en un complicado proceso de consulta previa con la transnacional AMERISUR RESOURCES PLC especializada en exploración y producción de hidrocarburos. El proceso de consulta previa, como suele pasar, empezó generando divisiones y conflictos internos, potencialmente muy debilitante para las comunidades. Gracias a la participación de varios médicos tradicionales (taitas) y a la práctica de ceremonias de yagé (ayahuasca) las comunidades involucradas en el proceso de consulta previa lograron llegar a un consenso rechazando la intervención de la t</w:t>
      </w:r>
      <w:r w:rsidR="00720472">
        <w:rPr>
          <w:rFonts w:ascii="Arial" w:hAnsi="Arial" w:cs="Arial"/>
          <w:lang w:val="es-ES_tradnl"/>
        </w:rPr>
        <w:t>ransnacional en sus territorios</w:t>
      </w:r>
      <w:r w:rsidRPr="00EB4A52">
        <w:rPr>
          <w:rFonts w:ascii="Arial" w:hAnsi="Arial" w:cs="Arial"/>
          <w:lang w:val="es-ES_tradnl"/>
        </w:rPr>
        <w:t>.</w:t>
      </w:r>
      <w:r w:rsidRPr="00EB4A52">
        <w:rPr>
          <w:rStyle w:val="FootnoteReference"/>
          <w:rFonts w:ascii="Arial" w:hAnsi="Arial" w:cs="Arial"/>
          <w:lang w:val="es-ES_tradnl"/>
        </w:rPr>
        <w:footnoteReference w:id="1"/>
      </w:r>
    </w:p>
    <w:p w14:paraId="097E6481" w14:textId="77777777" w:rsidR="00A662F0" w:rsidRPr="00EB4A52" w:rsidRDefault="00A662F0" w:rsidP="00EB4A52">
      <w:pPr>
        <w:spacing w:line="360" w:lineRule="auto"/>
        <w:jc w:val="both"/>
        <w:rPr>
          <w:rFonts w:ascii="Arial" w:hAnsi="Arial" w:cs="Arial"/>
          <w:lang w:val="es-ES_tradnl"/>
        </w:rPr>
      </w:pPr>
    </w:p>
    <w:p w14:paraId="50E2628F" w14:textId="273874BA" w:rsidR="00A662F0" w:rsidRPr="00EB4A52" w:rsidRDefault="00A662F0" w:rsidP="00EB4A52">
      <w:pPr>
        <w:spacing w:line="360" w:lineRule="auto"/>
        <w:jc w:val="both"/>
        <w:rPr>
          <w:rFonts w:ascii="Arial" w:hAnsi="Arial" w:cs="Arial"/>
          <w:lang w:val="es-ES_tradnl"/>
        </w:rPr>
      </w:pPr>
      <w:r w:rsidRPr="00EB4A52">
        <w:rPr>
          <w:rFonts w:ascii="Arial" w:hAnsi="Arial" w:cs="Arial"/>
          <w:lang w:val="es-ES_tradnl"/>
        </w:rPr>
        <w:t xml:space="preserve">Esta experiencia fue presentada </w:t>
      </w:r>
      <w:r w:rsidRPr="00EB4A52">
        <w:rPr>
          <w:rFonts w:ascii="Arial" w:hAnsi="Arial" w:cs="Arial"/>
          <w:lang w:val="es-ES"/>
        </w:rPr>
        <w:t xml:space="preserve">en el último examen del Estado de Colombia en el año 2017, </w:t>
      </w:r>
      <w:r w:rsidR="00720472">
        <w:rPr>
          <w:rFonts w:ascii="Arial" w:hAnsi="Arial" w:cs="Arial"/>
          <w:lang w:val="es-ES"/>
        </w:rPr>
        <w:t>por</w:t>
      </w:r>
      <w:r w:rsidR="00C1675F">
        <w:rPr>
          <w:rFonts w:ascii="Arial" w:hAnsi="Arial" w:cs="Arial"/>
          <w:lang w:val="es-ES"/>
        </w:rPr>
        <w:t xml:space="preserve"> </w:t>
      </w:r>
      <w:r w:rsidRPr="00EB4A52">
        <w:rPr>
          <w:rFonts w:ascii="Arial" w:hAnsi="Arial" w:cs="Arial"/>
          <w:lang w:val="es-ES"/>
        </w:rPr>
        <w:t>el Comité de Derechos Económic</w:t>
      </w:r>
      <w:r w:rsidR="00720472">
        <w:rPr>
          <w:rFonts w:ascii="Arial" w:hAnsi="Arial" w:cs="Arial"/>
          <w:lang w:val="es-ES"/>
        </w:rPr>
        <w:t>os, Sociales y Culturales CESCR. Allí,</w:t>
      </w:r>
      <w:r w:rsidRPr="00EB4A52">
        <w:rPr>
          <w:rFonts w:ascii="Arial" w:hAnsi="Arial" w:cs="Arial"/>
          <w:lang w:val="es-ES"/>
        </w:rPr>
        <w:t xml:space="preserve"> </w:t>
      </w:r>
      <w:r w:rsidR="00720472">
        <w:rPr>
          <w:rFonts w:ascii="Arial" w:hAnsi="Arial" w:cs="Arial"/>
          <w:lang w:val="es-ES"/>
        </w:rPr>
        <w:t>se escucharon</w:t>
      </w:r>
      <w:r w:rsidRPr="00EB4A52">
        <w:rPr>
          <w:rFonts w:ascii="Arial" w:hAnsi="Arial" w:cs="Arial"/>
          <w:lang w:val="es-ES"/>
        </w:rPr>
        <w:t xml:space="preserve"> las presentaciones orales de varios líderes indígenas, quienes realizaron un viaje desde los territorios amazónicos hasta Ginebra, con el fin de plantear la manera en que ellos contemplan y han llevado a cabo procesos  consulta previa.</w:t>
      </w:r>
    </w:p>
    <w:p w14:paraId="0CFDF546" w14:textId="77777777" w:rsidR="009306E8" w:rsidRPr="00F13344" w:rsidRDefault="009306E8" w:rsidP="00EB4A52">
      <w:pPr>
        <w:spacing w:line="360" w:lineRule="auto"/>
        <w:rPr>
          <w:rFonts w:ascii="Arial" w:hAnsi="Arial" w:cs="Arial"/>
          <w:lang w:val="es-ES_tradnl"/>
        </w:rPr>
      </w:pPr>
    </w:p>
    <w:p w14:paraId="6B677E50" w14:textId="7CD2C22D" w:rsidR="00A662F0" w:rsidRPr="00EB4A52" w:rsidRDefault="00A662F0" w:rsidP="00EB4A52">
      <w:pPr>
        <w:spacing w:line="360" w:lineRule="auto"/>
        <w:jc w:val="both"/>
        <w:rPr>
          <w:rFonts w:ascii="Arial" w:hAnsi="Arial" w:cs="Arial"/>
          <w:lang w:val="es-ES"/>
        </w:rPr>
      </w:pPr>
      <w:r w:rsidRPr="00EB4A52">
        <w:rPr>
          <w:rFonts w:ascii="Arial" w:hAnsi="Arial" w:cs="Arial"/>
          <w:lang w:val="es-ES"/>
        </w:rPr>
        <w:t>Tal y como fue expuesto en la sustentación del informe presentado al CESCR, las consultas habrían de realizarse teniendo en cuenta los mecanismos de diálogo y consenso que hacen parte de las culturas de los distintos pueblos interesados. Estos mecanismos pueden incluir, en el caso de la Amazonía y otros, el uso de plantas sagradas que armonizan la palabra, como el tabaco, la coca o yagé</w:t>
      </w:r>
      <w:r w:rsidR="008B2C95" w:rsidRPr="00EB4A52">
        <w:rPr>
          <w:rFonts w:ascii="Arial" w:hAnsi="Arial" w:cs="Arial"/>
          <w:lang w:val="es-ES"/>
        </w:rPr>
        <w:t xml:space="preserve"> (Ayahuasca)</w:t>
      </w:r>
      <w:r w:rsidRPr="00EB4A52">
        <w:rPr>
          <w:rFonts w:ascii="Arial" w:hAnsi="Arial" w:cs="Arial"/>
          <w:lang w:val="es-ES"/>
        </w:rPr>
        <w:t>. Este planteamiento quedó registrado en las conclusiones del CESCR sobre Colombia, bajo el término de “diferencias culturales”, como puede leerse su informe final, donde se pide al Estado parte:</w:t>
      </w:r>
    </w:p>
    <w:p w14:paraId="7C65BE77" w14:textId="77777777" w:rsidR="00A662F0" w:rsidRPr="00EB4A52" w:rsidRDefault="00A662F0" w:rsidP="00EB4A52">
      <w:pPr>
        <w:spacing w:line="360" w:lineRule="auto"/>
        <w:jc w:val="both"/>
        <w:rPr>
          <w:rFonts w:ascii="Arial" w:hAnsi="Arial" w:cs="Arial"/>
          <w:lang w:val="es-ES"/>
        </w:rPr>
      </w:pPr>
    </w:p>
    <w:p w14:paraId="6648E1BA" w14:textId="77777777" w:rsidR="00A662F0" w:rsidRPr="00EB4A52" w:rsidRDefault="00A662F0" w:rsidP="00EB4A52">
      <w:pPr>
        <w:spacing w:line="360" w:lineRule="auto"/>
        <w:jc w:val="both"/>
        <w:rPr>
          <w:rFonts w:ascii="Arial" w:hAnsi="Arial" w:cs="Arial"/>
          <w:lang w:val="es-ES"/>
        </w:rPr>
      </w:pPr>
      <w:r w:rsidRPr="00EB4A52">
        <w:rPr>
          <w:rFonts w:ascii="Arial" w:hAnsi="Arial" w:cs="Arial"/>
          <w:lang w:val="es-ES"/>
        </w:rPr>
        <w:t xml:space="preserve">“Garantizar que las consultas con el fin de obtener el consentimiento libre, previo e informado en lo que respecta a la toma de decisiones susceptible de afectar el ejercicio de los derechos económicos, sociales y culturales de los pueblos indígenas y afrocolombianos se realicen de manera ineludible y oportuna, </w:t>
      </w:r>
      <w:r w:rsidRPr="00EB4A52">
        <w:rPr>
          <w:rFonts w:ascii="Arial" w:hAnsi="Arial" w:cs="Arial"/>
          <w:u w:val="single"/>
          <w:lang w:val="es-ES"/>
        </w:rPr>
        <w:t>tomando en cuenta las diferencias culturales de cada pueblo</w:t>
      </w:r>
      <w:r w:rsidRPr="00EB4A52">
        <w:rPr>
          <w:rFonts w:ascii="Arial" w:hAnsi="Arial" w:cs="Arial"/>
          <w:lang w:val="es-ES"/>
        </w:rPr>
        <w:t>(…)”.</w:t>
      </w:r>
      <w:r w:rsidRPr="00EB4A52">
        <w:rPr>
          <w:rStyle w:val="FootnoteReference"/>
          <w:rFonts w:ascii="Arial" w:hAnsi="Arial" w:cs="Arial"/>
          <w:lang w:val="es-ES"/>
        </w:rPr>
        <w:footnoteReference w:id="2"/>
      </w:r>
      <w:r w:rsidRPr="00EB4A52">
        <w:rPr>
          <w:rFonts w:ascii="Arial" w:hAnsi="Arial" w:cs="Arial"/>
          <w:lang w:val="es-ES"/>
        </w:rPr>
        <w:t xml:space="preserve">  </w:t>
      </w:r>
    </w:p>
    <w:p w14:paraId="725614C3" w14:textId="77777777" w:rsidR="00A662F0" w:rsidRPr="00F13344" w:rsidRDefault="00A662F0" w:rsidP="00EB4A52">
      <w:pPr>
        <w:spacing w:line="360" w:lineRule="auto"/>
        <w:rPr>
          <w:rFonts w:ascii="Arial" w:hAnsi="Arial" w:cs="Arial"/>
          <w:lang w:val="es-ES_tradnl"/>
        </w:rPr>
      </w:pPr>
    </w:p>
    <w:p w14:paraId="121B72C7" w14:textId="2E96D285" w:rsidR="008B2C95" w:rsidRPr="00F13344" w:rsidRDefault="00720472" w:rsidP="00EB4A52">
      <w:pPr>
        <w:spacing w:line="360" w:lineRule="auto"/>
        <w:jc w:val="both"/>
        <w:rPr>
          <w:rFonts w:ascii="Arial" w:hAnsi="Arial" w:cs="Arial"/>
          <w:b/>
          <w:lang w:val="es-ES_tradnl"/>
        </w:rPr>
      </w:pPr>
      <w:r w:rsidRPr="00F13344">
        <w:rPr>
          <w:rFonts w:ascii="Arial" w:hAnsi="Arial" w:cs="Arial"/>
          <w:b/>
          <w:lang w:val="es-ES_tradnl"/>
        </w:rPr>
        <w:lastRenderedPageBreak/>
        <w:t>Solicitamos</w:t>
      </w:r>
      <w:r w:rsidR="008B2C95" w:rsidRPr="00F13344">
        <w:rPr>
          <w:rFonts w:ascii="Arial" w:hAnsi="Arial" w:cs="Arial"/>
          <w:b/>
          <w:lang w:val="es-ES_tradnl"/>
        </w:rPr>
        <w:t xml:space="preserve"> que en el estudio sea señalado el hecho de que las plantas y substancias psicoactivas de los pueblos indígenas están siendo utilizadas en la implementación del derecho al consentimiento previo, libre e informado, y que ello se encuadra perfectamente con el derecho internacional, en especial el artículo 14(2) del C</w:t>
      </w:r>
      <w:r w:rsidRPr="00F13344">
        <w:rPr>
          <w:rFonts w:ascii="Arial" w:hAnsi="Arial" w:cs="Arial"/>
          <w:b/>
          <w:lang w:val="es-ES_tradnl"/>
        </w:rPr>
        <w:t>onvenio de Viena de 1988. E</w:t>
      </w:r>
      <w:r w:rsidR="008B2C95" w:rsidRPr="00F13344">
        <w:rPr>
          <w:rFonts w:ascii="Arial" w:hAnsi="Arial" w:cs="Arial"/>
          <w:b/>
          <w:lang w:val="es-ES_tradnl"/>
        </w:rPr>
        <w:t xml:space="preserve">sto mismo es también una práctica ejemplar en la implementación de la recomendación 4(i) del documento final de la UNGASS 2016. </w:t>
      </w:r>
    </w:p>
    <w:p w14:paraId="4E44247B" w14:textId="77777777" w:rsidR="00C1675F" w:rsidRPr="00F13344" w:rsidRDefault="00C1675F" w:rsidP="00EB4A52">
      <w:pPr>
        <w:spacing w:line="360" w:lineRule="auto"/>
        <w:jc w:val="both"/>
        <w:rPr>
          <w:rFonts w:ascii="Arial" w:hAnsi="Arial" w:cs="Arial"/>
          <w:b/>
          <w:lang w:val="es-ES_tradnl"/>
        </w:rPr>
      </w:pPr>
    </w:p>
    <w:p w14:paraId="0403774D" w14:textId="0602EC44" w:rsidR="00C25258" w:rsidRPr="00F13344" w:rsidRDefault="008B2C95" w:rsidP="00EB4A52">
      <w:pPr>
        <w:spacing w:line="360" w:lineRule="auto"/>
        <w:jc w:val="both"/>
        <w:rPr>
          <w:rFonts w:ascii="Arial" w:eastAsia="Times New Roman" w:hAnsi="Arial" w:cs="Arial"/>
          <w:lang w:val="es-ES_tradnl"/>
        </w:rPr>
      </w:pPr>
      <w:r w:rsidRPr="00F13344">
        <w:rPr>
          <w:rFonts w:ascii="Arial" w:hAnsi="Arial" w:cs="Arial"/>
          <w:lang w:val="es-ES_tradnl"/>
        </w:rPr>
        <w:t xml:space="preserve">La necesidad de realizar consultas </w:t>
      </w:r>
      <w:r w:rsidR="00F13344" w:rsidRPr="00F13344">
        <w:rPr>
          <w:rFonts w:ascii="Arial" w:hAnsi="Arial" w:cs="Arial"/>
          <w:lang w:val="es-ES_tradnl"/>
        </w:rPr>
        <w:t>culturalmente</w:t>
      </w:r>
      <w:r w:rsidRPr="00F13344">
        <w:rPr>
          <w:rFonts w:ascii="Arial" w:hAnsi="Arial" w:cs="Arial"/>
          <w:lang w:val="es-ES_tradnl"/>
        </w:rPr>
        <w:t xml:space="preserve"> adaptadas para garantizar el derecho al consentimiento previo, libre e informado de los pueblos indígenas en medidas y proyectos que les puedan afectar, es un tema discutido actualmente en las negociaciones para llegar a un instrumento vinculante sobre transnacionales y derechos humanos. </w:t>
      </w:r>
      <w:r w:rsidR="00720472" w:rsidRPr="00F13344">
        <w:rPr>
          <w:rFonts w:ascii="Arial" w:hAnsi="Arial" w:cs="Arial"/>
          <w:lang w:val="es-ES_tradnl"/>
        </w:rPr>
        <w:t>E</w:t>
      </w:r>
      <w:r w:rsidR="00C25258" w:rsidRPr="00F13344">
        <w:rPr>
          <w:rFonts w:ascii="Arial" w:hAnsi="Arial" w:cs="Arial"/>
          <w:lang w:val="es-ES_tradnl"/>
        </w:rPr>
        <w:t xml:space="preserve">n el texto presentado a discusión durante la tercera sesión del grupo de trabajo intergubernamental, la mención de la Declaración de Derechos de los Pueblos Indígenas se encuentra </w:t>
      </w:r>
      <w:r w:rsidR="00F13344" w:rsidRPr="00F13344">
        <w:rPr>
          <w:rFonts w:ascii="Arial" w:hAnsi="Arial" w:cs="Arial"/>
          <w:lang w:val="es-ES_tradnl"/>
        </w:rPr>
        <w:t>en el</w:t>
      </w:r>
      <w:r w:rsidR="00C25258" w:rsidRPr="00F13344">
        <w:rPr>
          <w:rFonts w:ascii="Arial" w:hAnsi="Arial" w:cs="Arial"/>
          <w:lang w:val="es-ES_tradnl"/>
        </w:rPr>
        <w:t xml:space="preserve"> preámbulo.  </w:t>
      </w:r>
      <w:r w:rsidR="00C25258" w:rsidRPr="00F13344">
        <w:rPr>
          <w:rFonts w:ascii="Arial" w:eastAsia="Times New Roman" w:hAnsi="Arial" w:cs="Arial"/>
          <w:lang w:val="es-ES_tradnl"/>
        </w:rPr>
        <w:t xml:space="preserve">De acuerdo con el texto </w:t>
      </w:r>
      <w:r w:rsidR="00F13344" w:rsidRPr="00F13344">
        <w:rPr>
          <w:rFonts w:ascii="Arial" w:eastAsia="Times New Roman" w:hAnsi="Arial" w:cs="Arial"/>
          <w:lang w:val="es-ES_tradnl"/>
        </w:rPr>
        <w:t>en discusión</w:t>
      </w:r>
      <w:r w:rsidR="00C25258" w:rsidRPr="00F13344">
        <w:rPr>
          <w:rFonts w:ascii="Arial" w:eastAsia="Times New Roman" w:hAnsi="Arial" w:cs="Arial"/>
          <w:lang w:val="es-ES_tradnl"/>
        </w:rPr>
        <w:t xml:space="preserve"> durante la última sesión del grupo intergubernamental responsable de las </w:t>
      </w:r>
      <w:r w:rsidR="00F13344" w:rsidRPr="00F13344">
        <w:rPr>
          <w:rFonts w:ascii="Arial" w:eastAsia="Times New Roman" w:hAnsi="Arial" w:cs="Arial"/>
          <w:lang w:val="es-ES_tradnl"/>
        </w:rPr>
        <w:t>negociaciones:</w:t>
      </w:r>
      <w:r w:rsidR="00720472" w:rsidRPr="00F13344">
        <w:rPr>
          <w:rFonts w:ascii="Arial" w:eastAsia="Times New Roman" w:hAnsi="Arial" w:cs="Arial"/>
          <w:lang w:val="es-ES_tradnl"/>
        </w:rPr>
        <w:t xml:space="preserve"> </w:t>
      </w:r>
      <w:r w:rsidR="00C25258" w:rsidRPr="00F13344">
        <w:rPr>
          <w:rFonts w:ascii="Arial" w:eastAsia="Times New Roman" w:hAnsi="Arial" w:cs="Arial"/>
          <w:lang w:val="es-ES_tradnl"/>
        </w:rPr>
        <w:t xml:space="preserve">“Los Estados Parte garantizaran el acceso a la justicia y a recursos </w:t>
      </w:r>
    </w:p>
    <w:p w14:paraId="72741843" w14:textId="04DA2AE7" w:rsidR="00C25258" w:rsidRPr="00F13344" w:rsidRDefault="00C25258" w:rsidP="00EB4A52">
      <w:pPr>
        <w:spacing w:line="360" w:lineRule="auto"/>
        <w:jc w:val="both"/>
        <w:rPr>
          <w:rFonts w:ascii="Arial" w:eastAsia="Times New Roman" w:hAnsi="Arial" w:cs="Arial"/>
          <w:lang w:val="es-ES_tradnl"/>
        </w:rPr>
      </w:pPr>
      <w:r w:rsidRPr="00F13344">
        <w:rPr>
          <w:rFonts w:ascii="Arial" w:eastAsia="Times New Roman" w:hAnsi="Arial" w:cs="Arial"/>
          <w:lang w:val="es-ES_tradnl"/>
        </w:rPr>
        <w:t>efectivos a cada persona y especialmente a las personas indígenas</w:t>
      </w:r>
      <w:r w:rsidR="00720472" w:rsidRPr="00F13344">
        <w:rPr>
          <w:rFonts w:ascii="Arial" w:eastAsia="Times New Roman" w:hAnsi="Arial" w:cs="Arial"/>
          <w:lang w:val="es-ES_tradnl"/>
        </w:rPr>
        <w:t xml:space="preserve"> </w:t>
      </w:r>
      <w:r w:rsidRPr="00F13344">
        <w:rPr>
          <w:rFonts w:ascii="Arial" w:eastAsia="Times New Roman" w:hAnsi="Arial" w:cs="Arial"/>
          <w:lang w:val="es-ES_tradnl"/>
        </w:rPr>
        <w:t>(...)o cualquier grupo considerado vulnerable(...) tomando en cuenta su realidad específica, circunstancias y cultura”.</w:t>
      </w:r>
      <w:r w:rsidRPr="00EB4A52">
        <w:rPr>
          <w:rStyle w:val="FootnoteReference"/>
          <w:rFonts w:ascii="Arial" w:hAnsi="Arial" w:cs="Arial"/>
          <w:lang w:val="es-ES_tradnl"/>
        </w:rPr>
        <w:footnoteReference w:id="3"/>
      </w:r>
    </w:p>
    <w:p w14:paraId="5B62225F" w14:textId="77777777" w:rsidR="00C25258" w:rsidRPr="00F13344" w:rsidRDefault="00C25258" w:rsidP="00EB4A52">
      <w:pPr>
        <w:spacing w:line="360" w:lineRule="auto"/>
        <w:jc w:val="both"/>
        <w:rPr>
          <w:rFonts w:ascii="Arial" w:eastAsia="Times New Roman" w:hAnsi="Arial" w:cs="Arial"/>
          <w:lang w:val="es-ES_tradnl"/>
        </w:rPr>
      </w:pPr>
    </w:p>
    <w:p w14:paraId="64504BF6" w14:textId="08E6753D" w:rsidR="00C25258" w:rsidRPr="00F13344" w:rsidRDefault="00C25258" w:rsidP="00EB4A52">
      <w:pPr>
        <w:spacing w:line="360" w:lineRule="auto"/>
        <w:jc w:val="both"/>
        <w:rPr>
          <w:rFonts w:ascii="Arial" w:eastAsia="Times New Roman" w:hAnsi="Arial" w:cs="Arial"/>
          <w:lang w:val="es-ES_tradnl"/>
        </w:rPr>
      </w:pPr>
      <w:r w:rsidRPr="00F13344">
        <w:rPr>
          <w:rFonts w:ascii="Arial" w:eastAsia="Times New Roman" w:hAnsi="Arial" w:cs="Arial"/>
          <w:lang w:val="es-ES_tradnl"/>
        </w:rPr>
        <w:t>La cultura es un elemento a tomar en cuenta durante la realización de las consultas, para que esta sea realmente libre e informada.</w:t>
      </w:r>
      <w:r w:rsidR="00720472" w:rsidRPr="00F13344">
        <w:rPr>
          <w:rFonts w:ascii="Arial" w:eastAsia="Times New Roman" w:hAnsi="Arial" w:cs="Arial"/>
          <w:lang w:val="es-ES_tradnl"/>
        </w:rPr>
        <w:t xml:space="preserve"> </w:t>
      </w:r>
      <w:r w:rsidRPr="00F13344">
        <w:rPr>
          <w:rFonts w:ascii="Arial" w:eastAsia="Times New Roman" w:hAnsi="Arial" w:cs="Arial"/>
          <w:lang w:val="es-ES_tradnl"/>
        </w:rPr>
        <w:t xml:space="preserve">En el caso de pueblos donde el uso de plantas como la coca y substancias como la ayahuasca hagan parte de sus culturas </w:t>
      </w:r>
      <w:r w:rsidR="00F13344" w:rsidRPr="00F13344">
        <w:rPr>
          <w:rFonts w:ascii="Arial" w:eastAsia="Times New Roman" w:hAnsi="Arial" w:cs="Arial"/>
          <w:lang w:val="es-ES_tradnl"/>
        </w:rPr>
        <w:t>y mecanismos</w:t>
      </w:r>
      <w:r w:rsidRPr="00F13344">
        <w:rPr>
          <w:rFonts w:ascii="Arial" w:eastAsia="Times New Roman" w:hAnsi="Arial" w:cs="Arial"/>
          <w:lang w:val="es-ES_tradnl"/>
        </w:rPr>
        <w:t xml:space="preserve"> de diálo</w:t>
      </w:r>
      <w:r w:rsidR="00720472" w:rsidRPr="00F13344">
        <w:rPr>
          <w:rFonts w:ascii="Arial" w:eastAsia="Times New Roman" w:hAnsi="Arial" w:cs="Arial"/>
          <w:lang w:val="es-ES_tradnl"/>
        </w:rPr>
        <w:t xml:space="preserve">go, estos elementos </w:t>
      </w:r>
      <w:r w:rsidR="00F13344">
        <w:rPr>
          <w:rFonts w:ascii="Arial" w:eastAsia="Times New Roman" w:hAnsi="Arial" w:cs="Arial"/>
          <w:lang w:val="es-ES_tradnl"/>
        </w:rPr>
        <w:t>etnobotánico</w:t>
      </w:r>
      <w:r w:rsidR="00F13344" w:rsidRPr="00F13344">
        <w:rPr>
          <w:rFonts w:ascii="Arial" w:eastAsia="Times New Roman" w:hAnsi="Arial" w:cs="Arial"/>
          <w:lang w:val="es-ES_tradnl"/>
        </w:rPr>
        <w:t>s</w:t>
      </w:r>
      <w:r w:rsidRPr="00F13344">
        <w:rPr>
          <w:rFonts w:ascii="Arial" w:eastAsia="Times New Roman" w:hAnsi="Arial" w:cs="Arial"/>
          <w:lang w:val="es-ES_tradnl"/>
        </w:rPr>
        <w:t xml:space="preserve"> deberían ser tenidos </w:t>
      </w:r>
      <w:r w:rsidR="00F13344" w:rsidRPr="00F13344">
        <w:rPr>
          <w:rFonts w:ascii="Arial" w:eastAsia="Times New Roman" w:hAnsi="Arial" w:cs="Arial"/>
          <w:lang w:val="es-ES_tradnl"/>
        </w:rPr>
        <w:t>en cuenta</w:t>
      </w:r>
      <w:r w:rsidRPr="00F13344">
        <w:rPr>
          <w:rFonts w:ascii="Arial" w:eastAsia="Times New Roman" w:hAnsi="Arial" w:cs="Arial"/>
          <w:lang w:val="es-ES_tradnl"/>
        </w:rPr>
        <w:t xml:space="preserve"> en la realización de las con</w:t>
      </w:r>
      <w:r w:rsidR="00720472" w:rsidRPr="00F13344">
        <w:rPr>
          <w:rFonts w:ascii="Arial" w:eastAsia="Times New Roman" w:hAnsi="Arial" w:cs="Arial"/>
          <w:lang w:val="es-ES_tradnl"/>
        </w:rPr>
        <w:t>sultas. Mencionar en el estudio es</w:t>
      </w:r>
      <w:r w:rsidRPr="00F13344">
        <w:rPr>
          <w:rFonts w:ascii="Arial" w:eastAsia="Times New Roman" w:hAnsi="Arial" w:cs="Arial"/>
          <w:lang w:val="es-ES_tradnl"/>
        </w:rPr>
        <w:t xml:space="preserve">a práctica ejemplar que comienza a ser reconocida en textos </w:t>
      </w:r>
      <w:r w:rsidR="00F13344" w:rsidRPr="00F13344">
        <w:rPr>
          <w:rFonts w:ascii="Arial" w:eastAsia="Times New Roman" w:hAnsi="Arial" w:cs="Arial"/>
          <w:lang w:val="es-ES_tradnl"/>
        </w:rPr>
        <w:t>internacionales</w:t>
      </w:r>
      <w:r w:rsidRPr="00F13344">
        <w:rPr>
          <w:rFonts w:ascii="Arial" w:eastAsia="Times New Roman" w:hAnsi="Arial" w:cs="Arial"/>
          <w:lang w:val="es-ES_tradnl"/>
        </w:rPr>
        <w:t>, sin duda nos ayudar</w:t>
      </w:r>
      <w:r w:rsidR="007F1A74" w:rsidRPr="00F13344">
        <w:rPr>
          <w:rFonts w:ascii="Arial" w:eastAsia="Times New Roman" w:hAnsi="Arial" w:cs="Arial"/>
          <w:lang w:val="es-ES_tradnl"/>
        </w:rPr>
        <w:t>á a continuar nuestra labor con los conocimientos tradicionales etnobotánicos de los pueblos indígenas en la</w:t>
      </w:r>
      <w:r w:rsidR="00720472" w:rsidRPr="00F13344">
        <w:rPr>
          <w:rFonts w:ascii="Arial" w:eastAsia="Times New Roman" w:hAnsi="Arial" w:cs="Arial"/>
          <w:lang w:val="es-ES_tradnl"/>
        </w:rPr>
        <w:t xml:space="preserve"> implementación de sus derechos.</w:t>
      </w:r>
    </w:p>
    <w:p w14:paraId="1D612F7F" w14:textId="77777777" w:rsidR="007F1A74" w:rsidRPr="00F13344" w:rsidRDefault="007F1A74" w:rsidP="00EB4A52">
      <w:pPr>
        <w:spacing w:line="360" w:lineRule="auto"/>
        <w:jc w:val="both"/>
        <w:rPr>
          <w:rFonts w:ascii="Arial" w:eastAsia="Times New Roman" w:hAnsi="Arial" w:cs="Arial"/>
          <w:lang w:val="es-ES_tradnl"/>
        </w:rPr>
      </w:pPr>
    </w:p>
    <w:p w14:paraId="1A0ACB48" w14:textId="687658E4" w:rsidR="00C25258" w:rsidRPr="00F13344" w:rsidRDefault="007F1A74" w:rsidP="00EB4A52">
      <w:pPr>
        <w:widowControl w:val="0"/>
        <w:autoSpaceDE w:val="0"/>
        <w:autoSpaceDN w:val="0"/>
        <w:adjustRightInd w:val="0"/>
        <w:spacing w:after="240" w:line="360" w:lineRule="auto"/>
        <w:jc w:val="both"/>
        <w:rPr>
          <w:rFonts w:ascii="Arial" w:eastAsia="Times New Roman" w:hAnsi="Arial" w:cs="Arial"/>
          <w:lang w:val="es-ES_tradnl"/>
        </w:rPr>
      </w:pPr>
      <w:r w:rsidRPr="00F13344">
        <w:rPr>
          <w:rFonts w:ascii="Arial" w:eastAsia="Times New Roman" w:hAnsi="Arial" w:cs="Arial"/>
          <w:lang w:val="es-ES_tradnl"/>
        </w:rPr>
        <w:t xml:space="preserve">Para finalizar, traemos a </w:t>
      </w:r>
      <w:r w:rsidR="00F13344" w:rsidRPr="00F13344">
        <w:rPr>
          <w:rFonts w:ascii="Arial" w:eastAsia="Times New Roman" w:hAnsi="Arial" w:cs="Arial"/>
          <w:lang w:val="es-ES_tradnl"/>
        </w:rPr>
        <w:t>colación</w:t>
      </w:r>
      <w:r w:rsidRPr="00F13344">
        <w:rPr>
          <w:rFonts w:ascii="Arial" w:eastAsia="Times New Roman" w:hAnsi="Arial" w:cs="Arial"/>
          <w:lang w:val="es-ES_tradnl"/>
        </w:rPr>
        <w:t xml:space="preserve"> jurisprudencia en materia de conocimientos etnobotánicos y pueblos indígenas, que no i</w:t>
      </w:r>
      <w:r w:rsidR="00720472" w:rsidRPr="00F13344">
        <w:rPr>
          <w:rFonts w:ascii="Arial" w:eastAsia="Times New Roman" w:hAnsi="Arial" w:cs="Arial"/>
          <w:lang w:val="es-ES_tradnl"/>
        </w:rPr>
        <w:t>ncluimos en nuestra contribución</w:t>
      </w:r>
      <w:r w:rsidRPr="00F13344">
        <w:rPr>
          <w:rFonts w:ascii="Arial" w:eastAsia="Times New Roman" w:hAnsi="Arial" w:cs="Arial"/>
          <w:lang w:val="es-ES_tradnl"/>
        </w:rPr>
        <w:t xml:space="preserve"> para el estudio de 2016, y </w:t>
      </w:r>
      <w:r w:rsidR="00F13344" w:rsidRPr="00F13344">
        <w:rPr>
          <w:rFonts w:ascii="Arial" w:eastAsia="Times New Roman" w:hAnsi="Arial" w:cs="Arial"/>
          <w:lang w:val="es-ES_tradnl"/>
        </w:rPr>
        <w:t>que,</w:t>
      </w:r>
      <w:r w:rsidRPr="00F13344">
        <w:rPr>
          <w:rFonts w:ascii="Arial" w:eastAsia="Times New Roman" w:hAnsi="Arial" w:cs="Arial"/>
          <w:lang w:val="es-ES_tradnl"/>
        </w:rPr>
        <w:t xml:space="preserve"> por lo tanto, no apareció en el capítulo final sobre pueblos indígenas. Se trata de la observación general </w:t>
      </w:r>
      <w:r w:rsidR="00F13344" w:rsidRPr="00F13344">
        <w:rPr>
          <w:rFonts w:ascii="Arial" w:eastAsia="Times New Roman" w:hAnsi="Arial" w:cs="Arial"/>
          <w:lang w:val="es-ES_tradnl"/>
        </w:rPr>
        <w:t>número</w:t>
      </w:r>
      <w:r w:rsidRPr="00F13344">
        <w:rPr>
          <w:rFonts w:ascii="Arial" w:eastAsia="Times New Roman" w:hAnsi="Arial" w:cs="Arial"/>
          <w:lang w:val="es-ES_tradnl"/>
        </w:rPr>
        <w:t xml:space="preserve"> 21 del Comité de Derechos Económicos, Sociales y Culturales, que en su párrafo 37 dice</w:t>
      </w:r>
      <w:r w:rsidR="00720472" w:rsidRPr="00F13344">
        <w:rPr>
          <w:rFonts w:ascii="Arial" w:eastAsia="Times New Roman" w:hAnsi="Arial" w:cs="Arial"/>
          <w:lang w:val="es-ES_tradnl"/>
        </w:rPr>
        <w:t>:</w:t>
      </w:r>
      <w:r w:rsidRPr="00F13344">
        <w:rPr>
          <w:rFonts w:ascii="Arial" w:eastAsia="Times New Roman" w:hAnsi="Arial" w:cs="Arial"/>
          <w:lang w:val="es-ES_tradnl"/>
        </w:rPr>
        <w:t xml:space="preserve"> « Los pueblos indígenas tienen derecho a actuar colectivamente para que se respete su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 literatura, los diseños, los deportes y juegos tradicionales, y las artes visuales e interpretativas".</w:t>
      </w:r>
      <w:r w:rsidRPr="00EB4A52">
        <w:rPr>
          <w:rStyle w:val="FootnoteReference"/>
          <w:rFonts w:ascii="Arial" w:hAnsi="Arial" w:cs="Arial"/>
          <w:lang w:val="es-ES_tradnl"/>
        </w:rPr>
        <w:footnoteReference w:id="4"/>
      </w:r>
    </w:p>
    <w:p w14:paraId="26040C2E" w14:textId="77777777" w:rsidR="007F1A74" w:rsidRPr="00F13344" w:rsidRDefault="007F1A74" w:rsidP="00C25258">
      <w:pPr>
        <w:widowControl w:val="0"/>
        <w:autoSpaceDE w:val="0"/>
        <w:autoSpaceDN w:val="0"/>
        <w:adjustRightInd w:val="0"/>
        <w:spacing w:after="240" w:line="360" w:lineRule="atLeast"/>
        <w:rPr>
          <w:rFonts w:ascii="Helvetica" w:eastAsia="Times New Roman" w:hAnsi="Helvetica" w:cs="Times New Roman"/>
          <w:sz w:val="30"/>
          <w:szCs w:val="30"/>
          <w:lang w:val="es-ES_tradnl"/>
        </w:rPr>
      </w:pPr>
    </w:p>
    <w:p w14:paraId="24AEBCE5" w14:textId="519E4E59" w:rsidR="007F1A74" w:rsidRPr="00F13344" w:rsidRDefault="00C1675F" w:rsidP="00C1675F">
      <w:pPr>
        <w:widowControl w:val="0"/>
        <w:autoSpaceDE w:val="0"/>
        <w:autoSpaceDN w:val="0"/>
        <w:adjustRightInd w:val="0"/>
        <w:spacing w:after="240" w:line="360" w:lineRule="auto"/>
        <w:jc w:val="both"/>
        <w:rPr>
          <w:rFonts w:ascii="Helvetica" w:eastAsia="Times New Roman" w:hAnsi="Helvetica" w:cs="Times New Roman"/>
          <w:lang w:val="es-ES_tradnl"/>
        </w:rPr>
      </w:pPr>
      <w:r w:rsidRPr="00F13344">
        <w:rPr>
          <w:rFonts w:ascii="Helvetica" w:eastAsia="Times New Roman" w:hAnsi="Helvetica" w:cs="Times New Roman"/>
          <w:lang w:val="es-ES_tradnl"/>
        </w:rPr>
        <w:t xml:space="preserve">En </w:t>
      </w:r>
      <w:r w:rsidR="00EB4A52" w:rsidRPr="00F13344">
        <w:rPr>
          <w:rFonts w:ascii="Helvetica" w:eastAsia="Times New Roman" w:hAnsi="Helvetica" w:cs="Times New Roman"/>
          <w:lang w:val="es-ES_tradnl"/>
        </w:rPr>
        <w:t xml:space="preserve">la onceava sesión del Mecanismo de Expertos en Derechos de </w:t>
      </w:r>
      <w:r w:rsidRPr="00F13344">
        <w:rPr>
          <w:rFonts w:ascii="Helvetica" w:eastAsia="Times New Roman" w:hAnsi="Helvetica" w:cs="Times New Roman"/>
          <w:lang w:val="es-ES_tradnl"/>
        </w:rPr>
        <w:t xml:space="preserve">los Pueblos Indígenas MEDPI (9 al 13 de julio de 2018), </w:t>
      </w:r>
      <w:r w:rsidR="00EB4A52" w:rsidRPr="00F13344">
        <w:rPr>
          <w:rFonts w:ascii="Helvetica" w:eastAsia="Times New Roman" w:hAnsi="Helvetica" w:cs="Times New Roman"/>
          <w:lang w:val="es-ES_tradnl"/>
        </w:rPr>
        <w:t>mostraremos a la comunidad intern</w:t>
      </w:r>
      <w:r w:rsidRPr="00F13344">
        <w:rPr>
          <w:rFonts w:ascii="Helvetica" w:eastAsia="Times New Roman" w:hAnsi="Helvetica" w:cs="Times New Roman"/>
          <w:lang w:val="es-ES_tradnl"/>
        </w:rPr>
        <w:t>a</w:t>
      </w:r>
      <w:r w:rsidR="00EB4A52" w:rsidRPr="00F13344">
        <w:rPr>
          <w:rFonts w:ascii="Helvetica" w:eastAsia="Times New Roman" w:hAnsi="Helvetica" w:cs="Times New Roman"/>
          <w:lang w:val="es-ES_tradnl"/>
        </w:rPr>
        <w:t>cional un ejemplo de uso de plantas sag</w:t>
      </w:r>
      <w:r w:rsidRPr="00F13344">
        <w:rPr>
          <w:rFonts w:ascii="Helvetica" w:eastAsia="Times New Roman" w:hAnsi="Helvetica" w:cs="Times New Roman"/>
          <w:lang w:val="es-ES_tradnl"/>
        </w:rPr>
        <w:t xml:space="preserve">radas como parte de un </w:t>
      </w:r>
      <w:r w:rsidR="00F13344" w:rsidRPr="00F13344">
        <w:rPr>
          <w:rFonts w:ascii="Helvetica" w:eastAsia="Times New Roman" w:hAnsi="Helvetica" w:cs="Times New Roman"/>
          <w:lang w:val="es-ES_tradnl"/>
        </w:rPr>
        <w:t>mecanismo</w:t>
      </w:r>
      <w:r w:rsidR="00EB4A52" w:rsidRPr="00F13344">
        <w:rPr>
          <w:rFonts w:ascii="Helvetica" w:eastAsia="Times New Roman" w:hAnsi="Helvetica" w:cs="Times New Roman"/>
          <w:lang w:val="es-ES_tradnl"/>
        </w:rPr>
        <w:t xml:space="preserve"> de diálogo indíge</w:t>
      </w:r>
      <w:r w:rsidRPr="00F13344">
        <w:rPr>
          <w:rFonts w:ascii="Helvetica" w:eastAsia="Times New Roman" w:hAnsi="Helvetica" w:cs="Times New Roman"/>
          <w:lang w:val="es-ES_tradnl"/>
        </w:rPr>
        <w:t>na, en el evento «</w:t>
      </w:r>
      <w:r w:rsidR="00EB4A52" w:rsidRPr="00F13344">
        <w:rPr>
          <w:rFonts w:ascii="Helvetica" w:eastAsia="Times New Roman" w:hAnsi="Helvetica" w:cs="Times New Roman"/>
          <w:lang w:val="es-ES_tradnl"/>
        </w:rPr>
        <w:t>Plantas Sagradas e Implementación del Derecho al Consentimiento Previo, Libre e Inf</w:t>
      </w:r>
      <w:r w:rsidRPr="00F13344">
        <w:rPr>
          <w:rFonts w:ascii="Helvetica" w:eastAsia="Times New Roman" w:hAnsi="Helvetica" w:cs="Times New Roman"/>
          <w:lang w:val="es-ES_tradnl"/>
        </w:rPr>
        <w:t>ormado de los Pueblos Indígenas</w:t>
      </w:r>
      <w:r w:rsidR="00EB4A52" w:rsidRPr="00F13344">
        <w:rPr>
          <w:rFonts w:ascii="Helvetica" w:eastAsia="Times New Roman" w:hAnsi="Helvetica" w:cs="Times New Roman"/>
          <w:lang w:val="es-ES_tradnl"/>
        </w:rPr>
        <w:t>».</w:t>
      </w:r>
      <w:r w:rsidRPr="00F13344">
        <w:rPr>
          <w:rFonts w:ascii="Helvetica" w:eastAsia="Times New Roman" w:hAnsi="Helvetica" w:cs="Times New Roman"/>
          <w:lang w:val="es-ES_tradnl"/>
        </w:rPr>
        <w:t xml:space="preserve"> Usted y su equipo están cordialmente invitados.</w:t>
      </w:r>
    </w:p>
    <w:p w14:paraId="239F09EA" w14:textId="77777777" w:rsidR="00EB4A52" w:rsidRPr="00F13344" w:rsidRDefault="00EB4A52" w:rsidP="00C25258">
      <w:pPr>
        <w:widowControl w:val="0"/>
        <w:autoSpaceDE w:val="0"/>
        <w:autoSpaceDN w:val="0"/>
        <w:adjustRightInd w:val="0"/>
        <w:spacing w:after="240" w:line="360" w:lineRule="atLeast"/>
        <w:rPr>
          <w:rFonts w:ascii="Helvetica" w:eastAsia="Times New Roman" w:hAnsi="Helvetica" w:cs="Times New Roman"/>
          <w:lang w:val="es-ES_tradnl"/>
        </w:rPr>
      </w:pPr>
    </w:p>
    <w:p w14:paraId="2DFD2A3A" w14:textId="0D64DD1B" w:rsidR="00EB4A52" w:rsidRPr="00F13344" w:rsidRDefault="00EB4A52" w:rsidP="00C25258">
      <w:pPr>
        <w:widowControl w:val="0"/>
        <w:autoSpaceDE w:val="0"/>
        <w:autoSpaceDN w:val="0"/>
        <w:adjustRightInd w:val="0"/>
        <w:spacing w:after="240" w:line="360" w:lineRule="atLeast"/>
        <w:rPr>
          <w:rFonts w:ascii="Helvetica" w:eastAsia="Times New Roman" w:hAnsi="Helvetica" w:cs="Times New Roman"/>
          <w:lang w:val="es-ES_tradnl"/>
        </w:rPr>
      </w:pPr>
      <w:r w:rsidRPr="00F13344">
        <w:rPr>
          <w:rFonts w:ascii="Helvetica" w:eastAsia="Times New Roman" w:hAnsi="Helvetica" w:cs="Times New Roman"/>
          <w:lang w:val="es-ES_tradnl"/>
        </w:rPr>
        <w:t>Muchas gracias por su atención,</w:t>
      </w:r>
    </w:p>
    <w:p w14:paraId="43757DB8" w14:textId="25C79EDC" w:rsidR="00EB4A52" w:rsidRPr="00C1675F" w:rsidRDefault="00EB4A52" w:rsidP="00C25258">
      <w:pPr>
        <w:widowControl w:val="0"/>
        <w:autoSpaceDE w:val="0"/>
        <w:autoSpaceDN w:val="0"/>
        <w:adjustRightInd w:val="0"/>
        <w:spacing w:after="240" w:line="360" w:lineRule="atLeast"/>
        <w:rPr>
          <w:rFonts w:ascii="Helvetica" w:eastAsia="Times New Roman" w:hAnsi="Helvetica" w:cs="Times New Roman"/>
          <w:lang w:val="fr-CH"/>
        </w:rPr>
      </w:pPr>
      <w:r w:rsidRPr="00F13344">
        <w:rPr>
          <w:rFonts w:ascii="Helvetica" w:eastAsia="Times New Roman" w:hAnsi="Helvetica" w:cs="Times New Roman"/>
          <w:lang w:val="es-ES_tradnl"/>
        </w:rPr>
        <w:t xml:space="preserve">    </w:t>
      </w:r>
      <w:r w:rsidR="00C1675F" w:rsidRPr="00F13344">
        <w:rPr>
          <w:rFonts w:ascii="Helvetica" w:eastAsia="Times New Roman" w:hAnsi="Helvetica" w:cs="Times New Roman"/>
          <w:lang w:val="es-ES_tradnl"/>
        </w:rPr>
        <w:t xml:space="preserve">                  </w:t>
      </w:r>
      <w:r w:rsidRPr="00C1675F">
        <w:rPr>
          <w:rFonts w:ascii="Helvetica" w:eastAsia="Times New Roman" w:hAnsi="Helvetica" w:cs="Times New Roman"/>
          <w:lang w:val="fr-CH"/>
        </w:rPr>
        <w:t xml:space="preserve">Maloca Internationale. </w:t>
      </w:r>
    </w:p>
    <w:p w14:paraId="5E9163EC" w14:textId="77777777" w:rsidR="007F1A74" w:rsidRDefault="007F1A74" w:rsidP="00C25258">
      <w:pPr>
        <w:widowControl w:val="0"/>
        <w:autoSpaceDE w:val="0"/>
        <w:autoSpaceDN w:val="0"/>
        <w:adjustRightInd w:val="0"/>
        <w:spacing w:after="240" w:line="360" w:lineRule="atLeast"/>
        <w:rPr>
          <w:rFonts w:ascii="Helvetica" w:eastAsia="Times New Roman" w:hAnsi="Helvetica" w:cs="Times New Roman"/>
          <w:sz w:val="30"/>
          <w:szCs w:val="30"/>
          <w:lang w:val="fr-CH"/>
        </w:rPr>
      </w:pPr>
    </w:p>
    <w:p w14:paraId="539818A6" w14:textId="3B97BBB2" w:rsidR="008B2C95" w:rsidRPr="00A662F0" w:rsidRDefault="008B2C95" w:rsidP="008B2C95">
      <w:pPr>
        <w:spacing w:line="360" w:lineRule="auto"/>
        <w:jc w:val="both"/>
        <w:rPr>
          <w:rFonts w:ascii="Arial" w:hAnsi="Arial" w:cs="Arial"/>
        </w:rPr>
      </w:pPr>
    </w:p>
    <w:sectPr w:rsidR="008B2C95" w:rsidRPr="00A662F0" w:rsidSect="002E2708">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F91894" w14:textId="77777777" w:rsidR="004F6ED0" w:rsidRDefault="004F6ED0" w:rsidP="00A662F0">
      <w:r>
        <w:separator/>
      </w:r>
    </w:p>
  </w:endnote>
  <w:endnote w:type="continuationSeparator" w:id="0">
    <w:p w14:paraId="4485F1C1" w14:textId="77777777" w:rsidR="004F6ED0" w:rsidRDefault="004F6ED0" w:rsidP="00A66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E1BAB" w14:textId="77777777" w:rsidR="004F6ED0" w:rsidRDefault="004F6ED0" w:rsidP="00A662F0">
      <w:r>
        <w:separator/>
      </w:r>
    </w:p>
  </w:footnote>
  <w:footnote w:type="continuationSeparator" w:id="0">
    <w:p w14:paraId="30F28B97" w14:textId="77777777" w:rsidR="004F6ED0" w:rsidRDefault="004F6ED0" w:rsidP="00A662F0">
      <w:r>
        <w:continuationSeparator/>
      </w:r>
    </w:p>
  </w:footnote>
  <w:footnote w:id="1">
    <w:p w14:paraId="01B66579" w14:textId="77777777" w:rsidR="00720472" w:rsidRPr="00EB4A52" w:rsidRDefault="00720472" w:rsidP="00EB4A52">
      <w:pPr>
        <w:pStyle w:val="FootnoteText"/>
        <w:jc w:val="both"/>
        <w:rPr>
          <w:lang w:val="es-ES_tradnl"/>
        </w:rPr>
      </w:pPr>
      <w:r>
        <w:rPr>
          <w:rStyle w:val="FootnoteReference"/>
        </w:rPr>
        <w:footnoteRef/>
      </w:r>
      <w:r>
        <w:t xml:space="preserve"> </w:t>
      </w:r>
      <w:r w:rsidRPr="001E7022">
        <w:rPr>
          <w:lang w:val="es-ES_tradnl"/>
        </w:rPr>
        <w:t xml:space="preserve">Informe de la Unión de Médicos Indígenas Yageceros de la Amazonía Colombiana (UMIYAC) para la </w:t>
      </w:r>
      <w:r w:rsidRPr="00EB4A52">
        <w:rPr>
          <w:lang w:val="es-ES_tradnl"/>
        </w:rPr>
        <w:t>Relatora Especial de Naciones Unidas para Pueblos Indígenas. Mocoa, enero de 2018. Alentamos a los miembros del Mecanismo de Expertos a consultar con la relatora especial sobre derechos de los pueblos indígenas el contenido del reporte citado.</w:t>
      </w:r>
    </w:p>
    <w:p w14:paraId="4D5F78CC" w14:textId="77777777" w:rsidR="00720472" w:rsidRPr="00EB4A52" w:rsidRDefault="00720472" w:rsidP="00EB4A52">
      <w:pPr>
        <w:pStyle w:val="FootnoteText"/>
        <w:jc w:val="both"/>
        <w:rPr>
          <w:lang w:val="es-ES_tradnl"/>
        </w:rPr>
      </w:pPr>
    </w:p>
  </w:footnote>
  <w:footnote w:id="2">
    <w:p w14:paraId="15087836" w14:textId="77777777" w:rsidR="00720472" w:rsidRPr="00EB4A52" w:rsidRDefault="00720472" w:rsidP="00EB4A52">
      <w:pPr>
        <w:pStyle w:val="FootnoteText"/>
        <w:jc w:val="both"/>
        <w:rPr>
          <w:lang w:val="es-ES"/>
        </w:rPr>
      </w:pPr>
      <w:r w:rsidRPr="00EB4A52">
        <w:rPr>
          <w:rStyle w:val="FootnoteReference"/>
        </w:rPr>
        <w:footnoteRef/>
      </w:r>
      <w:r w:rsidRPr="00EB4A52">
        <w:t xml:space="preserve"> </w:t>
      </w:r>
      <w:r w:rsidRPr="00EB4A52">
        <w:rPr>
          <w:lang w:val="es-ES"/>
        </w:rPr>
        <w:t>E/C.12/COL/CO/6. Par. 18(a). 19 de octubre de 2017. El subrayado es nuestro.</w:t>
      </w:r>
    </w:p>
    <w:p w14:paraId="00F868B7" w14:textId="77777777" w:rsidR="00720472" w:rsidRPr="00EB4A52" w:rsidRDefault="00720472" w:rsidP="00EB4A52">
      <w:pPr>
        <w:pStyle w:val="FootnoteText"/>
        <w:jc w:val="both"/>
        <w:rPr>
          <w:lang w:val="es-ES"/>
        </w:rPr>
      </w:pPr>
    </w:p>
  </w:footnote>
  <w:footnote w:id="3">
    <w:p w14:paraId="66E123E1" w14:textId="21DB7D73" w:rsidR="00720472" w:rsidRPr="00F13344" w:rsidRDefault="00720472" w:rsidP="00EB4A52">
      <w:pPr>
        <w:jc w:val="both"/>
        <w:rPr>
          <w:rFonts w:ascii="Helvetica" w:eastAsia="Times New Roman" w:hAnsi="Helvetica" w:cs="Times New Roman"/>
          <w:sz w:val="20"/>
          <w:szCs w:val="20"/>
          <w:lang w:val="es-ES_tradnl"/>
        </w:rPr>
      </w:pPr>
      <w:r w:rsidRPr="00EB4A52">
        <w:rPr>
          <w:rStyle w:val="FootnoteReference"/>
          <w:sz w:val="20"/>
          <w:szCs w:val="20"/>
        </w:rPr>
        <w:footnoteRef/>
      </w:r>
      <w:r w:rsidRPr="00F13344">
        <w:rPr>
          <w:rFonts w:ascii="Helvetica" w:eastAsia="Times New Roman" w:hAnsi="Helvetica" w:cs="Times New Roman"/>
          <w:sz w:val="20"/>
          <w:szCs w:val="20"/>
          <w:lang w:val="es-ES_tradnl"/>
        </w:rPr>
        <w:t>ELEMENTOS PARA EL PROYECTO DE INSTRUMENTO INTERNACIONAL JURÍDICAMENTE VINCULANTE SOBRE  EMPRESAS TRANSNACIONALES Y OTRAS EMPRESAS CON RESPECTO A LOS DERECHOS HUMANOS Presidencia  del OEIGWG establecido por la Res. A/HCR/RES/26/9 del Consejo de Derechos Humanos (29/09/2017)P. 11</w:t>
      </w:r>
    </w:p>
    <w:p w14:paraId="0C26083B" w14:textId="1A2615A8" w:rsidR="00720472" w:rsidRPr="00EB4A52" w:rsidRDefault="00720472" w:rsidP="00EB4A52">
      <w:pPr>
        <w:pStyle w:val="FootnoteText"/>
        <w:jc w:val="both"/>
        <w:rPr>
          <w:lang w:val="es-ES_tradnl"/>
        </w:rPr>
      </w:pPr>
    </w:p>
    <w:p w14:paraId="2A1685F1" w14:textId="77777777" w:rsidR="00720472" w:rsidRPr="00EB4A52" w:rsidRDefault="00720472" w:rsidP="00EB4A52">
      <w:pPr>
        <w:pStyle w:val="FootnoteText"/>
        <w:jc w:val="both"/>
        <w:rPr>
          <w:lang w:val="es-ES_tradnl"/>
        </w:rPr>
      </w:pPr>
    </w:p>
  </w:footnote>
  <w:footnote w:id="4">
    <w:p w14:paraId="2510F217" w14:textId="5C44963A" w:rsidR="00720472" w:rsidRPr="00C1675F" w:rsidRDefault="00720472" w:rsidP="00C1675F">
      <w:pPr>
        <w:spacing w:before="120"/>
        <w:jc w:val="both"/>
        <w:rPr>
          <w:sz w:val="20"/>
          <w:szCs w:val="20"/>
        </w:rPr>
      </w:pPr>
      <w:r w:rsidRPr="00EB4A52">
        <w:rPr>
          <w:rStyle w:val="FootnoteReference"/>
          <w:sz w:val="20"/>
          <w:szCs w:val="20"/>
        </w:rPr>
        <w:footnoteRef/>
      </w:r>
      <w:r w:rsidRPr="00F13344">
        <w:rPr>
          <w:sz w:val="20"/>
          <w:szCs w:val="20"/>
          <w:lang w:val="es-ES_tradnl"/>
        </w:rPr>
        <w:t>Comité de Derechos Económicos, Sociales y Culturales</w:t>
      </w:r>
      <w:r w:rsidR="00C1675F" w:rsidRPr="00F13344">
        <w:rPr>
          <w:sz w:val="20"/>
          <w:szCs w:val="20"/>
          <w:lang w:val="es-ES_tradnl"/>
        </w:rPr>
        <w:t xml:space="preserve"> </w:t>
      </w:r>
      <w:r w:rsidRPr="00F13344">
        <w:rPr>
          <w:sz w:val="20"/>
          <w:szCs w:val="20"/>
          <w:lang w:val="es-ES_tradnl"/>
        </w:rPr>
        <w:t>43º período de sesiones.</w:t>
      </w:r>
      <w:r w:rsidRPr="00F13344">
        <w:rPr>
          <w:b/>
          <w:sz w:val="20"/>
          <w:szCs w:val="20"/>
          <w:lang w:val="es-ES_tradnl"/>
        </w:rPr>
        <w:t xml:space="preserve"> </w:t>
      </w:r>
      <w:r w:rsidRPr="00F13344">
        <w:rPr>
          <w:sz w:val="20"/>
          <w:szCs w:val="20"/>
          <w:lang w:val="es-ES_tradnl"/>
        </w:rPr>
        <w:t>Ginebra, 2 a 20 de noviembre de 2009</w:t>
      </w:r>
      <w:bookmarkStart w:id="1" w:name="BM_"/>
      <w:bookmarkEnd w:id="1"/>
      <w:r w:rsidRPr="00F13344">
        <w:rPr>
          <w:sz w:val="20"/>
          <w:szCs w:val="20"/>
          <w:lang w:val="es-ES_tradnl"/>
        </w:rPr>
        <w:t>. Observación general Nº 21. Derecho de toda persona a participar en la vida cultural</w:t>
      </w:r>
      <w:r w:rsidRPr="00F13344">
        <w:rPr>
          <w:sz w:val="20"/>
          <w:szCs w:val="20"/>
          <w:lang w:val="es-ES_tradnl"/>
        </w:rPr>
        <w:br/>
        <w:t xml:space="preserve">(artículo 15, párrafo 1 </w:t>
      </w:r>
      <w:r w:rsidRPr="00F13344">
        <w:rPr>
          <w:iCs/>
          <w:sz w:val="20"/>
          <w:szCs w:val="20"/>
          <w:lang w:val="es-ES_tradnl"/>
        </w:rPr>
        <w:t>a</w:t>
      </w:r>
      <w:r w:rsidRPr="00F13344">
        <w:rPr>
          <w:sz w:val="20"/>
          <w:szCs w:val="20"/>
          <w:lang w:val="es-ES_tradnl"/>
        </w:rPr>
        <w:t>), del Pacto Internacional de Derechos Económicos, Sociales y Culturas)</w:t>
      </w:r>
      <w:r w:rsidRPr="00F13344">
        <w:rPr>
          <w:b/>
          <w:sz w:val="20"/>
          <w:szCs w:val="20"/>
          <w:lang w:val="es-ES_tradnl"/>
        </w:rPr>
        <w:t>.</w:t>
      </w:r>
      <w:r w:rsidRPr="00F13344">
        <w:rPr>
          <w:sz w:val="20"/>
          <w:szCs w:val="20"/>
          <w:lang w:val="es-ES_tradnl"/>
        </w:rPr>
        <w:t xml:space="preserve">E/C.12/GC/21/Rev.1. </w:t>
      </w:r>
      <w:r w:rsidRPr="00EB4A52">
        <w:rPr>
          <w:sz w:val="20"/>
          <w:szCs w:val="20"/>
        </w:rPr>
        <w:t>Distr. General</w:t>
      </w:r>
      <w:r w:rsidRPr="00EB4A52">
        <w:rPr>
          <w:b/>
          <w:sz w:val="20"/>
          <w:szCs w:val="20"/>
        </w:rPr>
        <w:t xml:space="preserve"> </w:t>
      </w:r>
      <w:r w:rsidRPr="00EB4A52">
        <w:rPr>
          <w:sz w:val="20"/>
          <w:szCs w:val="20"/>
        </w:rPr>
        <w:t xml:space="preserve">17 de mayo de 2010. Párrafo 37. </w:t>
      </w:r>
    </w:p>
    <w:p w14:paraId="6C6024BA" w14:textId="14718F0B" w:rsidR="00720472" w:rsidRPr="00EB4A52" w:rsidRDefault="00720472" w:rsidP="00EB4A52">
      <w:pPr>
        <w:jc w:val="both"/>
        <w:rPr>
          <w:rFonts w:ascii="Helvetica" w:eastAsia="Times New Roman" w:hAnsi="Helvetica" w:cs="Times New Roman"/>
          <w:sz w:val="20"/>
          <w:szCs w:val="20"/>
          <w:lang w:val="fr-CH"/>
        </w:rPr>
      </w:pPr>
    </w:p>
    <w:p w14:paraId="3F6DDC05" w14:textId="77777777" w:rsidR="00720472" w:rsidRPr="00EB4A52" w:rsidRDefault="00720472" w:rsidP="00EB4A52">
      <w:pPr>
        <w:pStyle w:val="FootnoteText"/>
        <w:jc w:val="both"/>
        <w:rPr>
          <w:lang w:val="es-ES_tradnl"/>
        </w:rPr>
      </w:pPr>
    </w:p>
    <w:p w14:paraId="749E8DBF" w14:textId="77777777" w:rsidR="00720472" w:rsidRPr="00EB4A52" w:rsidRDefault="00720472" w:rsidP="00EB4A52">
      <w:pPr>
        <w:pStyle w:val="FootnoteText"/>
        <w:jc w:val="both"/>
        <w:rPr>
          <w:lang w:val="es-ES_tradnl"/>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6E8"/>
    <w:rsid w:val="002322A5"/>
    <w:rsid w:val="002E2708"/>
    <w:rsid w:val="00417AC2"/>
    <w:rsid w:val="004F6ED0"/>
    <w:rsid w:val="00720472"/>
    <w:rsid w:val="00741517"/>
    <w:rsid w:val="007F1A74"/>
    <w:rsid w:val="008B2C95"/>
    <w:rsid w:val="008D171C"/>
    <w:rsid w:val="009306E8"/>
    <w:rsid w:val="0095704C"/>
    <w:rsid w:val="00961275"/>
    <w:rsid w:val="00A43D75"/>
    <w:rsid w:val="00A662F0"/>
    <w:rsid w:val="00C1675F"/>
    <w:rsid w:val="00C25258"/>
    <w:rsid w:val="00EB4A52"/>
    <w:rsid w:val="00F13344"/>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F89993"/>
  <w14:defaultImageDpi w14:val="300"/>
  <w15:docId w15:val="{AAB2C256-CEFE-4D3F-9F4C-9F0E0790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306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306E8"/>
    <w:rPr>
      <w:rFonts w:ascii="Lucida Grande" w:hAnsi="Lucida Grande" w:cs="Lucida Grande"/>
      <w:sz w:val="18"/>
      <w:szCs w:val="18"/>
    </w:rPr>
  </w:style>
  <w:style w:type="character" w:styleId="Hyperlink">
    <w:name w:val="Hyperlink"/>
    <w:basedOn w:val="DefaultParagraphFont"/>
    <w:uiPriority w:val="99"/>
    <w:unhideWhenUsed/>
    <w:rsid w:val="009306E8"/>
    <w:rPr>
      <w:color w:val="0000FF" w:themeColor="hyperlink"/>
      <w:u w:val="single"/>
    </w:rPr>
  </w:style>
  <w:style w:type="paragraph" w:styleId="FootnoteText">
    <w:name w:val="footnote text"/>
    <w:basedOn w:val="Normal"/>
    <w:link w:val="FootnoteTextChar"/>
    <w:uiPriority w:val="99"/>
    <w:semiHidden/>
    <w:unhideWhenUsed/>
    <w:rsid w:val="00A662F0"/>
    <w:rPr>
      <w:rFonts w:eastAsiaTheme="minorHAnsi"/>
      <w:sz w:val="20"/>
      <w:szCs w:val="20"/>
      <w:lang w:val="es-CO" w:eastAsia="en-US"/>
    </w:rPr>
  </w:style>
  <w:style w:type="character" w:customStyle="1" w:styleId="FootnoteTextChar">
    <w:name w:val="Footnote Text Char"/>
    <w:basedOn w:val="DefaultParagraphFont"/>
    <w:link w:val="FootnoteText"/>
    <w:uiPriority w:val="99"/>
    <w:semiHidden/>
    <w:rsid w:val="00A662F0"/>
    <w:rPr>
      <w:rFonts w:eastAsiaTheme="minorHAnsi"/>
      <w:sz w:val="20"/>
      <w:szCs w:val="20"/>
      <w:lang w:val="es-CO" w:eastAsia="en-US"/>
    </w:rPr>
  </w:style>
  <w:style w:type="character" w:styleId="FootnoteReference">
    <w:name w:val="footnote reference"/>
    <w:basedOn w:val="DefaultParagraphFont"/>
    <w:uiPriority w:val="99"/>
    <w:semiHidden/>
    <w:unhideWhenUsed/>
    <w:rsid w:val="00A662F0"/>
    <w:rPr>
      <w:vertAlign w:val="superscript"/>
    </w:rPr>
  </w:style>
  <w:style w:type="paragraph" w:customStyle="1" w:styleId="HChG">
    <w:name w:val="_ H _Ch_G"/>
    <w:basedOn w:val="Normal"/>
    <w:next w:val="Normal"/>
    <w:rsid w:val="00EB4A52"/>
    <w:pPr>
      <w:keepNext/>
      <w:keepLines/>
      <w:tabs>
        <w:tab w:val="right" w:pos="851"/>
      </w:tabs>
      <w:suppressAutoHyphens/>
      <w:spacing w:before="360" w:after="240" w:line="300" w:lineRule="exact"/>
      <w:ind w:left="1134" w:right="1134" w:hanging="1134"/>
    </w:pPr>
    <w:rPr>
      <w:rFonts w:ascii="Times New Roman" w:eastAsia="Times New Roman" w:hAnsi="Times New Roman" w:cs="Times New Roman"/>
      <w:b/>
      <w:sz w:val="28"/>
      <w:szCs w:val="20"/>
      <w:lang w:val="es-ES" w:eastAsia="es-ES"/>
    </w:rPr>
  </w:style>
  <w:style w:type="paragraph" w:customStyle="1" w:styleId="H1G">
    <w:name w:val="_ H_1_G"/>
    <w:basedOn w:val="Normal"/>
    <w:next w:val="Normal"/>
    <w:rsid w:val="00EB4A52"/>
    <w:pPr>
      <w:keepNext/>
      <w:keepLines/>
      <w:tabs>
        <w:tab w:val="right" w:pos="851"/>
      </w:tabs>
      <w:suppressAutoHyphens/>
      <w:spacing w:before="360" w:after="240" w:line="270" w:lineRule="exact"/>
      <w:ind w:left="1134" w:right="1134" w:hanging="1134"/>
    </w:pPr>
    <w:rPr>
      <w:rFonts w:ascii="Times New Roman" w:eastAsia="Times New Roman" w:hAnsi="Times New Roman" w:cs="Times New Roman"/>
      <w:b/>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796715">
      <w:bodyDiv w:val="1"/>
      <w:marLeft w:val="0"/>
      <w:marRight w:val="0"/>
      <w:marTop w:val="0"/>
      <w:marBottom w:val="0"/>
      <w:divBdr>
        <w:top w:val="none" w:sz="0" w:space="0" w:color="auto"/>
        <w:left w:val="none" w:sz="0" w:space="0" w:color="auto"/>
        <w:bottom w:val="none" w:sz="0" w:space="0" w:color="auto"/>
        <w:right w:val="none" w:sz="0" w:space="0" w:color="auto"/>
      </w:divBdr>
      <w:divsChild>
        <w:div w:id="672805211">
          <w:marLeft w:val="0"/>
          <w:marRight w:val="0"/>
          <w:marTop w:val="0"/>
          <w:marBottom w:val="0"/>
          <w:divBdr>
            <w:top w:val="none" w:sz="0" w:space="0" w:color="auto"/>
            <w:left w:val="none" w:sz="0" w:space="0" w:color="auto"/>
            <w:bottom w:val="none" w:sz="0" w:space="0" w:color="auto"/>
            <w:right w:val="none" w:sz="0" w:space="0" w:color="auto"/>
          </w:divBdr>
        </w:div>
        <w:div w:id="368340191">
          <w:marLeft w:val="0"/>
          <w:marRight w:val="0"/>
          <w:marTop w:val="0"/>
          <w:marBottom w:val="0"/>
          <w:divBdr>
            <w:top w:val="none" w:sz="0" w:space="0" w:color="auto"/>
            <w:left w:val="none" w:sz="0" w:space="0" w:color="auto"/>
            <w:bottom w:val="none" w:sz="0" w:space="0" w:color="auto"/>
            <w:right w:val="none" w:sz="0" w:space="0" w:color="auto"/>
          </w:divBdr>
        </w:div>
        <w:div w:id="1463575852">
          <w:marLeft w:val="0"/>
          <w:marRight w:val="0"/>
          <w:marTop w:val="0"/>
          <w:marBottom w:val="0"/>
          <w:divBdr>
            <w:top w:val="none" w:sz="0" w:space="0" w:color="auto"/>
            <w:left w:val="none" w:sz="0" w:space="0" w:color="auto"/>
            <w:bottom w:val="none" w:sz="0" w:space="0" w:color="auto"/>
            <w:right w:val="none" w:sz="0" w:space="0" w:color="auto"/>
          </w:divBdr>
        </w:div>
        <w:div w:id="1677882421">
          <w:marLeft w:val="0"/>
          <w:marRight w:val="0"/>
          <w:marTop w:val="0"/>
          <w:marBottom w:val="0"/>
          <w:divBdr>
            <w:top w:val="none" w:sz="0" w:space="0" w:color="auto"/>
            <w:left w:val="none" w:sz="0" w:space="0" w:color="auto"/>
            <w:bottom w:val="none" w:sz="0" w:space="0" w:color="auto"/>
            <w:right w:val="none" w:sz="0" w:space="0" w:color="auto"/>
          </w:divBdr>
        </w:div>
        <w:div w:id="1312949860">
          <w:marLeft w:val="0"/>
          <w:marRight w:val="0"/>
          <w:marTop w:val="0"/>
          <w:marBottom w:val="0"/>
          <w:divBdr>
            <w:top w:val="none" w:sz="0" w:space="0" w:color="auto"/>
            <w:left w:val="none" w:sz="0" w:space="0" w:color="auto"/>
            <w:bottom w:val="none" w:sz="0" w:space="0" w:color="auto"/>
            <w:right w:val="none" w:sz="0" w:space="0" w:color="auto"/>
          </w:divBdr>
        </w:div>
        <w:div w:id="1057704504">
          <w:marLeft w:val="0"/>
          <w:marRight w:val="0"/>
          <w:marTop w:val="0"/>
          <w:marBottom w:val="0"/>
          <w:divBdr>
            <w:top w:val="none" w:sz="0" w:space="0" w:color="auto"/>
            <w:left w:val="none" w:sz="0" w:space="0" w:color="auto"/>
            <w:bottom w:val="none" w:sz="0" w:space="0" w:color="auto"/>
            <w:right w:val="none" w:sz="0" w:space="0" w:color="auto"/>
          </w:divBdr>
        </w:div>
        <w:div w:id="1366831073">
          <w:marLeft w:val="0"/>
          <w:marRight w:val="0"/>
          <w:marTop w:val="0"/>
          <w:marBottom w:val="0"/>
          <w:divBdr>
            <w:top w:val="none" w:sz="0" w:space="0" w:color="auto"/>
            <w:left w:val="none" w:sz="0" w:space="0" w:color="auto"/>
            <w:bottom w:val="none" w:sz="0" w:space="0" w:color="auto"/>
            <w:right w:val="none" w:sz="0" w:space="0" w:color="auto"/>
          </w:divBdr>
        </w:div>
        <w:div w:id="1309095821">
          <w:marLeft w:val="0"/>
          <w:marRight w:val="0"/>
          <w:marTop w:val="0"/>
          <w:marBottom w:val="0"/>
          <w:divBdr>
            <w:top w:val="none" w:sz="0" w:space="0" w:color="auto"/>
            <w:left w:val="none" w:sz="0" w:space="0" w:color="auto"/>
            <w:bottom w:val="none" w:sz="0" w:space="0" w:color="auto"/>
            <w:right w:val="none" w:sz="0" w:space="0" w:color="auto"/>
          </w:divBdr>
        </w:div>
        <w:div w:id="837115923">
          <w:marLeft w:val="0"/>
          <w:marRight w:val="0"/>
          <w:marTop w:val="0"/>
          <w:marBottom w:val="0"/>
          <w:divBdr>
            <w:top w:val="none" w:sz="0" w:space="0" w:color="auto"/>
            <w:left w:val="none" w:sz="0" w:space="0" w:color="auto"/>
            <w:bottom w:val="none" w:sz="0" w:space="0" w:color="auto"/>
            <w:right w:val="none" w:sz="0" w:space="0" w:color="auto"/>
          </w:divBdr>
        </w:div>
        <w:div w:id="1367485850">
          <w:marLeft w:val="0"/>
          <w:marRight w:val="0"/>
          <w:marTop w:val="0"/>
          <w:marBottom w:val="0"/>
          <w:divBdr>
            <w:top w:val="none" w:sz="0" w:space="0" w:color="auto"/>
            <w:left w:val="none" w:sz="0" w:space="0" w:color="auto"/>
            <w:bottom w:val="none" w:sz="0" w:space="0" w:color="auto"/>
            <w:right w:val="none" w:sz="0" w:space="0" w:color="auto"/>
          </w:divBdr>
        </w:div>
        <w:div w:id="331563411">
          <w:marLeft w:val="0"/>
          <w:marRight w:val="0"/>
          <w:marTop w:val="0"/>
          <w:marBottom w:val="0"/>
          <w:divBdr>
            <w:top w:val="none" w:sz="0" w:space="0" w:color="auto"/>
            <w:left w:val="none" w:sz="0" w:space="0" w:color="auto"/>
            <w:bottom w:val="none" w:sz="0" w:space="0" w:color="auto"/>
            <w:right w:val="none" w:sz="0" w:space="0" w:color="auto"/>
          </w:divBdr>
        </w:div>
        <w:div w:id="1379360780">
          <w:marLeft w:val="0"/>
          <w:marRight w:val="0"/>
          <w:marTop w:val="0"/>
          <w:marBottom w:val="0"/>
          <w:divBdr>
            <w:top w:val="none" w:sz="0" w:space="0" w:color="auto"/>
            <w:left w:val="none" w:sz="0" w:space="0" w:color="auto"/>
            <w:bottom w:val="none" w:sz="0" w:space="0" w:color="auto"/>
            <w:right w:val="none" w:sz="0" w:space="0" w:color="auto"/>
          </w:divBdr>
        </w:div>
        <w:div w:id="1543712621">
          <w:marLeft w:val="0"/>
          <w:marRight w:val="0"/>
          <w:marTop w:val="0"/>
          <w:marBottom w:val="0"/>
          <w:divBdr>
            <w:top w:val="none" w:sz="0" w:space="0" w:color="auto"/>
            <w:left w:val="none" w:sz="0" w:space="0" w:color="auto"/>
            <w:bottom w:val="none" w:sz="0" w:space="0" w:color="auto"/>
            <w:right w:val="none" w:sz="0" w:space="0" w:color="auto"/>
          </w:divBdr>
        </w:div>
        <w:div w:id="2009940497">
          <w:marLeft w:val="0"/>
          <w:marRight w:val="0"/>
          <w:marTop w:val="0"/>
          <w:marBottom w:val="0"/>
          <w:divBdr>
            <w:top w:val="none" w:sz="0" w:space="0" w:color="auto"/>
            <w:left w:val="none" w:sz="0" w:space="0" w:color="auto"/>
            <w:bottom w:val="none" w:sz="0" w:space="0" w:color="auto"/>
            <w:right w:val="none" w:sz="0" w:space="0" w:color="auto"/>
          </w:divBdr>
        </w:div>
        <w:div w:id="790825148">
          <w:marLeft w:val="0"/>
          <w:marRight w:val="0"/>
          <w:marTop w:val="0"/>
          <w:marBottom w:val="0"/>
          <w:divBdr>
            <w:top w:val="none" w:sz="0" w:space="0" w:color="auto"/>
            <w:left w:val="none" w:sz="0" w:space="0" w:color="auto"/>
            <w:bottom w:val="none" w:sz="0" w:space="0" w:color="auto"/>
            <w:right w:val="none" w:sz="0" w:space="0" w:color="auto"/>
          </w:divBdr>
        </w:div>
        <w:div w:id="688263728">
          <w:marLeft w:val="0"/>
          <w:marRight w:val="0"/>
          <w:marTop w:val="0"/>
          <w:marBottom w:val="0"/>
          <w:divBdr>
            <w:top w:val="none" w:sz="0" w:space="0" w:color="auto"/>
            <w:left w:val="none" w:sz="0" w:space="0" w:color="auto"/>
            <w:bottom w:val="none" w:sz="0" w:space="0" w:color="auto"/>
            <w:right w:val="none" w:sz="0" w:space="0" w:color="auto"/>
          </w:divBdr>
        </w:div>
        <w:div w:id="1143157185">
          <w:marLeft w:val="0"/>
          <w:marRight w:val="0"/>
          <w:marTop w:val="0"/>
          <w:marBottom w:val="0"/>
          <w:divBdr>
            <w:top w:val="none" w:sz="0" w:space="0" w:color="auto"/>
            <w:left w:val="none" w:sz="0" w:space="0" w:color="auto"/>
            <w:bottom w:val="none" w:sz="0" w:space="0" w:color="auto"/>
            <w:right w:val="none" w:sz="0" w:space="0" w:color="auto"/>
          </w:divBdr>
        </w:div>
        <w:div w:id="1392535120">
          <w:marLeft w:val="0"/>
          <w:marRight w:val="0"/>
          <w:marTop w:val="0"/>
          <w:marBottom w:val="0"/>
          <w:divBdr>
            <w:top w:val="none" w:sz="0" w:space="0" w:color="auto"/>
            <w:left w:val="none" w:sz="0" w:space="0" w:color="auto"/>
            <w:bottom w:val="none" w:sz="0" w:space="0" w:color="auto"/>
            <w:right w:val="none" w:sz="0" w:space="0" w:color="auto"/>
          </w:divBdr>
        </w:div>
        <w:div w:id="850492309">
          <w:marLeft w:val="0"/>
          <w:marRight w:val="0"/>
          <w:marTop w:val="0"/>
          <w:marBottom w:val="0"/>
          <w:divBdr>
            <w:top w:val="none" w:sz="0" w:space="0" w:color="auto"/>
            <w:left w:val="none" w:sz="0" w:space="0" w:color="auto"/>
            <w:bottom w:val="none" w:sz="0" w:space="0" w:color="auto"/>
            <w:right w:val="none" w:sz="0" w:space="0" w:color="auto"/>
          </w:divBdr>
        </w:div>
        <w:div w:id="820317544">
          <w:marLeft w:val="0"/>
          <w:marRight w:val="0"/>
          <w:marTop w:val="0"/>
          <w:marBottom w:val="0"/>
          <w:divBdr>
            <w:top w:val="none" w:sz="0" w:space="0" w:color="auto"/>
            <w:left w:val="none" w:sz="0" w:space="0" w:color="auto"/>
            <w:bottom w:val="none" w:sz="0" w:space="0" w:color="auto"/>
            <w:right w:val="none" w:sz="0" w:space="0" w:color="auto"/>
          </w:divBdr>
        </w:div>
        <w:div w:id="1555265993">
          <w:marLeft w:val="0"/>
          <w:marRight w:val="0"/>
          <w:marTop w:val="0"/>
          <w:marBottom w:val="0"/>
          <w:divBdr>
            <w:top w:val="none" w:sz="0" w:space="0" w:color="auto"/>
            <w:left w:val="none" w:sz="0" w:space="0" w:color="auto"/>
            <w:bottom w:val="none" w:sz="0" w:space="0" w:color="auto"/>
            <w:right w:val="none" w:sz="0" w:space="0" w:color="auto"/>
          </w:divBdr>
        </w:div>
        <w:div w:id="1180662699">
          <w:marLeft w:val="0"/>
          <w:marRight w:val="0"/>
          <w:marTop w:val="0"/>
          <w:marBottom w:val="0"/>
          <w:divBdr>
            <w:top w:val="none" w:sz="0" w:space="0" w:color="auto"/>
            <w:left w:val="none" w:sz="0" w:space="0" w:color="auto"/>
            <w:bottom w:val="none" w:sz="0" w:space="0" w:color="auto"/>
            <w:right w:val="none" w:sz="0" w:space="0" w:color="auto"/>
          </w:divBdr>
        </w:div>
        <w:div w:id="1775784687">
          <w:marLeft w:val="0"/>
          <w:marRight w:val="0"/>
          <w:marTop w:val="0"/>
          <w:marBottom w:val="0"/>
          <w:divBdr>
            <w:top w:val="none" w:sz="0" w:space="0" w:color="auto"/>
            <w:left w:val="none" w:sz="0" w:space="0" w:color="auto"/>
            <w:bottom w:val="none" w:sz="0" w:space="0" w:color="auto"/>
            <w:right w:val="none" w:sz="0" w:space="0" w:color="auto"/>
          </w:divBdr>
        </w:div>
        <w:div w:id="1138062251">
          <w:marLeft w:val="0"/>
          <w:marRight w:val="0"/>
          <w:marTop w:val="0"/>
          <w:marBottom w:val="0"/>
          <w:divBdr>
            <w:top w:val="none" w:sz="0" w:space="0" w:color="auto"/>
            <w:left w:val="none" w:sz="0" w:space="0" w:color="auto"/>
            <w:bottom w:val="none" w:sz="0" w:space="0" w:color="auto"/>
            <w:right w:val="none" w:sz="0" w:space="0" w:color="auto"/>
          </w:divBdr>
        </w:div>
        <w:div w:id="201214502">
          <w:marLeft w:val="0"/>
          <w:marRight w:val="0"/>
          <w:marTop w:val="0"/>
          <w:marBottom w:val="0"/>
          <w:divBdr>
            <w:top w:val="none" w:sz="0" w:space="0" w:color="auto"/>
            <w:left w:val="none" w:sz="0" w:space="0" w:color="auto"/>
            <w:bottom w:val="none" w:sz="0" w:space="0" w:color="auto"/>
            <w:right w:val="none" w:sz="0" w:space="0" w:color="auto"/>
          </w:divBdr>
        </w:div>
        <w:div w:id="1045982491">
          <w:marLeft w:val="0"/>
          <w:marRight w:val="0"/>
          <w:marTop w:val="0"/>
          <w:marBottom w:val="0"/>
          <w:divBdr>
            <w:top w:val="none" w:sz="0" w:space="0" w:color="auto"/>
            <w:left w:val="none" w:sz="0" w:space="0" w:color="auto"/>
            <w:bottom w:val="none" w:sz="0" w:space="0" w:color="auto"/>
            <w:right w:val="none" w:sz="0" w:space="0" w:color="auto"/>
          </w:divBdr>
        </w:div>
      </w:divsChild>
    </w:div>
    <w:div w:id="1851287518">
      <w:bodyDiv w:val="1"/>
      <w:marLeft w:val="0"/>
      <w:marRight w:val="0"/>
      <w:marTop w:val="0"/>
      <w:marBottom w:val="0"/>
      <w:divBdr>
        <w:top w:val="none" w:sz="0" w:space="0" w:color="auto"/>
        <w:left w:val="none" w:sz="0" w:space="0" w:color="auto"/>
        <w:bottom w:val="none" w:sz="0" w:space="0" w:color="auto"/>
        <w:right w:val="none" w:sz="0" w:space="0" w:color="auto"/>
      </w:divBdr>
      <w:divsChild>
        <w:div w:id="50690635">
          <w:marLeft w:val="0"/>
          <w:marRight w:val="0"/>
          <w:marTop w:val="0"/>
          <w:marBottom w:val="0"/>
          <w:divBdr>
            <w:top w:val="none" w:sz="0" w:space="0" w:color="auto"/>
            <w:left w:val="none" w:sz="0" w:space="0" w:color="auto"/>
            <w:bottom w:val="none" w:sz="0" w:space="0" w:color="auto"/>
            <w:right w:val="none" w:sz="0" w:space="0" w:color="auto"/>
          </w:divBdr>
        </w:div>
        <w:div w:id="759833383">
          <w:marLeft w:val="0"/>
          <w:marRight w:val="0"/>
          <w:marTop w:val="0"/>
          <w:marBottom w:val="0"/>
          <w:divBdr>
            <w:top w:val="none" w:sz="0" w:space="0" w:color="auto"/>
            <w:left w:val="none" w:sz="0" w:space="0" w:color="auto"/>
            <w:bottom w:val="none" w:sz="0" w:space="0" w:color="auto"/>
            <w:right w:val="none" w:sz="0" w:space="0" w:color="auto"/>
          </w:divBdr>
        </w:div>
        <w:div w:id="547911259">
          <w:marLeft w:val="0"/>
          <w:marRight w:val="0"/>
          <w:marTop w:val="0"/>
          <w:marBottom w:val="0"/>
          <w:divBdr>
            <w:top w:val="none" w:sz="0" w:space="0" w:color="auto"/>
            <w:left w:val="none" w:sz="0" w:space="0" w:color="auto"/>
            <w:bottom w:val="none" w:sz="0" w:space="0" w:color="auto"/>
            <w:right w:val="none" w:sz="0" w:space="0" w:color="auto"/>
          </w:divBdr>
        </w:div>
        <w:div w:id="685400455">
          <w:marLeft w:val="0"/>
          <w:marRight w:val="0"/>
          <w:marTop w:val="0"/>
          <w:marBottom w:val="0"/>
          <w:divBdr>
            <w:top w:val="none" w:sz="0" w:space="0" w:color="auto"/>
            <w:left w:val="none" w:sz="0" w:space="0" w:color="auto"/>
            <w:bottom w:val="none" w:sz="0" w:space="0" w:color="auto"/>
            <w:right w:val="none" w:sz="0" w:space="0" w:color="auto"/>
          </w:divBdr>
        </w:div>
        <w:div w:id="59297386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locainternationale.com" TargetMode="Externa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526D5DC-E3C7-4570-A893-0346BB8956B1}">
  <ds:schemaRefs>
    <ds:schemaRef ds:uri="http://schemas.openxmlformats.org/officeDocument/2006/bibliography"/>
  </ds:schemaRefs>
</ds:datastoreItem>
</file>

<file path=customXml/itemProps2.xml><?xml version="1.0" encoding="utf-8"?>
<ds:datastoreItem xmlns:ds="http://schemas.openxmlformats.org/officeDocument/2006/customXml" ds:itemID="{7DEF3CEB-83D5-4195-9A08-780BF268D595}"/>
</file>

<file path=customXml/itemProps3.xml><?xml version="1.0" encoding="utf-8"?>
<ds:datastoreItem xmlns:ds="http://schemas.openxmlformats.org/officeDocument/2006/customXml" ds:itemID="{15B906D4-E7F1-417B-8A94-05954B21F352}"/>
</file>

<file path=customXml/itemProps4.xml><?xml version="1.0" encoding="utf-8"?>
<ds:datastoreItem xmlns:ds="http://schemas.openxmlformats.org/officeDocument/2006/customXml" ds:itemID="{D04A1F17-9E70-42AF-A8C3-03FA41202BC8}"/>
</file>

<file path=docProps/app.xml><?xml version="1.0" encoding="utf-8"?>
<Properties xmlns="http://schemas.openxmlformats.org/officeDocument/2006/extended-properties" xmlns:vt="http://schemas.openxmlformats.org/officeDocument/2006/docPropsVTypes">
  <Template>Normal.dotm</Template>
  <TotalTime>0</TotalTime>
  <Pages>5</Pages>
  <Words>1304</Words>
  <Characters>7433</Characters>
  <Application>Microsoft Office Word</Application>
  <DocSecurity>4</DocSecurity>
  <Lines>61</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Multimedia</dc:creator>
  <cp:keywords/>
  <dc:description/>
  <cp:lastModifiedBy>OHCHR-ROLDS</cp:lastModifiedBy>
  <cp:revision>2</cp:revision>
  <dcterms:created xsi:type="dcterms:W3CDTF">2018-05-22T08:07:00Z</dcterms:created>
  <dcterms:modified xsi:type="dcterms:W3CDTF">2018-05-22T08:07:00Z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