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F54B4" w14:textId="77777777" w:rsidR="0003547E" w:rsidRDefault="0003547E" w:rsidP="000175E3">
      <w:pPr>
        <w:jc w:val="both"/>
        <w:rPr>
          <w:b/>
          <w:szCs w:val="20"/>
          <w:lang w:val="fr-CH" w:eastAsia="de-CH"/>
        </w:rPr>
      </w:pPr>
      <w:bookmarkStart w:id="0" w:name="_GoBack"/>
      <w:bookmarkEnd w:id="0"/>
      <w:r>
        <w:rPr>
          <w:b/>
          <w:szCs w:val="20"/>
          <w:lang w:val="fr-CH" w:eastAsia="de-CH"/>
        </w:rPr>
        <w:t>Mai 2018</w:t>
      </w:r>
    </w:p>
    <w:p w14:paraId="55C12E05" w14:textId="77777777" w:rsidR="0003547E" w:rsidRDefault="0003547E" w:rsidP="000175E3">
      <w:pPr>
        <w:jc w:val="both"/>
        <w:rPr>
          <w:b/>
          <w:szCs w:val="20"/>
          <w:lang w:val="fr-CH" w:eastAsia="de-CH"/>
        </w:rPr>
      </w:pPr>
    </w:p>
    <w:p w14:paraId="6F0F4B3B" w14:textId="3157389A" w:rsidR="00C202FD" w:rsidRDefault="00C202FD" w:rsidP="000175E3">
      <w:pPr>
        <w:jc w:val="both"/>
        <w:rPr>
          <w:b/>
          <w:szCs w:val="20"/>
          <w:lang w:val="fr-CH" w:eastAsia="de-CH"/>
        </w:rPr>
      </w:pPr>
      <w:r w:rsidRPr="000175E3">
        <w:rPr>
          <w:b/>
          <w:szCs w:val="20"/>
          <w:lang w:val="fr-CH" w:eastAsia="de-CH"/>
        </w:rPr>
        <w:t>Communication à l’attention du Haut-Commissariat aux droit</w:t>
      </w:r>
      <w:r w:rsidR="000175E3">
        <w:rPr>
          <w:b/>
          <w:szCs w:val="20"/>
          <w:lang w:val="fr-CH" w:eastAsia="de-CH"/>
        </w:rPr>
        <w:t>s</w:t>
      </w:r>
      <w:r w:rsidRPr="000175E3">
        <w:rPr>
          <w:b/>
          <w:szCs w:val="20"/>
          <w:lang w:val="fr-CH" w:eastAsia="de-CH"/>
        </w:rPr>
        <w:t xml:space="preserve"> de l’homme </w:t>
      </w:r>
      <w:r w:rsidR="00F23750">
        <w:rPr>
          <w:b/>
          <w:szCs w:val="20"/>
          <w:lang w:val="fr-CH" w:eastAsia="de-CH"/>
        </w:rPr>
        <w:t>relative à</w:t>
      </w:r>
      <w:r w:rsidRPr="000175E3">
        <w:rPr>
          <w:b/>
          <w:szCs w:val="20"/>
          <w:lang w:val="fr-CH" w:eastAsia="de-CH"/>
        </w:rPr>
        <w:t xml:space="preserve"> la mise en œuvre </w:t>
      </w:r>
      <w:r w:rsidR="00CB543A">
        <w:rPr>
          <w:b/>
          <w:szCs w:val="20"/>
          <w:lang w:val="fr-CH" w:eastAsia="de-CH"/>
        </w:rPr>
        <w:t xml:space="preserve">par la Suisse </w:t>
      </w:r>
      <w:r w:rsidRPr="000175E3">
        <w:rPr>
          <w:b/>
          <w:szCs w:val="20"/>
          <w:lang w:val="fr-CH" w:eastAsia="de-CH"/>
        </w:rPr>
        <w:t>des r</w:t>
      </w:r>
      <w:r w:rsidR="00852ABB" w:rsidRPr="000175E3">
        <w:rPr>
          <w:b/>
          <w:szCs w:val="20"/>
          <w:lang w:val="fr-CH" w:eastAsia="de-CH"/>
        </w:rPr>
        <w:t xml:space="preserve">ecommandations pratiques concernant </w:t>
      </w:r>
      <w:r w:rsidRPr="000175E3">
        <w:rPr>
          <w:b/>
          <w:szCs w:val="20"/>
          <w:lang w:val="fr-CH" w:eastAsia="de-CH"/>
        </w:rPr>
        <w:t xml:space="preserve">la prise en compte des droits de l’homme dans </w:t>
      </w:r>
      <w:r w:rsidR="000175E3">
        <w:rPr>
          <w:b/>
          <w:szCs w:val="20"/>
          <w:lang w:val="fr-CH" w:eastAsia="de-CH"/>
        </w:rPr>
        <w:t>les politiques en matière de drogues (</w:t>
      </w:r>
      <w:r w:rsidR="000175E3" w:rsidRPr="00852ABB">
        <w:rPr>
          <w:b/>
          <w:szCs w:val="20"/>
          <w:lang w:val="fr-CH" w:eastAsia="de-CH"/>
        </w:rPr>
        <w:t>document final de la session</w:t>
      </w:r>
      <w:r w:rsidR="000175E3">
        <w:rPr>
          <w:b/>
          <w:szCs w:val="20"/>
          <w:lang w:val="fr-CH" w:eastAsia="de-CH"/>
        </w:rPr>
        <w:t xml:space="preserve"> </w:t>
      </w:r>
      <w:r w:rsidR="000175E3" w:rsidRPr="00852ABB">
        <w:rPr>
          <w:b/>
          <w:szCs w:val="20"/>
          <w:lang w:val="fr-CH" w:eastAsia="de-CH"/>
        </w:rPr>
        <w:t>extraordinaire de l’</w:t>
      </w:r>
      <w:r w:rsidR="00132E0D">
        <w:rPr>
          <w:b/>
          <w:szCs w:val="20"/>
          <w:lang w:val="fr-CH" w:eastAsia="de-CH"/>
        </w:rPr>
        <w:t>A</w:t>
      </w:r>
      <w:r w:rsidR="000175E3" w:rsidRPr="00852ABB">
        <w:rPr>
          <w:b/>
          <w:szCs w:val="20"/>
          <w:lang w:val="fr-CH" w:eastAsia="de-CH"/>
        </w:rPr>
        <w:t>ssemblée générale</w:t>
      </w:r>
      <w:r w:rsidR="000175E3">
        <w:rPr>
          <w:b/>
          <w:szCs w:val="20"/>
          <w:lang w:val="fr-CH" w:eastAsia="de-CH"/>
        </w:rPr>
        <w:t xml:space="preserve"> </w:t>
      </w:r>
      <w:r w:rsidR="000175E3" w:rsidRPr="00852ABB">
        <w:rPr>
          <w:b/>
          <w:szCs w:val="20"/>
          <w:lang w:val="fr-CH" w:eastAsia="de-CH"/>
        </w:rPr>
        <w:t xml:space="preserve">des </w:t>
      </w:r>
      <w:r w:rsidR="000175E3">
        <w:rPr>
          <w:b/>
          <w:szCs w:val="20"/>
          <w:lang w:val="fr-CH" w:eastAsia="de-CH"/>
        </w:rPr>
        <w:t>N</w:t>
      </w:r>
      <w:r w:rsidR="000175E3" w:rsidRPr="00852ABB">
        <w:rPr>
          <w:b/>
          <w:szCs w:val="20"/>
          <w:lang w:val="fr-CH" w:eastAsia="de-CH"/>
        </w:rPr>
        <w:t xml:space="preserve">ations </w:t>
      </w:r>
      <w:r w:rsidR="000175E3">
        <w:rPr>
          <w:b/>
          <w:szCs w:val="20"/>
          <w:lang w:val="fr-CH" w:eastAsia="de-CH"/>
        </w:rPr>
        <w:t>U</w:t>
      </w:r>
      <w:r w:rsidR="000175E3" w:rsidRPr="00852ABB">
        <w:rPr>
          <w:b/>
          <w:szCs w:val="20"/>
          <w:lang w:val="fr-CH" w:eastAsia="de-CH"/>
        </w:rPr>
        <w:t>nies sur le problème mondial</w:t>
      </w:r>
      <w:r w:rsidR="000175E3">
        <w:rPr>
          <w:b/>
          <w:szCs w:val="20"/>
          <w:lang w:val="fr-CH" w:eastAsia="de-CH"/>
        </w:rPr>
        <w:t xml:space="preserve"> </w:t>
      </w:r>
      <w:r w:rsidR="000175E3" w:rsidRPr="00852ABB">
        <w:rPr>
          <w:b/>
          <w:szCs w:val="20"/>
          <w:lang w:val="fr-CH" w:eastAsia="de-CH"/>
        </w:rPr>
        <w:t>de la drogue tenue en 2016</w:t>
      </w:r>
      <w:r w:rsidR="000175E3">
        <w:rPr>
          <w:b/>
          <w:szCs w:val="20"/>
          <w:lang w:val="fr-CH" w:eastAsia="de-CH"/>
        </w:rPr>
        <w:t>)</w:t>
      </w:r>
    </w:p>
    <w:p w14:paraId="38C61956" w14:textId="77777777" w:rsidR="00C202FD" w:rsidRPr="000175E3" w:rsidRDefault="00C202FD" w:rsidP="00852ABB">
      <w:pPr>
        <w:jc w:val="both"/>
        <w:rPr>
          <w:szCs w:val="20"/>
          <w:lang w:val="fr-CH" w:eastAsia="de-CH"/>
        </w:rPr>
      </w:pPr>
    </w:p>
    <w:p w14:paraId="22C6B84F" w14:textId="77777777" w:rsidR="000175E3" w:rsidRDefault="000175E3" w:rsidP="00852ABB">
      <w:pPr>
        <w:jc w:val="both"/>
        <w:rPr>
          <w:szCs w:val="20"/>
          <w:u w:val="single"/>
          <w:lang w:val="fr-CH" w:eastAsia="de-CH"/>
        </w:rPr>
      </w:pPr>
    </w:p>
    <w:p w14:paraId="3C996DCA" w14:textId="77777777" w:rsidR="004D1B45" w:rsidRPr="004D1B45" w:rsidRDefault="004D1B45" w:rsidP="005760AE">
      <w:pPr>
        <w:pBdr>
          <w:top w:val="single" w:sz="4" w:space="1" w:color="auto"/>
          <w:left w:val="single" w:sz="4" w:space="4" w:color="auto"/>
          <w:bottom w:val="single" w:sz="4" w:space="1" w:color="auto"/>
          <w:right w:val="single" w:sz="4" w:space="4" w:color="auto"/>
        </w:pBdr>
        <w:jc w:val="both"/>
        <w:rPr>
          <w:szCs w:val="20"/>
          <w:u w:val="single"/>
          <w:lang w:val="fr-CH" w:eastAsia="de-CH"/>
        </w:rPr>
      </w:pPr>
      <w:r w:rsidRPr="004D1B45">
        <w:rPr>
          <w:szCs w:val="20"/>
          <w:u w:val="single"/>
          <w:lang w:val="fr-CH" w:eastAsia="de-CH"/>
        </w:rPr>
        <w:t>Remarque à caractère général</w:t>
      </w:r>
    </w:p>
    <w:p w14:paraId="6515B5F9" w14:textId="77777777" w:rsidR="004D1B45" w:rsidRDefault="004D1B45" w:rsidP="005760AE">
      <w:pPr>
        <w:pBdr>
          <w:top w:val="single" w:sz="4" w:space="1" w:color="auto"/>
          <w:left w:val="single" w:sz="4" w:space="4" w:color="auto"/>
          <w:bottom w:val="single" w:sz="4" w:space="1" w:color="auto"/>
          <w:right w:val="single" w:sz="4" w:space="4" w:color="auto"/>
        </w:pBdr>
        <w:jc w:val="both"/>
        <w:rPr>
          <w:szCs w:val="20"/>
          <w:lang w:val="fr-CH" w:eastAsia="de-CH"/>
        </w:rPr>
      </w:pPr>
    </w:p>
    <w:p w14:paraId="0CF2F843" w14:textId="0377A461" w:rsidR="00A914F5" w:rsidRDefault="000175E3" w:rsidP="005760AE">
      <w:pPr>
        <w:pBdr>
          <w:top w:val="single" w:sz="4" w:space="1" w:color="auto"/>
          <w:left w:val="single" w:sz="4" w:space="4" w:color="auto"/>
          <w:bottom w:val="single" w:sz="4" w:space="1" w:color="auto"/>
          <w:right w:val="single" w:sz="4" w:space="4" w:color="auto"/>
        </w:pBdr>
        <w:jc w:val="both"/>
        <w:rPr>
          <w:szCs w:val="20"/>
          <w:lang w:val="fr-CH" w:eastAsia="de-CH"/>
        </w:rPr>
      </w:pPr>
      <w:r>
        <w:rPr>
          <w:szCs w:val="20"/>
          <w:lang w:val="fr-CH" w:eastAsia="de-CH"/>
        </w:rPr>
        <w:t xml:space="preserve">Historiquement, la Suisse </w:t>
      </w:r>
      <w:r w:rsidR="005B34AA">
        <w:rPr>
          <w:szCs w:val="20"/>
          <w:lang w:val="fr-CH" w:eastAsia="de-CH"/>
        </w:rPr>
        <w:t>appréhende</w:t>
      </w:r>
      <w:r w:rsidR="005B34AA" w:rsidRPr="000175E3">
        <w:rPr>
          <w:szCs w:val="20"/>
          <w:lang w:val="fr-CH" w:eastAsia="de-CH"/>
        </w:rPr>
        <w:t xml:space="preserve"> </w:t>
      </w:r>
      <w:r w:rsidRPr="000175E3">
        <w:rPr>
          <w:szCs w:val="20"/>
          <w:lang w:val="fr-CH" w:eastAsia="de-CH"/>
        </w:rPr>
        <w:t>le problème de la drogue avant tout sous l'angle de la santé</w:t>
      </w:r>
      <w:r>
        <w:rPr>
          <w:szCs w:val="20"/>
          <w:lang w:val="fr-CH" w:eastAsia="de-CH"/>
        </w:rPr>
        <w:t xml:space="preserve"> publique et des droits </w:t>
      </w:r>
      <w:r w:rsidR="007C18C8">
        <w:rPr>
          <w:szCs w:val="20"/>
          <w:lang w:val="fr-CH" w:eastAsia="de-CH"/>
        </w:rPr>
        <w:t>de l’homme</w:t>
      </w:r>
      <w:r w:rsidR="00A914F5">
        <w:rPr>
          <w:szCs w:val="20"/>
          <w:lang w:val="fr-CH" w:eastAsia="de-CH"/>
        </w:rPr>
        <w:t xml:space="preserve">, </w:t>
      </w:r>
      <w:r w:rsidR="00A914F5" w:rsidRPr="00A914F5">
        <w:rPr>
          <w:szCs w:val="20"/>
          <w:lang w:val="fr-CH" w:eastAsia="de-CH"/>
        </w:rPr>
        <w:t xml:space="preserve">et oriente en conséquence </w:t>
      </w:r>
      <w:r w:rsidR="00A914F5">
        <w:rPr>
          <w:szCs w:val="20"/>
          <w:lang w:val="fr-CH" w:eastAsia="de-CH"/>
        </w:rPr>
        <w:t>ses politiques publiques en la matière.</w:t>
      </w:r>
      <w:r>
        <w:rPr>
          <w:szCs w:val="20"/>
          <w:lang w:val="fr-CH" w:eastAsia="de-CH"/>
        </w:rPr>
        <w:t xml:space="preserve"> </w:t>
      </w:r>
      <w:r w:rsidR="00A914F5" w:rsidRPr="00A914F5">
        <w:rPr>
          <w:szCs w:val="20"/>
          <w:lang w:val="fr-CH" w:eastAsia="de-CH"/>
        </w:rPr>
        <w:t>Forte d’une action politique basée sur quatre piliers (prévention, thérapie, réduction des risques et répression) qui a fait ses preuves</w:t>
      </w:r>
      <w:r w:rsidR="00FA3588" w:rsidRPr="00FA3588">
        <w:rPr>
          <w:szCs w:val="20"/>
          <w:lang w:val="fr-CH" w:eastAsia="de-CH"/>
        </w:rPr>
        <w:t xml:space="preserve"> </w:t>
      </w:r>
      <w:r w:rsidR="00FA3588" w:rsidRPr="00A914F5">
        <w:rPr>
          <w:szCs w:val="20"/>
          <w:lang w:val="fr-CH" w:eastAsia="de-CH"/>
        </w:rPr>
        <w:t>depuis le début des années '90</w:t>
      </w:r>
      <w:r w:rsidR="00A914F5" w:rsidRPr="00A914F5">
        <w:rPr>
          <w:szCs w:val="20"/>
          <w:lang w:val="fr-CH" w:eastAsia="de-CH"/>
        </w:rPr>
        <w:t xml:space="preserve">, notamment en ayant permis </w:t>
      </w:r>
      <w:r w:rsidR="00132E0D">
        <w:rPr>
          <w:szCs w:val="20"/>
          <w:lang w:val="fr-CH" w:eastAsia="de-CH"/>
        </w:rPr>
        <w:t>la fermeture d</w:t>
      </w:r>
      <w:r w:rsidR="00A914F5" w:rsidRPr="00A914F5">
        <w:rPr>
          <w:szCs w:val="20"/>
          <w:lang w:val="fr-CH" w:eastAsia="de-CH"/>
        </w:rPr>
        <w:t xml:space="preserve">es scènes ouvertes de la drogue et </w:t>
      </w:r>
      <w:r w:rsidR="00132E0D">
        <w:rPr>
          <w:szCs w:val="20"/>
          <w:lang w:val="fr-CH" w:eastAsia="de-CH"/>
        </w:rPr>
        <w:t>la réduction de</w:t>
      </w:r>
      <w:r w:rsidR="00A914F5" w:rsidRPr="00A914F5">
        <w:rPr>
          <w:szCs w:val="20"/>
          <w:lang w:val="fr-CH" w:eastAsia="de-CH"/>
        </w:rPr>
        <w:t xml:space="preserve"> la prévalence du VIH parmi les consommateurs</w:t>
      </w:r>
      <w:r w:rsidR="00132E0D">
        <w:rPr>
          <w:szCs w:val="20"/>
          <w:lang w:val="fr-CH" w:eastAsia="de-CH"/>
        </w:rPr>
        <w:t>,</w:t>
      </w:r>
      <w:r w:rsidR="00A914F5" w:rsidRPr="00A914F5">
        <w:rPr>
          <w:szCs w:val="20"/>
          <w:lang w:val="fr-CH" w:eastAsia="de-CH"/>
        </w:rPr>
        <w:t xml:space="preserve"> la Suisse défend </w:t>
      </w:r>
      <w:r w:rsidR="006474BA">
        <w:rPr>
          <w:szCs w:val="20"/>
          <w:lang w:val="fr-CH" w:eastAsia="de-CH"/>
        </w:rPr>
        <w:t xml:space="preserve">et </w:t>
      </w:r>
      <w:r w:rsidR="005B34AA">
        <w:rPr>
          <w:szCs w:val="20"/>
          <w:lang w:val="fr-CH" w:eastAsia="de-CH"/>
        </w:rPr>
        <w:t xml:space="preserve">justifie </w:t>
      </w:r>
      <w:r w:rsidR="00A914F5" w:rsidRPr="00A914F5">
        <w:rPr>
          <w:szCs w:val="20"/>
          <w:lang w:val="fr-CH" w:eastAsia="de-CH"/>
        </w:rPr>
        <w:t>son approche au sein de</w:t>
      </w:r>
      <w:r w:rsidR="00A914F5">
        <w:rPr>
          <w:szCs w:val="20"/>
          <w:lang w:val="fr-CH" w:eastAsia="de-CH"/>
        </w:rPr>
        <w:t>s institutions internationales</w:t>
      </w:r>
      <w:r w:rsidR="009F6395">
        <w:rPr>
          <w:szCs w:val="20"/>
          <w:lang w:val="fr-CH" w:eastAsia="de-CH"/>
        </w:rPr>
        <w:t xml:space="preserve"> ainsi que dans le cadre de ses contacts bilatéraux</w:t>
      </w:r>
      <w:r w:rsidR="00A914F5">
        <w:rPr>
          <w:szCs w:val="20"/>
          <w:lang w:val="fr-CH" w:eastAsia="de-CH"/>
        </w:rPr>
        <w:t>.</w:t>
      </w:r>
    </w:p>
    <w:p w14:paraId="5DF52D76" w14:textId="24DF0E37" w:rsidR="009F6395" w:rsidRDefault="009F6395" w:rsidP="005760AE">
      <w:pPr>
        <w:pBdr>
          <w:top w:val="single" w:sz="4" w:space="1" w:color="auto"/>
          <w:left w:val="single" w:sz="4" w:space="4" w:color="auto"/>
          <w:bottom w:val="single" w:sz="4" w:space="1" w:color="auto"/>
          <w:right w:val="single" w:sz="4" w:space="4" w:color="auto"/>
        </w:pBdr>
        <w:jc w:val="both"/>
        <w:rPr>
          <w:szCs w:val="20"/>
          <w:lang w:val="fr-CH" w:eastAsia="de-CH"/>
        </w:rPr>
      </w:pPr>
    </w:p>
    <w:p w14:paraId="1C312641" w14:textId="262B24BB" w:rsidR="009F6395" w:rsidRDefault="009F6395" w:rsidP="005760AE">
      <w:pPr>
        <w:pBdr>
          <w:top w:val="single" w:sz="4" w:space="1" w:color="auto"/>
          <w:left w:val="single" w:sz="4" w:space="4" w:color="auto"/>
          <w:bottom w:val="single" w:sz="4" w:space="1" w:color="auto"/>
          <w:right w:val="single" w:sz="4" w:space="4" w:color="auto"/>
        </w:pBdr>
        <w:jc w:val="both"/>
        <w:rPr>
          <w:szCs w:val="20"/>
          <w:lang w:val="fr-CH" w:eastAsia="de-CH"/>
        </w:rPr>
      </w:pPr>
      <w:r>
        <w:rPr>
          <w:szCs w:val="20"/>
          <w:lang w:val="fr-CH" w:eastAsia="de-CH"/>
        </w:rPr>
        <w:t>La Suisse</w:t>
      </w:r>
      <w:r w:rsidRPr="00A914F5">
        <w:rPr>
          <w:szCs w:val="20"/>
          <w:lang w:val="fr-CH" w:eastAsia="de-CH"/>
        </w:rPr>
        <w:t xml:space="preserve"> </w:t>
      </w:r>
      <w:r>
        <w:rPr>
          <w:szCs w:val="20"/>
          <w:lang w:val="fr-CH" w:eastAsia="de-CH"/>
        </w:rPr>
        <w:t xml:space="preserve">– </w:t>
      </w:r>
      <w:r w:rsidRPr="00A914F5">
        <w:rPr>
          <w:szCs w:val="20"/>
          <w:lang w:val="fr-CH" w:eastAsia="de-CH"/>
        </w:rPr>
        <w:t xml:space="preserve">aux côtés d’autres </w:t>
      </w:r>
      <w:r>
        <w:rPr>
          <w:szCs w:val="20"/>
          <w:lang w:val="fr-CH" w:eastAsia="de-CH"/>
        </w:rPr>
        <w:t>É</w:t>
      </w:r>
      <w:r w:rsidRPr="00A914F5">
        <w:rPr>
          <w:szCs w:val="20"/>
          <w:lang w:val="fr-CH" w:eastAsia="de-CH"/>
        </w:rPr>
        <w:t>tats et d’organisation</w:t>
      </w:r>
      <w:r>
        <w:rPr>
          <w:szCs w:val="20"/>
          <w:lang w:val="fr-CH" w:eastAsia="de-CH"/>
        </w:rPr>
        <w:t>s</w:t>
      </w:r>
      <w:r w:rsidRPr="00A914F5">
        <w:rPr>
          <w:szCs w:val="20"/>
          <w:lang w:val="fr-CH" w:eastAsia="de-CH"/>
        </w:rPr>
        <w:t xml:space="preserve"> non gouvernementale</w:t>
      </w:r>
      <w:r>
        <w:rPr>
          <w:szCs w:val="20"/>
          <w:lang w:val="fr-CH" w:eastAsia="de-CH"/>
        </w:rPr>
        <w:t>s – défend l’importance d’une approche basée sur les droits de l’homme</w:t>
      </w:r>
      <w:r w:rsidRPr="00A914F5">
        <w:rPr>
          <w:szCs w:val="20"/>
          <w:lang w:val="fr-CH" w:eastAsia="de-CH"/>
        </w:rPr>
        <w:t xml:space="preserve"> </w:t>
      </w:r>
      <w:r>
        <w:rPr>
          <w:szCs w:val="20"/>
          <w:lang w:val="fr-CH" w:eastAsia="de-CH"/>
        </w:rPr>
        <w:t>p</w:t>
      </w:r>
      <w:r w:rsidRPr="00A914F5">
        <w:rPr>
          <w:szCs w:val="20"/>
          <w:lang w:val="fr-CH" w:eastAsia="de-CH"/>
        </w:rPr>
        <w:t xml:space="preserve">ar des </w:t>
      </w:r>
      <w:r w:rsidRPr="000D0DB5">
        <w:rPr>
          <w:b/>
          <w:szCs w:val="20"/>
          <w:lang w:val="fr-CH" w:eastAsia="de-CH"/>
        </w:rPr>
        <w:t>interventions ciblées</w:t>
      </w:r>
      <w:r w:rsidRPr="00A914F5">
        <w:rPr>
          <w:szCs w:val="20"/>
          <w:lang w:val="fr-CH" w:eastAsia="de-CH"/>
        </w:rPr>
        <w:t xml:space="preserve"> au sein </w:t>
      </w:r>
      <w:r>
        <w:rPr>
          <w:szCs w:val="20"/>
          <w:lang w:val="fr-CH" w:eastAsia="de-CH"/>
        </w:rPr>
        <w:t>de plusieurs</w:t>
      </w:r>
      <w:r w:rsidRPr="00A914F5">
        <w:rPr>
          <w:szCs w:val="20"/>
          <w:lang w:val="fr-CH" w:eastAsia="de-CH"/>
        </w:rPr>
        <w:t xml:space="preserve"> institutions internationales</w:t>
      </w:r>
      <w:r w:rsidR="00FA3588">
        <w:rPr>
          <w:szCs w:val="20"/>
          <w:lang w:val="fr-CH" w:eastAsia="de-CH"/>
        </w:rPr>
        <w:t>,</w:t>
      </w:r>
      <w:r>
        <w:rPr>
          <w:szCs w:val="20"/>
          <w:lang w:val="fr-CH" w:eastAsia="de-CH"/>
        </w:rPr>
        <w:t xml:space="preserve"> telles que</w:t>
      </w:r>
      <w:r w:rsidRPr="00A914F5">
        <w:rPr>
          <w:szCs w:val="20"/>
          <w:lang w:val="fr-CH" w:eastAsia="de-CH"/>
        </w:rPr>
        <w:t xml:space="preserve"> </w:t>
      </w:r>
      <w:r>
        <w:rPr>
          <w:szCs w:val="20"/>
          <w:lang w:val="fr-CH" w:eastAsia="de-CH"/>
        </w:rPr>
        <w:t>les Nations Unies (notamment dans le cadre de la Commission des stupéfiants à Vienne, dont elle est membre depuis 2018),</w:t>
      </w:r>
      <w:r w:rsidRPr="00A914F5">
        <w:rPr>
          <w:szCs w:val="20"/>
          <w:lang w:val="fr-CH" w:eastAsia="de-CH"/>
        </w:rPr>
        <w:t xml:space="preserve"> </w:t>
      </w:r>
      <w:r>
        <w:rPr>
          <w:szCs w:val="20"/>
          <w:lang w:val="fr-CH" w:eastAsia="de-CH"/>
        </w:rPr>
        <w:t>le</w:t>
      </w:r>
      <w:r w:rsidRPr="00A914F5">
        <w:rPr>
          <w:szCs w:val="20"/>
          <w:lang w:val="fr-CH" w:eastAsia="de-CH"/>
        </w:rPr>
        <w:t xml:space="preserve"> Conseil de l’Europe</w:t>
      </w:r>
      <w:r>
        <w:rPr>
          <w:szCs w:val="20"/>
          <w:lang w:val="fr-CH" w:eastAsia="de-CH"/>
        </w:rPr>
        <w:t xml:space="preserve"> (Groupe Pompidou) ainsi que </w:t>
      </w:r>
      <w:r w:rsidRPr="004D1B45">
        <w:rPr>
          <w:szCs w:val="20"/>
          <w:lang w:val="fr-CH" w:eastAsia="de-CH"/>
        </w:rPr>
        <w:t xml:space="preserve">toute </w:t>
      </w:r>
      <w:r>
        <w:rPr>
          <w:szCs w:val="20"/>
          <w:lang w:val="fr-CH" w:eastAsia="de-CH"/>
        </w:rPr>
        <w:t xml:space="preserve">autre </w:t>
      </w:r>
      <w:r w:rsidRPr="004D1B45">
        <w:rPr>
          <w:szCs w:val="20"/>
          <w:lang w:val="fr-CH" w:eastAsia="de-CH"/>
        </w:rPr>
        <w:t>enceinte appropriée</w:t>
      </w:r>
      <w:r>
        <w:rPr>
          <w:szCs w:val="20"/>
          <w:lang w:val="fr-CH" w:eastAsia="de-CH"/>
        </w:rPr>
        <w:t>. Elle</w:t>
      </w:r>
      <w:r w:rsidRPr="00A914F5">
        <w:rPr>
          <w:szCs w:val="20"/>
          <w:lang w:val="fr-CH" w:eastAsia="de-CH"/>
        </w:rPr>
        <w:t xml:space="preserve"> encourage</w:t>
      </w:r>
      <w:r>
        <w:rPr>
          <w:szCs w:val="20"/>
          <w:lang w:val="fr-CH" w:eastAsia="de-CH"/>
        </w:rPr>
        <w:t xml:space="preserve"> de manière particulière</w:t>
      </w:r>
      <w:r w:rsidRPr="00A914F5">
        <w:rPr>
          <w:szCs w:val="20"/>
          <w:lang w:val="fr-CH" w:eastAsia="de-CH"/>
        </w:rPr>
        <w:t xml:space="preserve"> la collaboration</w:t>
      </w:r>
      <w:r>
        <w:rPr>
          <w:szCs w:val="20"/>
          <w:lang w:val="fr-CH" w:eastAsia="de-CH"/>
        </w:rPr>
        <w:t xml:space="preserve"> et l’échange d’expériences</w:t>
      </w:r>
      <w:r w:rsidRPr="00A914F5">
        <w:rPr>
          <w:szCs w:val="20"/>
          <w:lang w:val="fr-CH" w:eastAsia="de-CH"/>
        </w:rPr>
        <w:t xml:space="preserve"> </w:t>
      </w:r>
      <w:r>
        <w:rPr>
          <w:szCs w:val="20"/>
          <w:lang w:val="fr-CH" w:eastAsia="de-CH"/>
        </w:rPr>
        <w:t>entre les entités concernées par le problème mondial de la drogue</w:t>
      </w:r>
      <w:r w:rsidR="009071E2">
        <w:rPr>
          <w:szCs w:val="20"/>
          <w:lang w:val="fr-CH" w:eastAsia="de-CH"/>
        </w:rPr>
        <w:t>.</w:t>
      </w:r>
    </w:p>
    <w:p w14:paraId="602ADDE8" w14:textId="77777777" w:rsidR="004D1B45" w:rsidRDefault="004D1B45" w:rsidP="005760AE">
      <w:pPr>
        <w:pBdr>
          <w:top w:val="single" w:sz="4" w:space="1" w:color="auto"/>
          <w:left w:val="single" w:sz="4" w:space="4" w:color="auto"/>
          <w:bottom w:val="single" w:sz="4" w:space="1" w:color="auto"/>
          <w:right w:val="single" w:sz="4" w:space="4" w:color="auto"/>
        </w:pBdr>
        <w:jc w:val="both"/>
        <w:rPr>
          <w:szCs w:val="20"/>
          <w:lang w:val="fr-CH" w:eastAsia="de-CH"/>
        </w:rPr>
      </w:pPr>
    </w:p>
    <w:p w14:paraId="678FF6A1" w14:textId="77777777" w:rsidR="00A914F5" w:rsidRDefault="00A914F5" w:rsidP="00852ABB">
      <w:pPr>
        <w:jc w:val="both"/>
        <w:rPr>
          <w:szCs w:val="20"/>
          <w:lang w:val="fr-CH" w:eastAsia="de-CH"/>
        </w:rPr>
      </w:pPr>
    </w:p>
    <w:p w14:paraId="18F5672A" w14:textId="485C6682" w:rsidR="004D1B45" w:rsidRPr="004D1B45" w:rsidRDefault="004D1B45" w:rsidP="00852ABB">
      <w:pPr>
        <w:jc w:val="both"/>
        <w:rPr>
          <w:szCs w:val="20"/>
          <w:u w:val="single"/>
          <w:lang w:val="fr-CH" w:eastAsia="de-CH"/>
        </w:rPr>
      </w:pPr>
      <w:r w:rsidRPr="004D1B45">
        <w:rPr>
          <w:szCs w:val="20"/>
          <w:u w:val="single"/>
          <w:lang w:val="fr-CH" w:eastAsia="de-CH"/>
        </w:rPr>
        <w:t>Mise en œuvre des recommandations</w:t>
      </w:r>
      <w:r w:rsidR="007C18C8">
        <w:rPr>
          <w:szCs w:val="20"/>
          <w:u w:val="single"/>
          <w:lang w:val="fr-CH" w:eastAsia="de-CH"/>
        </w:rPr>
        <w:t xml:space="preserve"> de l’UNGASS </w:t>
      </w:r>
    </w:p>
    <w:p w14:paraId="19838695" w14:textId="77777777" w:rsidR="004D1B45" w:rsidRDefault="004D1B45" w:rsidP="00852ABB">
      <w:pPr>
        <w:jc w:val="both"/>
        <w:rPr>
          <w:szCs w:val="20"/>
          <w:lang w:val="fr-CH" w:eastAsia="de-CH"/>
        </w:rPr>
      </w:pPr>
    </w:p>
    <w:p w14:paraId="6C11CA56" w14:textId="555AB8E8" w:rsidR="001056CC" w:rsidRPr="009A1A24" w:rsidRDefault="00AF246E" w:rsidP="001056CC">
      <w:pPr>
        <w:jc w:val="both"/>
        <w:rPr>
          <w:szCs w:val="20"/>
          <w:lang w:val="fr-CH" w:eastAsia="de-CH"/>
        </w:rPr>
      </w:pPr>
      <w:r>
        <w:rPr>
          <w:szCs w:val="20"/>
          <w:lang w:val="fr-CH" w:eastAsia="de-CH"/>
        </w:rPr>
        <w:t>I</w:t>
      </w:r>
      <w:r w:rsidR="001056CC">
        <w:rPr>
          <w:szCs w:val="20"/>
          <w:lang w:val="fr-CH" w:eastAsia="de-CH"/>
        </w:rPr>
        <w:t>l convient de souligner que la Suisse soutient activement l’élaboration de</w:t>
      </w:r>
      <w:r w:rsidR="00132E0D">
        <w:rPr>
          <w:szCs w:val="20"/>
          <w:lang w:val="fr-CH" w:eastAsia="de-CH"/>
        </w:rPr>
        <w:t>s</w:t>
      </w:r>
      <w:r w:rsidR="001056CC">
        <w:rPr>
          <w:szCs w:val="20"/>
          <w:lang w:val="fr-CH" w:eastAsia="de-CH"/>
        </w:rPr>
        <w:t xml:space="preserve"> </w:t>
      </w:r>
      <w:r w:rsidR="001056CC" w:rsidRPr="001056CC">
        <w:rPr>
          <w:b/>
          <w:i/>
          <w:szCs w:val="20"/>
          <w:lang w:val="fr-CH" w:eastAsia="de-CH"/>
        </w:rPr>
        <w:t>Guidelines on Human Rights and Drug Policy</w:t>
      </w:r>
      <w:r w:rsidR="001056CC" w:rsidRPr="009A1A24">
        <w:rPr>
          <w:szCs w:val="20"/>
          <w:lang w:val="fr-CH" w:eastAsia="de-CH"/>
        </w:rPr>
        <w:t>,</w:t>
      </w:r>
      <w:r w:rsidR="001056CC">
        <w:rPr>
          <w:szCs w:val="20"/>
          <w:lang w:val="fr-CH" w:eastAsia="de-CH"/>
        </w:rPr>
        <w:t xml:space="preserve"> un projet lancé en 2016 et développé conjointement par le </w:t>
      </w:r>
      <w:r w:rsidR="001056CC" w:rsidRPr="009A1A24">
        <w:rPr>
          <w:szCs w:val="20"/>
          <w:lang w:val="fr-CH" w:eastAsia="de-CH"/>
        </w:rPr>
        <w:t>Programme des Nations unies pour le développement</w:t>
      </w:r>
      <w:r w:rsidR="001056CC">
        <w:rPr>
          <w:szCs w:val="20"/>
          <w:lang w:val="fr-CH" w:eastAsia="de-CH"/>
        </w:rPr>
        <w:t>,</w:t>
      </w:r>
      <w:r w:rsidR="001056CC" w:rsidRPr="009A1A24">
        <w:rPr>
          <w:szCs w:val="20"/>
          <w:lang w:val="fr-CH" w:eastAsia="de-CH"/>
        </w:rPr>
        <w:t xml:space="preserve"> </w:t>
      </w:r>
      <w:proofErr w:type="gramStart"/>
      <w:r w:rsidR="001056CC">
        <w:rPr>
          <w:szCs w:val="20"/>
          <w:lang w:val="fr-CH" w:eastAsia="de-CH"/>
        </w:rPr>
        <w:t xml:space="preserve">le </w:t>
      </w:r>
      <w:r w:rsidR="001056CC" w:rsidRPr="009A1A24">
        <w:rPr>
          <w:i/>
          <w:szCs w:val="20"/>
          <w:lang w:val="fr-CH" w:eastAsia="de-CH"/>
        </w:rPr>
        <w:t>International Centre</w:t>
      </w:r>
      <w:proofErr w:type="gramEnd"/>
      <w:r w:rsidR="001056CC" w:rsidRPr="009A1A24">
        <w:rPr>
          <w:i/>
          <w:szCs w:val="20"/>
          <w:lang w:val="fr-CH" w:eastAsia="de-CH"/>
        </w:rPr>
        <w:t xml:space="preserve"> on Human Rights and Drug Policy</w:t>
      </w:r>
      <w:r w:rsidR="001056CC">
        <w:rPr>
          <w:i/>
          <w:szCs w:val="20"/>
          <w:lang w:val="fr-CH" w:eastAsia="de-CH"/>
        </w:rPr>
        <w:t xml:space="preserve"> </w:t>
      </w:r>
      <w:r w:rsidR="001056CC">
        <w:rPr>
          <w:szCs w:val="20"/>
          <w:lang w:val="fr-CH" w:eastAsia="de-CH"/>
        </w:rPr>
        <w:t>de l’Université de l’Essex</w:t>
      </w:r>
      <w:r w:rsidR="00800CC7">
        <w:rPr>
          <w:szCs w:val="20"/>
          <w:lang w:val="fr-CH" w:eastAsia="de-CH"/>
        </w:rPr>
        <w:t>,</w:t>
      </w:r>
      <w:r w:rsidR="001056CC">
        <w:rPr>
          <w:szCs w:val="20"/>
          <w:lang w:val="fr-CH" w:eastAsia="de-CH"/>
        </w:rPr>
        <w:t xml:space="preserve"> plusieurs autres entités onusiennes </w:t>
      </w:r>
      <w:r w:rsidR="00800CC7">
        <w:rPr>
          <w:szCs w:val="20"/>
          <w:lang w:val="fr-CH" w:eastAsia="de-CH"/>
        </w:rPr>
        <w:t>ainsi que</w:t>
      </w:r>
      <w:r w:rsidR="001056CC">
        <w:rPr>
          <w:szCs w:val="20"/>
          <w:lang w:val="fr-CH" w:eastAsia="de-CH"/>
        </w:rPr>
        <w:t xml:space="preserve"> des représentants de la société civile. Cet instrument</w:t>
      </w:r>
      <w:r w:rsidR="00FD3218">
        <w:rPr>
          <w:szCs w:val="20"/>
          <w:lang w:val="fr-CH" w:eastAsia="de-CH"/>
        </w:rPr>
        <w:t>, qui devrait être publié en février 2019,</w:t>
      </w:r>
      <w:r w:rsidR="001056CC">
        <w:rPr>
          <w:szCs w:val="20"/>
          <w:lang w:val="fr-CH" w:eastAsia="de-CH"/>
        </w:rPr>
        <w:t xml:space="preserve"> constitue</w:t>
      </w:r>
      <w:r w:rsidR="00FD3218">
        <w:rPr>
          <w:szCs w:val="20"/>
          <w:lang w:val="fr-CH" w:eastAsia="de-CH"/>
        </w:rPr>
        <w:t>ra</w:t>
      </w:r>
      <w:r w:rsidR="001056CC">
        <w:rPr>
          <w:szCs w:val="20"/>
          <w:lang w:val="fr-CH" w:eastAsia="de-CH"/>
        </w:rPr>
        <w:t xml:space="preserve"> une aide précieuse pour tous les acteurs impliqués dans la mise en place de politiques en matière de drogues respectueuses des droits de l’homme. </w:t>
      </w:r>
    </w:p>
    <w:p w14:paraId="018C2A40" w14:textId="3E557049" w:rsidR="001056CC" w:rsidRDefault="001056CC" w:rsidP="00852ABB">
      <w:pPr>
        <w:jc w:val="both"/>
        <w:rPr>
          <w:szCs w:val="20"/>
          <w:lang w:val="fr-CH" w:eastAsia="de-CH"/>
        </w:rPr>
      </w:pPr>
    </w:p>
    <w:p w14:paraId="6EC17197" w14:textId="3C1B692F" w:rsidR="009F6395" w:rsidRDefault="009F6395" w:rsidP="00A41AFC">
      <w:pPr>
        <w:jc w:val="both"/>
        <w:rPr>
          <w:szCs w:val="20"/>
          <w:lang w:val="fr-CH" w:eastAsia="de-CH"/>
        </w:rPr>
      </w:pPr>
      <w:r>
        <w:rPr>
          <w:szCs w:val="20"/>
          <w:lang w:val="fr-CH" w:eastAsia="de-CH"/>
        </w:rPr>
        <w:t xml:space="preserve">En outre, la Suisse soutient de manière concrète des </w:t>
      </w:r>
      <w:r w:rsidRPr="00662A3F">
        <w:rPr>
          <w:b/>
          <w:szCs w:val="20"/>
          <w:lang w:val="fr-CH" w:eastAsia="de-CH"/>
        </w:rPr>
        <w:t>entités actives sur le terrain</w:t>
      </w:r>
      <w:r w:rsidR="00132E0D">
        <w:rPr>
          <w:b/>
          <w:szCs w:val="20"/>
          <w:lang w:val="fr-CH" w:eastAsia="de-CH"/>
        </w:rPr>
        <w:t>,</w:t>
      </w:r>
      <w:r>
        <w:rPr>
          <w:szCs w:val="20"/>
          <w:lang w:val="fr-CH" w:eastAsia="de-CH"/>
        </w:rPr>
        <w:t xml:space="preserve"> telles que la </w:t>
      </w:r>
      <w:r w:rsidRPr="002E4A1E">
        <w:rPr>
          <w:szCs w:val="20"/>
          <w:lang w:val="fr-CH" w:eastAsia="de-CH"/>
        </w:rPr>
        <w:t>Commission globale de politique en matière de drogues</w:t>
      </w:r>
      <w:r w:rsidRPr="00132E0D">
        <w:rPr>
          <w:szCs w:val="20"/>
          <w:lang w:val="fr-CH" w:eastAsia="de-CH"/>
        </w:rPr>
        <w:t xml:space="preserve"> </w:t>
      </w:r>
      <w:r w:rsidR="00EF7D7D" w:rsidRPr="00132E0D">
        <w:rPr>
          <w:szCs w:val="20"/>
          <w:lang w:val="fr-CH" w:eastAsia="de-CH"/>
        </w:rPr>
        <w:t xml:space="preserve">ainsi que la </w:t>
      </w:r>
      <w:r w:rsidR="00EF7D7D" w:rsidRPr="002E4A1E">
        <w:rPr>
          <w:szCs w:val="20"/>
          <w:lang w:val="fr-CH" w:eastAsia="de-CH"/>
        </w:rPr>
        <w:t>Plateforme de Genève sur la santé, les droits humains et les substances psychoactives</w:t>
      </w:r>
      <w:r w:rsidR="00EF7D7D" w:rsidRPr="00132E0D">
        <w:rPr>
          <w:szCs w:val="20"/>
          <w:lang w:val="fr-CH" w:eastAsia="de-CH"/>
        </w:rPr>
        <w:t>.</w:t>
      </w:r>
      <w:r w:rsidR="00A41AFC" w:rsidRPr="00132E0D">
        <w:rPr>
          <w:szCs w:val="20"/>
          <w:lang w:val="fr-CH" w:eastAsia="de-CH"/>
        </w:rPr>
        <w:t xml:space="preserve"> La </w:t>
      </w:r>
      <w:r w:rsidR="00A41AFC" w:rsidRPr="002E4A1E">
        <w:rPr>
          <w:szCs w:val="20"/>
          <w:lang w:val="fr-CH" w:eastAsia="de-CH"/>
        </w:rPr>
        <w:t>Commission globale</w:t>
      </w:r>
      <w:r w:rsidR="00A41AFC" w:rsidRPr="00132E0D">
        <w:rPr>
          <w:szCs w:val="20"/>
          <w:lang w:val="fr-CH" w:eastAsia="de-CH"/>
        </w:rPr>
        <w:t xml:space="preserve"> est</w:t>
      </w:r>
      <w:r w:rsidR="00A41AFC" w:rsidRPr="00A41AFC">
        <w:rPr>
          <w:szCs w:val="20"/>
          <w:lang w:val="fr-CH" w:eastAsia="de-CH"/>
        </w:rPr>
        <w:t xml:space="preserve"> une</w:t>
      </w:r>
      <w:r w:rsidR="00A41AFC">
        <w:rPr>
          <w:szCs w:val="20"/>
          <w:lang w:val="fr-CH" w:eastAsia="de-CH"/>
        </w:rPr>
        <w:t xml:space="preserve"> </w:t>
      </w:r>
      <w:r w:rsidR="00A41AFC" w:rsidRPr="00A41AFC">
        <w:rPr>
          <w:szCs w:val="20"/>
          <w:lang w:val="fr-CH" w:eastAsia="de-CH"/>
        </w:rPr>
        <w:t>voix</w:t>
      </w:r>
      <w:r w:rsidR="00A41AFC">
        <w:rPr>
          <w:szCs w:val="20"/>
          <w:lang w:val="fr-CH" w:eastAsia="de-CH"/>
        </w:rPr>
        <w:t xml:space="preserve"> très respectée, qui depuis plusieurs années alimente – à l’aide </w:t>
      </w:r>
      <w:r w:rsidR="00A41AFC" w:rsidRPr="00A41AFC">
        <w:rPr>
          <w:szCs w:val="20"/>
          <w:lang w:val="fr-CH" w:eastAsia="de-CH"/>
        </w:rPr>
        <w:t xml:space="preserve">d'analyses rigoureuses </w:t>
      </w:r>
      <w:r w:rsidR="00A41AFC">
        <w:rPr>
          <w:szCs w:val="20"/>
          <w:lang w:val="fr-CH" w:eastAsia="de-CH"/>
        </w:rPr>
        <w:t>– le débat en la matière, contribuant ainsi à</w:t>
      </w:r>
      <w:r w:rsidR="00A41AFC" w:rsidRPr="00A41AFC">
        <w:rPr>
          <w:szCs w:val="20"/>
          <w:lang w:val="fr-CH" w:eastAsia="de-CH"/>
        </w:rPr>
        <w:t xml:space="preserve"> la</w:t>
      </w:r>
      <w:r w:rsidR="00A41AFC">
        <w:rPr>
          <w:szCs w:val="20"/>
          <w:lang w:val="fr-CH" w:eastAsia="de-CH"/>
        </w:rPr>
        <w:t xml:space="preserve"> </w:t>
      </w:r>
      <w:r w:rsidR="00A41AFC" w:rsidRPr="00A41AFC">
        <w:rPr>
          <w:szCs w:val="20"/>
          <w:lang w:val="fr-CH" w:eastAsia="de-CH"/>
        </w:rPr>
        <w:t>promotion des droits humains</w:t>
      </w:r>
      <w:r w:rsidR="00A41AFC">
        <w:rPr>
          <w:szCs w:val="20"/>
          <w:lang w:val="fr-CH" w:eastAsia="de-CH"/>
        </w:rPr>
        <w:t xml:space="preserve">. </w:t>
      </w:r>
      <w:r w:rsidR="00EF7D7D">
        <w:rPr>
          <w:szCs w:val="20"/>
          <w:lang w:val="fr-CH" w:eastAsia="de-CH"/>
        </w:rPr>
        <w:t xml:space="preserve">La </w:t>
      </w:r>
      <w:r w:rsidR="00EF7D7D" w:rsidRPr="002E4A1E">
        <w:rPr>
          <w:szCs w:val="20"/>
          <w:lang w:val="fr-CH" w:eastAsia="de-CH"/>
        </w:rPr>
        <w:t>Plateforme</w:t>
      </w:r>
      <w:r w:rsidR="00EF7D7D">
        <w:rPr>
          <w:szCs w:val="20"/>
          <w:lang w:val="fr-CH" w:eastAsia="de-CH"/>
        </w:rPr>
        <w:t xml:space="preserve"> a été </w:t>
      </w:r>
      <w:r w:rsidR="00EF7D7D" w:rsidRPr="00EF7D7D">
        <w:rPr>
          <w:szCs w:val="20"/>
          <w:lang w:val="fr-CH" w:eastAsia="de-CH"/>
        </w:rPr>
        <w:t xml:space="preserve">créée pour connecter l'ensemble des acteurs de la société civile travaillant dans les domaines des droits humains, de la santé et des substances psychoactives. Collaborant avec les Organisations internationales présentes </w:t>
      </w:r>
      <w:r w:rsidR="00A41AFC">
        <w:rPr>
          <w:szCs w:val="20"/>
          <w:lang w:val="fr-CH" w:eastAsia="de-CH"/>
        </w:rPr>
        <w:t>dans la ville</w:t>
      </w:r>
      <w:r w:rsidR="00EF7D7D" w:rsidRPr="00EF7D7D">
        <w:rPr>
          <w:szCs w:val="20"/>
          <w:lang w:val="fr-CH" w:eastAsia="de-CH"/>
        </w:rPr>
        <w:t xml:space="preserve"> et les milieux académiques et professionnels suisses, elle rayonne dans l'écosystème global de la Genève internationale</w:t>
      </w:r>
      <w:r w:rsidR="00A41AFC">
        <w:rPr>
          <w:szCs w:val="20"/>
          <w:lang w:val="fr-CH" w:eastAsia="de-CH"/>
        </w:rPr>
        <w:t xml:space="preserve">. </w:t>
      </w:r>
    </w:p>
    <w:p w14:paraId="5813C087" w14:textId="0B20AED2" w:rsidR="009F6395" w:rsidRDefault="009F6395" w:rsidP="00852ABB">
      <w:pPr>
        <w:jc w:val="both"/>
        <w:rPr>
          <w:szCs w:val="20"/>
          <w:lang w:val="fr-CH" w:eastAsia="de-CH"/>
        </w:rPr>
      </w:pPr>
    </w:p>
    <w:p w14:paraId="26BCA666" w14:textId="2CB1B64F" w:rsidR="00DB0EE3" w:rsidRDefault="00DB0EE3" w:rsidP="00DB0EE3">
      <w:pPr>
        <w:jc w:val="both"/>
        <w:rPr>
          <w:szCs w:val="20"/>
          <w:lang w:val="fr-CH" w:eastAsia="de-CH"/>
        </w:rPr>
      </w:pPr>
      <w:r w:rsidRPr="0074484E">
        <w:rPr>
          <w:szCs w:val="20"/>
          <w:lang w:val="fr-CH" w:eastAsia="de-CH"/>
        </w:rPr>
        <w:t xml:space="preserve">En ce qui concerne le problème mondial de la drogue, </w:t>
      </w:r>
      <w:r>
        <w:rPr>
          <w:szCs w:val="20"/>
          <w:lang w:val="fr-CH" w:eastAsia="de-CH"/>
        </w:rPr>
        <w:t>i</w:t>
      </w:r>
      <w:r w:rsidRPr="00812C36">
        <w:rPr>
          <w:szCs w:val="20"/>
          <w:lang w:val="fr-CH" w:eastAsia="de-CH"/>
        </w:rPr>
        <w:t>l est</w:t>
      </w:r>
      <w:r>
        <w:rPr>
          <w:szCs w:val="20"/>
          <w:lang w:val="fr-CH" w:eastAsia="de-CH"/>
        </w:rPr>
        <w:t xml:space="preserve"> également</w:t>
      </w:r>
      <w:r w:rsidRPr="00812C36">
        <w:rPr>
          <w:szCs w:val="20"/>
          <w:lang w:val="fr-CH" w:eastAsia="de-CH"/>
        </w:rPr>
        <w:t xml:space="preserve"> opportun de rappeler</w:t>
      </w:r>
      <w:r w:rsidR="006E7F48">
        <w:rPr>
          <w:szCs w:val="20"/>
          <w:lang w:val="fr-CH" w:eastAsia="de-CH"/>
        </w:rPr>
        <w:t xml:space="preserve"> que</w:t>
      </w:r>
      <w:r w:rsidRPr="00812C36">
        <w:rPr>
          <w:szCs w:val="20"/>
          <w:lang w:val="fr-CH" w:eastAsia="de-CH"/>
        </w:rPr>
        <w:t xml:space="preserve"> l</w:t>
      </w:r>
      <w:r>
        <w:rPr>
          <w:szCs w:val="20"/>
          <w:lang w:val="fr-CH" w:eastAsia="de-CH"/>
        </w:rPr>
        <w:t>e recours à la</w:t>
      </w:r>
      <w:r w:rsidRPr="0074484E">
        <w:rPr>
          <w:szCs w:val="20"/>
          <w:lang w:val="fr-CH" w:eastAsia="de-CH"/>
        </w:rPr>
        <w:t xml:space="preserve"> </w:t>
      </w:r>
      <w:r w:rsidRPr="00F5537B">
        <w:rPr>
          <w:b/>
          <w:szCs w:val="20"/>
          <w:lang w:val="fr-CH" w:eastAsia="de-CH"/>
        </w:rPr>
        <w:t>peine de mort</w:t>
      </w:r>
      <w:r w:rsidRPr="0074484E">
        <w:rPr>
          <w:szCs w:val="20"/>
          <w:lang w:val="fr-CH" w:eastAsia="de-CH"/>
        </w:rPr>
        <w:t xml:space="preserve"> pour les crimes liés à la drogue </w:t>
      </w:r>
      <w:r>
        <w:rPr>
          <w:szCs w:val="20"/>
          <w:lang w:val="fr-CH" w:eastAsia="de-CH"/>
        </w:rPr>
        <w:t>constitue</w:t>
      </w:r>
      <w:r w:rsidRPr="0074484E">
        <w:rPr>
          <w:szCs w:val="20"/>
          <w:lang w:val="fr-CH" w:eastAsia="de-CH"/>
        </w:rPr>
        <w:t xml:space="preserve"> une préoccupation</w:t>
      </w:r>
      <w:r>
        <w:rPr>
          <w:szCs w:val="20"/>
          <w:lang w:val="fr-CH" w:eastAsia="de-CH"/>
        </w:rPr>
        <w:t xml:space="preserve"> majeure pour la Suisse</w:t>
      </w:r>
      <w:r w:rsidRPr="0074484E">
        <w:rPr>
          <w:szCs w:val="20"/>
          <w:lang w:val="fr-CH" w:eastAsia="de-CH"/>
        </w:rPr>
        <w:t>. S’appuyant sur le droit à la vie, l’abolition de la peine de mort</w:t>
      </w:r>
      <w:r w:rsidR="0042115F">
        <w:rPr>
          <w:szCs w:val="20"/>
          <w:lang w:val="fr-CH" w:eastAsia="de-CH"/>
        </w:rPr>
        <w:t xml:space="preserve"> –</w:t>
      </w:r>
      <w:r w:rsidRPr="0074484E">
        <w:rPr>
          <w:szCs w:val="20"/>
          <w:lang w:val="fr-CH" w:eastAsia="de-CH"/>
        </w:rPr>
        <w:t xml:space="preserve"> </w:t>
      </w:r>
      <w:r>
        <w:rPr>
          <w:szCs w:val="20"/>
          <w:lang w:val="fr-CH" w:eastAsia="de-CH"/>
        </w:rPr>
        <w:t xml:space="preserve">notamment </w:t>
      </w:r>
      <w:r w:rsidRPr="0074484E">
        <w:rPr>
          <w:szCs w:val="20"/>
          <w:lang w:val="fr-CH" w:eastAsia="de-CH"/>
        </w:rPr>
        <w:t>pour les crimes liés à la drogue</w:t>
      </w:r>
      <w:r w:rsidR="0042115F">
        <w:rPr>
          <w:szCs w:val="20"/>
          <w:lang w:val="fr-CH" w:eastAsia="de-CH"/>
        </w:rPr>
        <w:t xml:space="preserve"> –</w:t>
      </w:r>
      <w:r w:rsidRPr="0074484E">
        <w:rPr>
          <w:szCs w:val="20"/>
          <w:lang w:val="fr-CH" w:eastAsia="de-CH"/>
        </w:rPr>
        <w:t xml:space="preserve"> est une priorité </w:t>
      </w:r>
      <w:r w:rsidRPr="0074484E">
        <w:rPr>
          <w:szCs w:val="20"/>
          <w:lang w:val="fr-CH" w:eastAsia="de-CH"/>
        </w:rPr>
        <w:lastRenderedPageBreak/>
        <w:t xml:space="preserve">de la politique extérieure helvétique. </w:t>
      </w:r>
      <w:r>
        <w:rPr>
          <w:szCs w:val="20"/>
          <w:lang w:val="fr-CH" w:eastAsia="de-CH"/>
        </w:rPr>
        <w:t>L</w:t>
      </w:r>
      <w:r w:rsidRPr="00A914F5">
        <w:rPr>
          <w:szCs w:val="20"/>
          <w:lang w:val="fr-CH" w:eastAsia="de-CH"/>
        </w:rPr>
        <w:t>ors de l'adoption du document final de la dernière Séance extraordinaire de l'Assemblée générale des Nations Unies sur le problème mondial de la drogue</w:t>
      </w:r>
      <w:r w:rsidR="00624897">
        <w:rPr>
          <w:szCs w:val="20"/>
          <w:lang w:val="fr-CH" w:eastAsia="de-CH"/>
        </w:rPr>
        <w:t xml:space="preserve"> (UNGASS)</w:t>
      </w:r>
      <w:r w:rsidRPr="00A914F5">
        <w:rPr>
          <w:szCs w:val="20"/>
          <w:lang w:val="fr-CH" w:eastAsia="de-CH"/>
        </w:rPr>
        <w:t xml:space="preserve"> en avril 2016, la Suisse avait </w:t>
      </w:r>
      <w:r>
        <w:rPr>
          <w:szCs w:val="20"/>
          <w:lang w:val="fr-CH" w:eastAsia="de-CH"/>
        </w:rPr>
        <w:t xml:space="preserve">d’ailleurs </w:t>
      </w:r>
      <w:r w:rsidRPr="00A914F5">
        <w:rPr>
          <w:szCs w:val="20"/>
          <w:lang w:val="fr-CH" w:eastAsia="de-CH"/>
        </w:rPr>
        <w:t>exprimé son regret que ce document ne fasse pas mention de la question de l'application de la peine de mort pour les délits liés à la drogue.</w:t>
      </w:r>
      <w:r>
        <w:rPr>
          <w:szCs w:val="20"/>
          <w:lang w:val="fr-CH" w:eastAsia="de-CH"/>
        </w:rPr>
        <w:t xml:space="preserve"> </w:t>
      </w:r>
      <w:r w:rsidR="009C0D33">
        <w:rPr>
          <w:szCs w:val="20"/>
          <w:lang w:val="fr-CH" w:eastAsia="de-CH"/>
        </w:rPr>
        <w:t xml:space="preserve"> </w:t>
      </w:r>
    </w:p>
    <w:p w14:paraId="7FDF77DD" w14:textId="4E60867F" w:rsidR="00DB0EE3" w:rsidRDefault="00DB0EE3" w:rsidP="00852ABB">
      <w:pPr>
        <w:jc w:val="both"/>
        <w:rPr>
          <w:szCs w:val="20"/>
          <w:lang w:val="fr-CH" w:eastAsia="de-CH"/>
        </w:rPr>
      </w:pPr>
    </w:p>
    <w:p w14:paraId="793D8707" w14:textId="2D511C51" w:rsidR="00A528AB" w:rsidRDefault="00A528AB" w:rsidP="00852ABB">
      <w:pPr>
        <w:jc w:val="both"/>
        <w:rPr>
          <w:szCs w:val="20"/>
          <w:lang w:val="fr-CH" w:eastAsia="de-CH"/>
        </w:rPr>
      </w:pPr>
      <w:r>
        <w:rPr>
          <w:szCs w:val="20"/>
          <w:lang w:val="fr-CH" w:eastAsia="de-CH"/>
        </w:rPr>
        <w:t xml:space="preserve">L’engagement de la Suisse en faveur de la dimension </w:t>
      </w:r>
      <w:r>
        <w:rPr>
          <w:rFonts w:cs="Arial"/>
          <w:szCs w:val="20"/>
          <w:lang w:val="fr-CH" w:eastAsia="de-CH"/>
        </w:rPr>
        <w:t>"</w:t>
      </w:r>
      <w:r>
        <w:rPr>
          <w:szCs w:val="20"/>
          <w:lang w:val="fr-CH" w:eastAsia="de-CH"/>
        </w:rPr>
        <w:t>droits humains et santé</w:t>
      </w:r>
      <w:r>
        <w:rPr>
          <w:rFonts w:cs="Arial"/>
          <w:szCs w:val="20"/>
          <w:lang w:val="fr-CH" w:eastAsia="de-CH"/>
        </w:rPr>
        <w:t>"</w:t>
      </w:r>
      <w:r>
        <w:rPr>
          <w:szCs w:val="20"/>
          <w:lang w:val="fr-CH" w:eastAsia="de-CH"/>
        </w:rPr>
        <w:t xml:space="preserve"> se traduit également, </w:t>
      </w:r>
      <w:r w:rsidR="008F0EBE">
        <w:rPr>
          <w:szCs w:val="20"/>
          <w:lang w:val="fr-CH" w:eastAsia="de-CH"/>
        </w:rPr>
        <w:t>à un niveau très concret</w:t>
      </w:r>
      <w:r>
        <w:rPr>
          <w:szCs w:val="20"/>
          <w:lang w:val="fr-CH" w:eastAsia="de-CH"/>
        </w:rPr>
        <w:t>, p</w:t>
      </w:r>
      <w:r w:rsidRPr="00A528AB">
        <w:rPr>
          <w:szCs w:val="20"/>
          <w:lang w:val="fr-CH" w:eastAsia="de-CH"/>
        </w:rPr>
        <w:t>ar l’</w:t>
      </w:r>
      <w:r w:rsidRPr="000D0DB5">
        <w:rPr>
          <w:b/>
          <w:szCs w:val="20"/>
          <w:lang w:val="fr-CH" w:eastAsia="de-CH"/>
        </w:rPr>
        <w:t>accueil en Suisse de délégations étrangères</w:t>
      </w:r>
      <w:r w:rsidR="00596450">
        <w:rPr>
          <w:szCs w:val="20"/>
          <w:lang w:val="fr-CH" w:eastAsia="de-CH"/>
        </w:rPr>
        <w:t>,</w:t>
      </w:r>
      <w:r w:rsidRPr="00A528AB">
        <w:rPr>
          <w:szCs w:val="20"/>
          <w:lang w:val="fr-CH" w:eastAsia="de-CH"/>
        </w:rPr>
        <w:t xml:space="preserve"> </w:t>
      </w:r>
      <w:r w:rsidR="00596450">
        <w:rPr>
          <w:szCs w:val="20"/>
          <w:lang w:val="fr-CH" w:eastAsia="de-CH"/>
        </w:rPr>
        <w:t>afin de</w:t>
      </w:r>
      <w:r w:rsidRPr="00A528AB">
        <w:rPr>
          <w:szCs w:val="20"/>
          <w:lang w:val="fr-CH" w:eastAsia="de-CH"/>
        </w:rPr>
        <w:t xml:space="preserve"> leur </w:t>
      </w:r>
      <w:r w:rsidR="007C18C8">
        <w:rPr>
          <w:szCs w:val="20"/>
          <w:lang w:val="fr-CH" w:eastAsia="de-CH"/>
        </w:rPr>
        <w:t>illustrer</w:t>
      </w:r>
      <w:r w:rsidRPr="00A528AB">
        <w:rPr>
          <w:szCs w:val="20"/>
          <w:lang w:val="fr-CH" w:eastAsia="de-CH"/>
        </w:rPr>
        <w:t xml:space="preserve"> la mise en œuvre de la politiq</w:t>
      </w:r>
      <w:r w:rsidR="0079539C">
        <w:rPr>
          <w:szCs w:val="20"/>
          <w:lang w:val="fr-CH" w:eastAsia="de-CH"/>
        </w:rPr>
        <w:t>ue nationale des quatre piliers</w:t>
      </w:r>
      <w:r w:rsidR="006521D5">
        <w:rPr>
          <w:szCs w:val="20"/>
          <w:lang w:val="fr-CH" w:eastAsia="de-CH"/>
        </w:rPr>
        <w:t xml:space="preserve">. Dans le cadre de ces voyages, </w:t>
      </w:r>
      <w:r w:rsidR="000D0DB5">
        <w:rPr>
          <w:szCs w:val="20"/>
          <w:lang w:val="fr-CH" w:eastAsia="de-CH"/>
        </w:rPr>
        <w:t xml:space="preserve">les délégations ont l’opportunité de se familiariser avec </w:t>
      </w:r>
      <w:r w:rsidR="00F66B7E">
        <w:rPr>
          <w:szCs w:val="20"/>
          <w:lang w:val="fr-CH" w:eastAsia="de-CH"/>
        </w:rPr>
        <w:t>les aspects opérationnels</w:t>
      </w:r>
      <w:r w:rsidR="000D0DB5">
        <w:rPr>
          <w:szCs w:val="20"/>
          <w:lang w:val="fr-CH" w:eastAsia="de-CH"/>
        </w:rPr>
        <w:t xml:space="preserve"> de la stratégie suisse </w:t>
      </w:r>
      <w:r w:rsidR="00D27A69">
        <w:rPr>
          <w:szCs w:val="20"/>
          <w:lang w:val="fr-CH" w:eastAsia="de-CH"/>
        </w:rPr>
        <w:t>(ex.</w:t>
      </w:r>
      <w:r w:rsidR="000D0DB5">
        <w:rPr>
          <w:szCs w:val="20"/>
          <w:lang w:val="fr-CH" w:eastAsia="de-CH"/>
        </w:rPr>
        <w:t xml:space="preserve"> locaux d’injection,</w:t>
      </w:r>
      <w:r w:rsidR="00D27A69">
        <w:rPr>
          <w:szCs w:val="20"/>
          <w:lang w:val="fr-CH" w:eastAsia="de-CH"/>
        </w:rPr>
        <w:t xml:space="preserve"> structures de traitement et de </w:t>
      </w:r>
      <w:r w:rsidR="00657EB8">
        <w:rPr>
          <w:szCs w:val="20"/>
          <w:lang w:val="fr-CH" w:eastAsia="de-CH"/>
        </w:rPr>
        <w:t>réadaptation,</w:t>
      </w:r>
      <w:r w:rsidR="008F0EBE">
        <w:rPr>
          <w:szCs w:val="20"/>
          <w:lang w:val="fr-CH" w:eastAsia="de-CH"/>
        </w:rPr>
        <w:t xml:space="preserve"> </w:t>
      </w:r>
      <w:r w:rsidR="008F0EBE" w:rsidRPr="0079539C">
        <w:rPr>
          <w:szCs w:val="20"/>
          <w:lang w:val="fr-CH" w:eastAsia="de-CH"/>
        </w:rPr>
        <w:t xml:space="preserve">coordination entre les activités policières et les piliers </w:t>
      </w:r>
      <w:r w:rsidR="00F66B7E">
        <w:rPr>
          <w:rFonts w:cs="Arial"/>
          <w:szCs w:val="20"/>
          <w:lang w:val="fr-CH" w:eastAsia="de-CH"/>
        </w:rPr>
        <w:t>"</w:t>
      </w:r>
      <w:r w:rsidR="008F0EBE" w:rsidRPr="0079539C">
        <w:rPr>
          <w:szCs w:val="20"/>
          <w:lang w:val="fr-CH" w:eastAsia="de-CH"/>
        </w:rPr>
        <w:t>thérapie</w:t>
      </w:r>
      <w:r w:rsidR="00F66B7E">
        <w:rPr>
          <w:rFonts w:cs="Arial"/>
          <w:szCs w:val="20"/>
          <w:lang w:val="fr-CH" w:eastAsia="de-CH"/>
        </w:rPr>
        <w:t>"</w:t>
      </w:r>
      <w:r w:rsidR="008F0EBE" w:rsidRPr="0079539C">
        <w:rPr>
          <w:szCs w:val="20"/>
          <w:lang w:val="fr-CH" w:eastAsia="de-CH"/>
        </w:rPr>
        <w:t xml:space="preserve">, </w:t>
      </w:r>
      <w:r w:rsidR="00F66B7E">
        <w:rPr>
          <w:rFonts w:cs="Arial"/>
          <w:szCs w:val="20"/>
          <w:lang w:val="fr-CH" w:eastAsia="de-CH"/>
        </w:rPr>
        <w:t>"</w:t>
      </w:r>
      <w:r w:rsidR="008F0EBE" w:rsidRPr="0079539C">
        <w:rPr>
          <w:szCs w:val="20"/>
          <w:lang w:val="fr-CH" w:eastAsia="de-CH"/>
        </w:rPr>
        <w:t>aide à la survie</w:t>
      </w:r>
      <w:r w:rsidR="00F66B7E">
        <w:rPr>
          <w:rFonts w:cs="Arial"/>
          <w:szCs w:val="20"/>
          <w:lang w:val="fr-CH" w:eastAsia="de-CH"/>
        </w:rPr>
        <w:t>"</w:t>
      </w:r>
      <w:r w:rsidR="008F0EBE" w:rsidRPr="0079539C">
        <w:rPr>
          <w:szCs w:val="20"/>
          <w:lang w:val="fr-CH" w:eastAsia="de-CH"/>
        </w:rPr>
        <w:t xml:space="preserve"> et </w:t>
      </w:r>
      <w:r w:rsidR="00F66B7E">
        <w:rPr>
          <w:rFonts w:cs="Arial"/>
          <w:szCs w:val="20"/>
          <w:lang w:val="fr-CH" w:eastAsia="de-CH"/>
        </w:rPr>
        <w:t>"</w:t>
      </w:r>
      <w:r w:rsidR="008F0EBE" w:rsidRPr="0079539C">
        <w:rPr>
          <w:szCs w:val="20"/>
          <w:lang w:val="fr-CH" w:eastAsia="de-CH"/>
        </w:rPr>
        <w:t>prévention</w:t>
      </w:r>
      <w:r w:rsidR="00F66B7E">
        <w:rPr>
          <w:rFonts w:cs="Arial"/>
          <w:szCs w:val="20"/>
          <w:lang w:val="fr-CH" w:eastAsia="de-CH"/>
        </w:rPr>
        <w:t>"</w:t>
      </w:r>
      <w:r w:rsidR="008F0EBE" w:rsidRPr="0079539C">
        <w:rPr>
          <w:szCs w:val="20"/>
          <w:lang w:val="fr-CH" w:eastAsia="de-CH"/>
        </w:rPr>
        <w:t>)</w:t>
      </w:r>
      <w:r w:rsidR="008F0EBE">
        <w:rPr>
          <w:szCs w:val="20"/>
          <w:lang w:val="fr-CH" w:eastAsia="de-CH"/>
        </w:rPr>
        <w:t xml:space="preserve">. Ces visites constituent une occasion privilégiée </w:t>
      </w:r>
      <w:r w:rsidR="00F66B7E">
        <w:rPr>
          <w:szCs w:val="20"/>
          <w:lang w:val="fr-CH" w:eastAsia="de-CH"/>
        </w:rPr>
        <w:t>pour présenter des solutions qui ont fait leurs preuves au niveau national et pourraient être répliquées avec succès dans d’autres pays.</w:t>
      </w:r>
      <w:r w:rsidR="005F525A">
        <w:rPr>
          <w:szCs w:val="20"/>
          <w:lang w:val="fr-CH" w:eastAsia="de-CH"/>
        </w:rPr>
        <w:t xml:space="preserve"> </w:t>
      </w:r>
      <w:r w:rsidR="005B34AA">
        <w:rPr>
          <w:szCs w:val="20"/>
          <w:lang w:val="fr-CH" w:eastAsia="de-CH"/>
        </w:rPr>
        <w:t>La Suisse s’engage à poursuivre la collaboration dès lors qu’un intérêt est montré.</w:t>
      </w:r>
    </w:p>
    <w:p w14:paraId="48721712" w14:textId="77777777" w:rsidR="00F66B7E" w:rsidRDefault="00F66B7E" w:rsidP="00852ABB">
      <w:pPr>
        <w:jc w:val="both"/>
        <w:rPr>
          <w:szCs w:val="20"/>
          <w:lang w:val="fr-CH" w:eastAsia="de-CH"/>
        </w:rPr>
      </w:pPr>
    </w:p>
    <w:p w14:paraId="5BEBF8C3" w14:textId="65F83C7D" w:rsidR="002976A7" w:rsidRDefault="004B5E33" w:rsidP="00852ABB">
      <w:pPr>
        <w:jc w:val="both"/>
        <w:rPr>
          <w:szCs w:val="20"/>
          <w:lang w:val="fr-CH" w:eastAsia="de-CH"/>
        </w:rPr>
      </w:pPr>
      <w:r>
        <w:rPr>
          <w:szCs w:val="20"/>
          <w:lang w:val="fr-CH" w:eastAsia="de-CH"/>
        </w:rPr>
        <w:t xml:space="preserve">Ces caractéristiques de la politique suisse en matière de drogues sont en parfaite adéquation avec les recommandations formulées dans </w:t>
      </w:r>
      <w:r w:rsidR="00812C36">
        <w:rPr>
          <w:szCs w:val="20"/>
          <w:lang w:val="fr-CH" w:eastAsia="de-CH"/>
        </w:rPr>
        <w:t>le</w:t>
      </w:r>
      <w:r>
        <w:rPr>
          <w:szCs w:val="20"/>
          <w:lang w:val="fr-CH" w:eastAsia="de-CH"/>
        </w:rPr>
        <w:t xml:space="preserve"> </w:t>
      </w:r>
      <w:r w:rsidR="00812C36">
        <w:rPr>
          <w:szCs w:val="20"/>
          <w:lang w:val="fr-CH" w:eastAsia="de-CH"/>
        </w:rPr>
        <w:t>document final de l’UNGASS, en particulier celle qui invite</w:t>
      </w:r>
      <w:r w:rsidR="002976A7">
        <w:rPr>
          <w:szCs w:val="20"/>
          <w:lang w:val="fr-CH" w:eastAsia="de-CH"/>
        </w:rPr>
        <w:t xml:space="preserve"> </w:t>
      </w:r>
      <w:r w:rsidR="00812C36">
        <w:rPr>
          <w:szCs w:val="20"/>
          <w:lang w:val="fr-CH" w:eastAsia="de-CH"/>
        </w:rPr>
        <w:t>à</w:t>
      </w:r>
      <w:r w:rsidR="002976A7">
        <w:rPr>
          <w:szCs w:val="20"/>
          <w:lang w:val="fr-CH" w:eastAsia="de-CH"/>
        </w:rPr>
        <w:t xml:space="preserve"> </w:t>
      </w:r>
      <w:r w:rsidR="002976A7">
        <w:rPr>
          <w:rFonts w:cs="Arial"/>
          <w:szCs w:val="20"/>
          <w:lang w:val="fr-CH" w:eastAsia="de-CH"/>
        </w:rPr>
        <w:t>"</w:t>
      </w:r>
      <w:r w:rsidR="00812C36">
        <w:rPr>
          <w:rFonts w:cs="Arial"/>
          <w:i/>
          <w:szCs w:val="20"/>
          <w:lang w:val="fr-CH" w:eastAsia="de-CH"/>
        </w:rPr>
        <w:t>m</w:t>
      </w:r>
      <w:r w:rsidR="002976A7" w:rsidRPr="002976A7">
        <w:rPr>
          <w:rFonts w:cs="Arial"/>
          <w:i/>
          <w:szCs w:val="20"/>
          <w:lang w:val="fr-CH" w:eastAsia="de-CH"/>
        </w:rPr>
        <w:t>ieux faire connaître aux décideurs les différents aspects du problème</w:t>
      </w:r>
      <w:r w:rsidR="002976A7">
        <w:rPr>
          <w:rFonts w:cs="Arial"/>
          <w:i/>
          <w:szCs w:val="20"/>
          <w:lang w:val="fr-CH" w:eastAsia="de-CH"/>
        </w:rPr>
        <w:t xml:space="preserve"> </w:t>
      </w:r>
      <w:r w:rsidR="002976A7" w:rsidRPr="002976A7">
        <w:rPr>
          <w:rFonts w:cs="Arial"/>
          <w:i/>
          <w:szCs w:val="20"/>
          <w:lang w:val="fr-CH" w:eastAsia="de-CH"/>
        </w:rPr>
        <w:t>mondial de la drogue et renforcer, au besoin, les capacités des autorités nationales</w:t>
      </w:r>
      <w:r w:rsidR="002976A7">
        <w:rPr>
          <w:rFonts w:cs="Arial"/>
          <w:i/>
          <w:szCs w:val="20"/>
          <w:lang w:val="fr-CH" w:eastAsia="de-CH"/>
        </w:rPr>
        <w:t xml:space="preserve"> </w:t>
      </w:r>
      <w:r w:rsidR="002976A7" w:rsidRPr="002976A7">
        <w:rPr>
          <w:rFonts w:cs="Arial"/>
          <w:i/>
          <w:szCs w:val="20"/>
          <w:lang w:val="fr-CH" w:eastAsia="de-CH"/>
        </w:rPr>
        <w:t>compétentes dans ce domaine afin de faire en sorte que les politiques nationales antidrogue</w:t>
      </w:r>
      <w:r w:rsidR="00812C36">
        <w:rPr>
          <w:rFonts w:cs="Arial"/>
          <w:szCs w:val="20"/>
          <w:lang w:val="fr-CH" w:eastAsia="de-CH"/>
        </w:rPr>
        <w:t xml:space="preserve"> […]</w:t>
      </w:r>
      <w:r w:rsidR="002976A7" w:rsidRPr="002976A7">
        <w:rPr>
          <w:rFonts w:cs="Arial"/>
          <w:i/>
          <w:szCs w:val="20"/>
          <w:lang w:val="fr-CH" w:eastAsia="de-CH"/>
        </w:rPr>
        <w:t xml:space="preserve"> respectent pleinement</w:t>
      </w:r>
      <w:r w:rsidR="002976A7">
        <w:rPr>
          <w:rFonts w:cs="Arial"/>
          <w:i/>
          <w:szCs w:val="20"/>
          <w:lang w:val="fr-CH" w:eastAsia="de-CH"/>
        </w:rPr>
        <w:t xml:space="preserve"> </w:t>
      </w:r>
      <w:r w:rsidR="002976A7" w:rsidRPr="002976A7">
        <w:rPr>
          <w:rFonts w:cs="Arial"/>
          <w:i/>
          <w:szCs w:val="20"/>
          <w:lang w:val="fr-CH" w:eastAsia="de-CH"/>
        </w:rPr>
        <w:t>tous les droits de l’homme et toutes les libertés fondamentales et protègent la</w:t>
      </w:r>
      <w:r w:rsidR="002976A7">
        <w:rPr>
          <w:rFonts w:cs="Arial"/>
          <w:i/>
          <w:szCs w:val="20"/>
          <w:lang w:val="fr-CH" w:eastAsia="de-CH"/>
        </w:rPr>
        <w:t xml:space="preserve"> </w:t>
      </w:r>
      <w:r w:rsidR="002976A7" w:rsidRPr="002976A7">
        <w:rPr>
          <w:rFonts w:cs="Arial"/>
          <w:i/>
          <w:szCs w:val="20"/>
          <w:lang w:val="fr-CH" w:eastAsia="de-CH"/>
        </w:rPr>
        <w:t>santé, la sécurité et le bien-être des individus</w:t>
      </w:r>
      <w:r w:rsidR="002976A7">
        <w:rPr>
          <w:rFonts w:cs="Arial"/>
          <w:szCs w:val="20"/>
          <w:lang w:val="fr-CH" w:eastAsia="de-CH"/>
        </w:rPr>
        <w:t>"</w:t>
      </w:r>
      <w:r w:rsidR="00B67DF4">
        <w:rPr>
          <w:rStyle w:val="FootnoteReference"/>
          <w:rFonts w:cs="Arial"/>
          <w:szCs w:val="20"/>
          <w:lang w:val="fr-CH" w:eastAsia="de-CH"/>
        </w:rPr>
        <w:footnoteReference w:id="1"/>
      </w:r>
      <w:r w:rsidR="002976A7">
        <w:rPr>
          <w:szCs w:val="20"/>
          <w:lang w:val="fr-CH" w:eastAsia="de-CH"/>
        </w:rPr>
        <w:t>.</w:t>
      </w:r>
    </w:p>
    <w:p w14:paraId="06B327E9" w14:textId="565BF9C8" w:rsidR="004C3704" w:rsidRDefault="004C3704" w:rsidP="00852ABB">
      <w:pPr>
        <w:jc w:val="both"/>
        <w:rPr>
          <w:szCs w:val="20"/>
          <w:lang w:val="fr-CH" w:eastAsia="de-CH"/>
        </w:rPr>
      </w:pPr>
    </w:p>
    <w:p w14:paraId="218A5090" w14:textId="4E76DB91" w:rsidR="008F7B08" w:rsidRDefault="008F7B08" w:rsidP="0035258C">
      <w:pPr>
        <w:jc w:val="both"/>
        <w:rPr>
          <w:szCs w:val="20"/>
          <w:lang w:val="fr-CH" w:eastAsia="de-CH"/>
        </w:rPr>
      </w:pPr>
      <w:r>
        <w:rPr>
          <w:szCs w:val="20"/>
          <w:lang w:val="fr-CH" w:eastAsia="de-CH"/>
        </w:rPr>
        <w:t xml:space="preserve">La </w:t>
      </w:r>
      <w:r w:rsidR="004613EF">
        <w:rPr>
          <w:szCs w:val="20"/>
          <w:lang w:val="fr-CH" w:eastAsia="de-CH"/>
        </w:rPr>
        <w:t xml:space="preserve">construction équilibrée de la politique des quatre piliers et la </w:t>
      </w:r>
      <w:r>
        <w:rPr>
          <w:szCs w:val="20"/>
          <w:lang w:val="fr-CH" w:eastAsia="de-CH"/>
        </w:rPr>
        <w:t xml:space="preserve">présentation </w:t>
      </w:r>
      <w:r w:rsidR="004613EF">
        <w:rPr>
          <w:szCs w:val="20"/>
          <w:lang w:val="fr-CH" w:eastAsia="de-CH"/>
        </w:rPr>
        <w:t xml:space="preserve">de ses différentes facettes </w:t>
      </w:r>
      <w:r>
        <w:rPr>
          <w:szCs w:val="20"/>
          <w:lang w:val="fr-CH" w:eastAsia="de-CH"/>
        </w:rPr>
        <w:t>aux délégations étrangères permet</w:t>
      </w:r>
      <w:r w:rsidR="00132E0D">
        <w:rPr>
          <w:szCs w:val="20"/>
          <w:lang w:val="fr-CH" w:eastAsia="de-CH"/>
        </w:rPr>
        <w:t>tent</w:t>
      </w:r>
      <w:r>
        <w:rPr>
          <w:szCs w:val="20"/>
          <w:lang w:val="fr-CH" w:eastAsia="de-CH"/>
        </w:rPr>
        <w:t xml:space="preserve"> </w:t>
      </w:r>
      <w:r w:rsidR="0035258C">
        <w:rPr>
          <w:szCs w:val="20"/>
          <w:lang w:val="fr-CH" w:eastAsia="de-CH"/>
        </w:rPr>
        <w:t xml:space="preserve">de s’aligner aussi aux recommandations relatives à la </w:t>
      </w:r>
      <w:r w:rsidR="0035258C" w:rsidRPr="00870AEB">
        <w:rPr>
          <w:b/>
          <w:szCs w:val="20"/>
          <w:lang w:val="fr-CH" w:eastAsia="de-CH"/>
        </w:rPr>
        <w:t>proportionnalité des peines</w:t>
      </w:r>
      <w:r w:rsidR="0035258C">
        <w:rPr>
          <w:szCs w:val="20"/>
          <w:lang w:val="fr-CH" w:eastAsia="de-CH"/>
        </w:rPr>
        <w:t xml:space="preserve"> (</w:t>
      </w:r>
      <w:r w:rsidR="0035258C">
        <w:rPr>
          <w:rFonts w:cs="Arial"/>
          <w:szCs w:val="20"/>
          <w:lang w:val="fr-CH" w:eastAsia="de-CH"/>
        </w:rPr>
        <w:t>"</w:t>
      </w:r>
      <w:r w:rsidR="0035258C" w:rsidRPr="0035258C">
        <w:rPr>
          <w:i/>
          <w:szCs w:val="20"/>
          <w:lang w:val="fr-CH" w:eastAsia="de-CH"/>
        </w:rPr>
        <w:t>Promouvoir, concernant les infractions liées aux drogues, la mise en place de politiques, pratiques et directives nationales prévoyant l’imposition de peines proportionnées à la gravité des infractions</w:t>
      </w:r>
      <w:r w:rsidR="0035258C">
        <w:rPr>
          <w:rFonts w:cs="Arial"/>
          <w:szCs w:val="20"/>
          <w:lang w:val="fr-CH" w:eastAsia="de-CH"/>
        </w:rPr>
        <w:t>"</w:t>
      </w:r>
      <w:r w:rsidR="00B261F2">
        <w:rPr>
          <w:rStyle w:val="FootnoteReference"/>
          <w:rFonts w:cs="Arial"/>
          <w:szCs w:val="20"/>
          <w:lang w:val="fr-CH" w:eastAsia="de-CH"/>
        </w:rPr>
        <w:footnoteReference w:id="2"/>
      </w:r>
      <w:r w:rsidR="0035258C">
        <w:rPr>
          <w:szCs w:val="20"/>
          <w:lang w:val="fr-CH" w:eastAsia="de-CH"/>
        </w:rPr>
        <w:t>) et à la communication des expériences récoltées dans ce domaine. (</w:t>
      </w:r>
      <w:r w:rsidR="00596111">
        <w:rPr>
          <w:rFonts w:cs="Arial"/>
          <w:szCs w:val="20"/>
          <w:lang w:val="fr-CH" w:eastAsia="de-CH"/>
        </w:rPr>
        <w:t>"</w:t>
      </w:r>
      <w:r w:rsidR="0035258C" w:rsidRPr="0035258C">
        <w:rPr>
          <w:i/>
          <w:szCs w:val="20"/>
          <w:lang w:val="fr-CH" w:eastAsia="de-CH"/>
        </w:rPr>
        <w:t>Envisager de partager</w:t>
      </w:r>
      <w:r w:rsidR="0035258C">
        <w:rPr>
          <w:szCs w:val="20"/>
          <w:lang w:val="fr-CH" w:eastAsia="de-CH"/>
        </w:rPr>
        <w:t xml:space="preserve"> […]</w:t>
      </w:r>
      <w:r>
        <w:rPr>
          <w:szCs w:val="20"/>
          <w:lang w:val="fr-CH" w:eastAsia="de-CH"/>
        </w:rPr>
        <w:t xml:space="preserve"> </w:t>
      </w:r>
      <w:r w:rsidR="0035258C" w:rsidRPr="0035258C">
        <w:rPr>
          <w:i/>
          <w:szCs w:val="20"/>
          <w:lang w:val="fr-CH" w:eastAsia="de-CH"/>
        </w:rPr>
        <w:t>les pratiques internes appliquées en matière de proportionnalité de la peine</w:t>
      </w:r>
      <w:r w:rsidR="00596111">
        <w:rPr>
          <w:rFonts w:cs="Arial"/>
          <w:szCs w:val="20"/>
          <w:lang w:val="fr-CH" w:eastAsia="de-CH"/>
        </w:rPr>
        <w:t>"</w:t>
      </w:r>
      <w:r w:rsidR="00F42B0C">
        <w:rPr>
          <w:rStyle w:val="FootnoteReference"/>
          <w:rFonts w:cs="Arial"/>
          <w:szCs w:val="20"/>
          <w:lang w:val="fr-CH" w:eastAsia="de-CH"/>
        </w:rPr>
        <w:footnoteReference w:id="3"/>
      </w:r>
      <w:r w:rsidR="0035258C">
        <w:rPr>
          <w:szCs w:val="20"/>
          <w:lang w:val="fr-CH" w:eastAsia="de-CH"/>
        </w:rPr>
        <w:t xml:space="preserve">). </w:t>
      </w:r>
    </w:p>
    <w:p w14:paraId="170D1158" w14:textId="77777777" w:rsidR="008F7B08" w:rsidRPr="00596111" w:rsidRDefault="008F7B08" w:rsidP="00852ABB">
      <w:pPr>
        <w:jc w:val="both"/>
        <w:rPr>
          <w:szCs w:val="20"/>
          <w:lang w:val="fr-CH" w:eastAsia="de-CH"/>
        </w:rPr>
      </w:pPr>
    </w:p>
    <w:p w14:paraId="7145F2FA" w14:textId="0997040F" w:rsidR="008867DB" w:rsidRDefault="0062030E" w:rsidP="0062030E">
      <w:pPr>
        <w:jc w:val="both"/>
        <w:rPr>
          <w:szCs w:val="20"/>
          <w:lang w:val="fr-CH" w:eastAsia="de-CH"/>
        </w:rPr>
      </w:pPr>
      <w:r w:rsidRPr="00295F06">
        <w:rPr>
          <w:szCs w:val="20"/>
          <w:lang w:val="fr-CH" w:eastAsia="de-CH"/>
        </w:rPr>
        <w:t>Toujours dans le sill</w:t>
      </w:r>
      <w:r w:rsidR="004B5E33" w:rsidRPr="00295F06">
        <w:rPr>
          <w:szCs w:val="20"/>
          <w:lang w:val="fr-CH" w:eastAsia="de-CH"/>
        </w:rPr>
        <w:t>age</w:t>
      </w:r>
      <w:r w:rsidRPr="00295F06">
        <w:rPr>
          <w:szCs w:val="20"/>
          <w:lang w:val="fr-CH" w:eastAsia="de-CH"/>
        </w:rPr>
        <w:t xml:space="preserve"> </w:t>
      </w:r>
      <w:r w:rsidR="004B5E33" w:rsidRPr="00295F06">
        <w:rPr>
          <w:szCs w:val="20"/>
          <w:lang w:val="fr-CH" w:eastAsia="de-CH"/>
        </w:rPr>
        <w:t xml:space="preserve">du document final de l’UNGASS, </w:t>
      </w:r>
      <w:r w:rsidRPr="00295F06">
        <w:rPr>
          <w:szCs w:val="20"/>
          <w:lang w:val="fr-CH" w:eastAsia="de-CH"/>
        </w:rPr>
        <w:t xml:space="preserve">prônant une politique de la drogue plus centrée sur l’être humain et sur sa santé, </w:t>
      </w:r>
      <w:r w:rsidR="004B5E33" w:rsidRPr="00295F06">
        <w:rPr>
          <w:szCs w:val="20"/>
          <w:lang w:val="fr-CH" w:eastAsia="de-CH"/>
        </w:rPr>
        <w:t>la Suisse a développé</w:t>
      </w:r>
      <w:r w:rsidRPr="00295F06">
        <w:rPr>
          <w:szCs w:val="20"/>
          <w:lang w:val="fr-CH" w:eastAsia="de-CH"/>
        </w:rPr>
        <w:t xml:space="preserve"> au cours de ces dernières années une </w:t>
      </w:r>
      <w:r w:rsidRPr="00C22073">
        <w:rPr>
          <w:b/>
          <w:szCs w:val="20"/>
          <w:lang w:val="fr-CH" w:eastAsia="de-CH"/>
        </w:rPr>
        <w:t>nouvelle stratégie nationale en matière d’addictions</w:t>
      </w:r>
      <w:r w:rsidRPr="00295F06">
        <w:rPr>
          <w:szCs w:val="20"/>
          <w:lang w:val="fr-CH" w:eastAsia="de-CH"/>
        </w:rPr>
        <w:t xml:space="preserve"> 2017-2024 (Stratégie nationale Addictions). En particulier, la Stratégie nationale Addictions place la qualité de vie et la santé de la personne au centre de son action, avec des offres de conseil et de traitement ciblées visant également à endig</w:t>
      </w:r>
      <w:r w:rsidR="008867DB">
        <w:rPr>
          <w:szCs w:val="20"/>
          <w:lang w:val="fr-CH" w:eastAsia="de-CH"/>
        </w:rPr>
        <w:t>uer la propagation de maladies.</w:t>
      </w:r>
    </w:p>
    <w:p w14:paraId="24E73283" w14:textId="77777777" w:rsidR="008867DB" w:rsidRDefault="008867DB" w:rsidP="0062030E">
      <w:pPr>
        <w:jc w:val="both"/>
        <w:rPr>
          <w:szCs w:val="20"/>
          <w:lang w:val="fr-CH" w:eastAsia="de-CH"/>
        </w:rPr>
      </w:pPr>
    </w:p>
    <w:p w14:paraId="220ECBAC" w14:textId="4A2C69E4" w:rsidR="00EB56BB" w:rsidRDefault="0062030E" w:rsidP="0062030E">
      <w:pPr>
        <w:jc w:val="both"/>
        <w:rPr>
          <w:szCs w:val="20"/>
          <w:lang w:val="fr-CH" w:eastAsia="de-CH"/>
        </w:rPr>
      </w:pPr>
      <w:r w:rsidRPr="00295F06">
        <w:rPr>
          <w:szCs w:val="20"/>
          <w:lang w:val="fr-CH" w:eastAsia="de-CH"/>
        </w:rPr>
        <w:t>Cette stratégie est le fruit de l’effort conjoint des représentants des cantons, des villes, de la société civile ainsi que d'experts en santé publique et d'autres acteurs de la politique des addictions. Elle s’appuie sur les expériences acquises jusqu’ici et en assure la continuité notamment dans les domaines de la prévention, de la réduction des risques et du traitement de l’addiction.</w:t>
      </w:r>
      <w:r w:rsidR="00EB56BB">
        <w:rPr>
          <w:szCs w:val="20"/>
          <w:lang w:val="fr-CH" w:eastAsia="de-CH"/>
        </w:rPr>
        <w:t xml:space="preserve"> </w:t>
      </w:r>
      <w:r w:rsidR="0075034E">
        <w:rPr>
          <w:szCs w:val="20"/>
          <w:lang w:val="fr-CH" w:eastAsia="de-CH"/>
        </w:rPr>
        <w:t>Elle</w:t>
      </w:r>
      <w:r w:rsidR="00EB56BB">
        <w:rPr>
          <w:szCs w:val="20"/>
          <w:lang w:val="fr-CH" w:eastAsia="de-CH"/>
        </w:rPr>
        <w:t xml:space="preserve"> repose également sur l’identification précoce </w:t>
      </w:r>
      <w:r w:rsidR="0016709A">
        <w:rPr>
          <w:szCs w:val="20"/>
          <w:lang w:val="fr-CH" w:eastAsia="de-CH"/>
        </w:rPr>
        <w:t>des</w:t>
      </w:r>
      <w:r w:rsidR="00EB56BB">
        <w:rPr>
          <w:szCs w:val="20"/>
          <w:lang w:val="fr-CH" w:eastAsia="de-CH"/>
        </w:rPr>
        <w:t xml:space="preserve"> </w:t>
      </w:r>
      <w:r w:rsidR="0016709A" w:rsidRPr="00295F06">
        <w:rPr>
          <w:szCs w:val="20"/>
          <w:lang w:val="fr-CH" w:eastAsia="de-CH"/>
        </w:rPr>
        <w:t>groupes exposés au risque d’addiction</w:t>
      </w:r>
      <w:r w:rsidR="0016709A">
        <w:rPr>
          <w:szCs w:val="20"/>
          <w:lang w:val="fr-CH" w:eastAsia="de-CH"/>
        </w:rPr>
        <w:t xml:space="preserve"> et accorde une attention particulière </w:t>
      </w:r>
      <w:r w:rsidR="0016709A" w:rsidRPr="00295F06">
        <w:rPr>
          <w:szCs w:val="20"/>
          <w:lang w:val="fr-CH" w:eastAsia="de-CH"/>
        </w:rPr>
        <w:t>aux enfants et aux adolescents, aux personnes ayant un niveau d’éducation ou de revenus peu élevé, aux personnes âgées et aux migrants</w:t>
      </w:r>
      <w:r w:rsidR="0016709A">
        <w:rPr>
          <w:szCs w:val="20"/>
          <w:lang w:val="fr-CH" w:eastAsia="de-CH"/>
        </w:rPr>
        <w:t xml:space="preserve">. </w:t>
      </w:r>
    </w:p>
    <w:p w14:paraId="0B709F5C" w14:textId="58B8D69E" w:rsidR="008850A4" w:rsidRDefault="008850A4" w:rsidP="0062030E">
      <w:pPr>
        <w:jc w:val="both"/>
        <w:rPr>
          <w:szCs w:val="20"/>
          <w:lang w:val="fr-CH" w:eastAsia="de-CH"/>
        </w:rPr>
      </w:pPr>
    </w:p>
    <w:p w14:paraId="460E3F05" w14:textId="10942253" w:rsidR="008850A4" w:rsidRDefault="008850A4" w:rsidP="00DB0EE3">
      <w:pPr>
        <w:jc w:val="both"/>
        <w:rPr>
          <w:szCs w:val="20"/>
          <w:lang w:val="fr-CH" w:eastAsia="de-CH"/>
        </w:rPr>
      </w:pPr>
      <w:r w:rsidRPr="0016709A">
        <w:rPr>
          <w:szCs w:val="20"/>
          <w:lang w:val="fr-CH" w:eastAsia="de-CH"/>
        </w:rPr>
        <w:t>La mise en œuvre de la stratégie a débuté</w:t>
      </w:r>
      <w:r>
        <w:rPr>
          <w:szCs w:val="20"/>
          <w:lang w:val="fr-CH" w:eastAsia="de-CH"/>
        </w:rPr>
        <w:t xml:space="preserve"> en 2017 et répond à plusieurs recommandations issues de l’UNGASS, en particulier celle de </w:t>
      </w:r>
      <w:r>
        <w:rPr>
          <w:rFonts w:cs="Arial"/>
          <w:szCs w:val="20"/>
          <w:lang w:val="fr-CH" w:eastAsia="de-CH"/>
        </w:rPr>
        <w:t>"</w:t>
      </w:r>
      <w:r w:rsidRPr="008850A4">
        <w:rPr>
          <w:i/>
          <w:szCs w:val="20"/>
          <w:lang w:val="fr-CH" w:eastAsia="de-CH"/>
        </w:rPr>
        <w:t xml:space="preserve">prendre des mesures de prévention primaire efficaces et concrètes </w:t>
      </w:r>
      <w:r w:rsidRPr="008850A4">
        <w:rPr>
          <w:i/>
          <w:szCs w:val="20"/>
          <w:lang w:val="fr-CH" w:eastAsia="de-CH"/>
        </w:rPr>
        <w:lastRenderedPageBreak/>
        <w:t>pour protéger les personnes, en particulier les enfants et les jeunes, contre la première prise de drogue en leur fournissant des informations précises sur les risques que présente l’abus de drogues, en leur donnant des moyens et possibilités d’adopter des modes de vie sains</w:t>
      </w:r>
      <w:r>
        <w:rPr>
          <w:rFonts w:cs="Arial"/>
          <w:szCs w:val="20"/>
          <w:lang w:val="fr-CH" w:eastAsia="de-CH"/>
        </w:rPr>
        <w:t>"</w:t>
      </w:r>
      <w:r w:rsidR="00E516F9">
        <w:rPr>
          <w:rStyle w:val="FootnoteReference"/>
          <w:rFonts w:cs="Arial"/>
          <w:szCs w:val="20"/>
          <w:lang w:val="fr-CH" w:eastAsia="de-CH"/>
        </w:rPr>
        <w:footnoteReference w:id="4"/>
      </w:r>
      <w:r w:rsidR="00DB0EE3">
        <w:rPr>
          <w:szCs w:val="20"/>
          <w:lang w:val="fr-CH" w:eastAsia="de-CH"/>
        </w:rPr>
        <w:t>. Cette approche tient également compte de l’exigence de protéger les groupes de population plus fragiles (</w:t>
      </w:r>
      <w:r w:rsidR="008F7B08">
        <w:rPr>
          <w:rFonts w:cs="Arial"/>
          <w:szCs w:val="20"/>
          <w:lang w:val="fr-CH" w:eastAsia="de-CH"/>
        </w:rPr>
        <w:t>"</w:t>
      </w:r>
      <w:r w:rsidR="00DB0EE3" w:rsidRPr="00DB0EE3">
        <w:rPr>
          <w:i/>
          <w:szCs w:val="20"/>
          <w:lang w:val="fr-CH" w:eastAsia="de-CH"/>
        </w:rPr>
        <w:t>Accroître l’offre, la couverture et la qualité des mesures et dispositifs de prévention fondés sur des données scientifiques qui visent les groupes d’âge et de personnes à risque concernés dans divers milieux</w:t>
      </w:r>
      <w:r w:rsidR="008F7B08">
        <w:rPr>
          <w:rFonts w:cs="Arial"/>
          <w:szCs w:val="20"/>
          <w:lang w:val="fr-CH" w:eastAsia="de-CH"/>
        </w:rPr>
        <w:t>"</w:t>
      </w:r>
      <w:r w:rsidR="00B717C6">
        <w:rPr>
          <w:rStyle w:val="FootnoteReference"/>
          <w:szCs w:val="20"/>
          <w:lang w:val="fr-CH" w:eastAsia="de-CH"/>
        </w:rPr>
        <w:footnoteReference w:id="5"/>
      </w:r>
      <w:r w:rsidR="00DB0EE3">
        <w:rPr>
          <w:szCs w:val="20"/>
          <w:lang w:val="fr-CH" w:eastAsia="de-CH"/>
        </w:rPr>
        <w:t xml:space="preserve">).  </w:t>
      </w:r>
    </w:p>
    <w:p w14:paraId="2CA8378A" w14:textId="77777777" w:rsidR="00EB56BB" w:rsidRDefault="00EB56BB" w:rsidP="0062030E">
      <w:pPr>
        <w:jc w:val="both"/>
        <w:rPr>
          <w:szCs w:val="20"/>
          <w:lang w:val="fr-CH" w:eastAsia="de-CH"/>
        </w:rPr>
      </w:pPr>
    </w:p>
    <w:p w14:paraId="035C1039" w14:textId="758D4B8F" w:rsidR="00F42B0C" w:rsidRPr="00D3538E" w:rsidRDefault="00F42B0C" w:rsidP="00D3538E">
      <w:pPr>
        <w:jc w:val="both"/>
        <w:rPr>
          <w:szCs w:val="20"/>
          <w:lang w:val="fr-CH" w:eastAsia="de-CH"/>
        </w:rPr>
      </w:pPr>
      <w:r>
        <w:rPr>
          <w:szCs w:val="20"/>
          <w:lang w:val="fr-CH" w:eastAsia="de-CH"/>
        </w:rPr>
        <w:t xml:space="preserve">Ces quelques exemples </w:t>
      </w:r>
      <w:r w:rsidRPr="00F42B0C">
        <w:rPr>
          <w:szCs w:val="20"/>
          <w:lang w:val="fr-CH" w:eastAsia="de-CH"/>
        </w:rPr>
        <w:t xml:space="preserve">ne couvrent </w:t>
      </w:r>
      <w:r>
        <w:rPr>
          <w:szCs w:val="20"/>
          <w:lang w:val="fr-CH" w:eastAsia="de-CH"/>
        </w:rPr>
        <w:t xml:space="preserve">évidemment </w:t>
      </w:r>
      <w:r w:rsidRPr="00F42B0C">
        <w:rPr>
          <w:szCs w:val="20"/>
          <w:lang w:val="fr-CH" w:eastAsia="de-CH"/>
        </w:rPr>
        <w:t>pas de manière exhaustive</w:t>
      </w:r>
      <w:r>
        <w:rPr>
          <w:szCs w:val="20"/>
          <w:lang w:val="fr-CH" w:eastAsia="de-CH"/>
        </w:rPr>
        <w:t xml:space="preserve"> l’ensemble des efforts de la Suisse allant dans la direction indiquée lors de l’UNGASS. </w:t>
      </w:r>
      <w:r w:rsidR="008867DB">
        <w:rPr>
          <w:szCs w:val="20"/>
          <w:lang w:val="fr-CH" w:eastAsia="de-CH"/>
        </w:rPr>
        <w:t>I</w:t>
      </w:r>
      <w:r w:rsidRPr="00F42B0C">
        <w:rPr>
          <w:szCs w:val="20"/>
          <w:lang w:val="fr-CH" w:eastAsia="de-CH"/>
        </w:rPr>
        <w:t>l s'agit seulement d'un aperçu</w:t>
      </w:r>
      <w:r>
        <w:rPr>
          <w:szCs w:val="20"/>
          <w:lang w:val="fr-CH" w:eastAsia="de-CH"/>
        </w:rPr>
        <w:t xml:space="preserve"> </w:t>
      </w:r>
      <w:r w:rsidR="00D3538E" w:rsidRPr="00D3538E">
        <w:rPr>
          <w:szCs w:val="20"/>
          <w:lang w:val="fr-CH" w:eastAsia="de-CH"/>
        </w:rPr>
        <w:t>des éléments principaux</w:t>
      </w:r>
      <w:r w:rsidR="00D3538E">
        <w:rPr>
          <w:szCs w:val="20"/>
          <w:lang w:val="fr-CH" w:eastAsia="de-CH"/>
        </w:rPr>
        <w:t xml:space="preserve"> de notre engagement. </w:t>
      </w:r>
    </w:p>
    <w:sectPr w:rsidR="00F42B0C" w:rsidRPr="00D3538E" w:rsidSect="005760AE">
      <w:headerReference w:type="default" r:id="rId7"/>
      <w:footerReference w:type="default" r:id="rId8"/>
      <w:headerReference w:type="first" r:id="rId9"/>
      <w:footerReference w:type="first" r:id="rId10"/>
      <w:pgSz w:w="11906" w:h="16838" w:code="9"/>
      <w:pgMar w:top="340" w:right="1418" w:bottom="-851" w:left="1418" w:header="680"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F74C4" w14:textId="77777777" w:rsidR="00D53014" w:rsidRDefault="00D53014">
      <w:r>
        <w:separator/>
      </w:r>
    </w:p>
  </w:endnote>
  <w:endnote w:type="continuationSeparator" w:id="0">
    <w:p w14:paraId="740D7EBE" w14:textId="77777777" w:rsidR="00D53014" w:rsidRDefault="00D5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CellMar>
        <w:left w:w="70" w:type="dxa"/>
        <w:right w:w="70" w:type="dxa"/>
      </w:tblCellMar>
      <w:tblLook w:val="01E0" w:firstRow="1" w:lastRow="1" w:firstColumn="1" w:lastColumn="1" w:noHBand="0" w:noVBand="0"/>
    </w:tblPr>
    <w:tblGrid>
      <w:gridCol w:w="9781"/>
    </w:tblGrid>
    <w:tr w:rsidR="00C202FD" w14:paraId="20E3E887" w14:textId="77777777" w:rsidTr="00467B45">
      <w:trPr>
        <w:cantSplit/>
      </w:trPr>
      <w:tc>
        <w:tcPr>
          <w:tcW w:w="9781" w:type="dxa"/>
          <w:vAlign w:val="bottom"/>
        </w:tcPr>
        <w:p w14:paraId="5D6C5ACA" w14:textId="764FF696" w:rsidR="00C202FD" w:rsidRDefault="00C202FD">
          <w:pPr>
            <w:pStyle w:val="Seite"/>
          </w:pPr>
          <w:r>
            <w:fldChar w:fldCharType="begin"/>
          </w:r>
          <w:r>
            <w:instrText xml:space="preserve"> PAGE  </w:instrText>
          </w:r>
          <w:r>
            <w:fldChar w:fldCharType="separate"/>
          </w:r>
          <w:r w:rsidR="00BA1DAB">
            <w:rPr>
              <w:noProof/>
            </w:rPr>
            <w:t>2</w:t>
          </w:r>
          <w:r>
            <w:fldChar w:fldCharType="end"/>
          </w:r>
          <w:r>
            <w:t>/</w:t>
          </w:r>
          <w:r w:rsidR="00BA1DAB">
            <w:fldChar w:fldCharType="begin"/>
          </w:r>
          <w:r w:rsidR="00BA1DAB">
            <w:instrText xml:space="preserve"> NUMPAGES  </w:instrText>
          </w:r>
          <w:r w:rsidR="00BA1DAB">
            <w:fldChar w:fldCharType="separate"/>
          </w:r>
          <w:r w:rsidR="00BA1DAB">
            <w:rPr>
              <w:noProof/>
            </w:rPr>
            <w:t>2</w:t>
          </w:r>
          <w:r w:rsidR="00BA1DAB">
            <w:rPr>
              <w:noProof/>
            </w:rPr>
            <w:fldChar w:fldCharType="end"/>
          </w:r>
        </w:p>
      </w:tc>
    </w:tr>
  </w:tbl>
  <w:p w14:paraId="4C85B0FD" w14:textId="77777777" w:rsidR="00C202FD" w:rsidRPr="00F10A05" w:rsidRDefault="00C202FD">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992709822"/>
      <w:docPartObj>
        <w:docPartGallery w:val="Page Numbers (Bottom of Page)"/>
        <w:docPartUnique/>
      </w:docPartObj>
    </w:sdtPr>
    <w:sdtEndPr>
      <w:rPr>
        <w:noProof/>
      </w:rPr>
    </w:sdtEndPr>
    <w:sdtContent>
      <w:p w14:paraId="18B37E76" w14:textId="784B8C0E" w:rsidR="00A914F5" w:rsidRDefault="00A914F5">
        <w:pPr>
          <w:pStyle w:val="Footer"/>
          <w:jc w:val="right"/>
        </w:pPr>
        <w:r>
          <w:rPr>
            <w:noProof w:val="0"/>
          </w:rPr>
          <w:fldChar w:fldCharType="begin"/>
        </w:r>
        <w:r>
          <w:instrText xml:space="preserve"> PAGE   \* MERGEFORMAT </w:instrText>
        </w:r>
        <w:r>
          <w:rPr>
            <w:noProof w:val="0"/>
          </w:rPr>
          <w:fldChar w:fldCharType="separate"/>
        </w:r>
        <w:r w:rsidR="00BA1DAB">
          <w:t>1</w:t>
        </w:r>
        <w:r>
          <w:fldChar w:fldCharType="end"/>
        </w:r>
      </w:p>
    </w:sdtContent>
  </w:sdt>
  <w:p w14:paraId="390742A5" w14:textId="77777777" w:rsidR="00C202FD" w:rsidRPr="000175E3" w:rsidRDefault="00C202FD">
    <w:pPr>
      <w:pStyle w:val="Platzhal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B40F9" w14:textId="77777777" w:rsidR="00D53014" w:rsidRDefault="00D53014">
      <w:r>
        <w:separator/>
      </w:r>
    </w:p>
  </w:footnote>
  <w:footnote w:type="continuationSeparator" w:id="0">
    <w:p w14:paraId="283333A9" w14:textId="77777777" w:rsidR="00D53014" w:rsidRDefault="00D53014">
      <w:r>
        <w:continuationSeparator/>
      </w:r>
    </w:p>
  </w:footnote>
  <w:footnote w:id="1">
    <w:p w14:paraId="48045ADB" w14:textId="5D442F57" w:rsidR="00B67DF4" w:rsidRPr="00B67DF4" w:rsidRDefault="00B67DF4">
      <w:pPr>
        <w:pStyle w:val="FootnoteText"/>
        <w:rPr>
          <w:lang w:val="fr-CH"/>
        </w:rPr>
      </w:pPr>
      <w:r>
        <w:rPr>
          <w:rStyle w:val="FootnoteReference"/>
        </w:rPr>
        <w:footnoteRef/>
      </w:r>
      <w:r w:rsidRPr="00132E0D">
        <w:rPr>
          <w:lang w:val="fr-CH"/>
        </w:rPr>
        <w:t xml:space="preserve"> </w:t>
      </w:r>
      <w:r w:rsidR="00E516F9" w:rsidRPr="00132E0D">
        <w:rPr>
          <w:sz w:val="16"/>
          <w:szCs w:val="16"/>
          <w:lang w:val="fr-CH"/>
        </w:rPr>
        <w:t>Chapitre 4, recommendation a)</w:t>
      </w:r>
    </w:p>
  </w:footnote>
  <w:footnote w:id="2">
    <w:p w14:paraId="0FC29853" w14:textId="05C91A7B" w:rsidR="00B261F2" w:rsidRPr="00B261F2" w:rsidRDefault="00B261F2">
      <w:pPr>
        <w:pStyle w:val="FootnoteText"/>
        <w:rPr>
          <w:lang w:val="fr-CH"/>
        </w:rPr>
      </w:pPr>
      <w:r>
        <w:rPr>
          <w:rStyle w:val="FootnoteReference"/>
        </w:rPr>
        <w:footnoteRef/>
      </w:r>
      <w:r w:rsidRPr="00B717C6">
        <w:rPr>
          <w:lang w:val="fr-CH"/>
        </w:rPr>
        <w:t xml:space="preserve"> </w:t>
      </w:r>
      <w:r w:rsidRPr="00B261F2">
        <w:rPr>
          <w:sz w:val="16"/>
          <w:szCs w:val="16"/>
          <w:lang w:val="fr-CH"/>
        </w:rPr>
        <w:t>Chapitre</w:t>
      </w:r>
      <w:r>
        <w:rPr>
          <w:sz w:val="16"/>
          <w:szCs w:val="16"/>
          <w:lang w:val="fr-CH"/>
        </w:rPr>
        <w:t xml:space="preserve"> 4</w:t>
      </w:r>
      <w:r w:rsidRPr="00B261F2">
        <w:rPr>
          <w:sz w:val="16"/>
          <w:szCs w:val="16"/>
          <w:lang w:val="fr-CH"/>
        </w:rPr>
        <w:t>, recommandation l)</w:t>
      </w:r>
    </w:p>
  </w:footnote>
  <w:footnote w:id="3">
    <w:p w14:paraId="50525EF5" w14:textId="4E23F39F" w:rsidR="00F42B0C" w:rsidRPr="00F42B0C" w:rsidRDefault="00F42B0C">
      <w:pPr>
        <w:pStyle w:val="FootnoteText"/>
        <w:rPr>
          <w:lang w:val="fr-CH"/>
        </w:rPr>
      </w:pPr>
      <w:r>
        <w:rPr>
          <w:rStyle w:val="FootnoteReference"/>
        </w:rPr>
        <w:footnoteRef/>
      </w:r>
      <w:r w:rsidRPr="00F42B0C">
        <w:rPr>
          <w:lang w:val="fr-CH"/>
        </w:rPr>
        <w:t xml:space="preserve"> </w:t>
      </w:r>
      <w:r w:rsidRPr="00F42B0C">
        <w:rPr>
          <w:sz w:val="16"/>
          <w:szCs w:val="16"/>
          <w:lang w:val="fr-CH"/>
        </w:rPr>
        <w:t>Chapitre 4, recommandation k)</w:t>
      </w:r>
    </w:p>
  </w:footnote>
  <w:footnote w:id="4">
    <w:p w14:paraId="623E1683" w14:textId="14141E69" w:rsidR="00E516F9" w:rsidRPr="00E516F9" w:rsidRDefault="00E516F9">
      <w:pPr>
        <w:pStyle w:val="FootnoteText"/>
        <w:rPr>
          <w:lang w:val="fr-CH"/>
        </w:rPr>
      </w:pPr>
      <w:r>
        <w:rPr>
          <w:rStyle w:val="FootnoteReference"/>
        </w:rPr>
        <w:footnoteRef/>
      </w:r>
      <w:r w:rsidRPr="00B717C6">
        <w:rPr>
          <w:lang w:val="fr-CH"/>
        </w:rPr>
        <w:t xml:space="preserve"> </w:t>
      </w:r>
      <w:r w:rsidRPr="00E516F9">
        <w:rPr>
          <w:sz w:val="16"/>
          <w:szCs w:val="16"/>
          <w:lang w:val="fr-CH"/>
        </w:rPr>
        <w:t>Chapitre 1, recommandation a)</w:t>
      </w:r>
    </w:p>
  </w:footnote>
  <w:footnote w:id="5">
    <w:p w14:paraId="1DF57A55" w14:textId="77777777" w:rsidR="00B717C6" w:rsidRPr="00DB0EE3" w:rsidRDefault="00B717C6" w:rsidP="00B717C6">
      <w:pPr>
        <w:pStyle w:val="FootnoteText"/>
        <w:rPr>
          <w:lang w:val="fr-CH"/>
        </w:rPr>
      </w:pPr>
      <w:r>
        <w:rPr>
          <w:rStyle w:val="FootnoteReference"/>
        </w:rPr>
        <w:footnoteRef/>
      </w:r>
      <w:r w:rsidRPr="00B717C6">
        <w:rPr>
          <w:lang w:val="fr-CH"/>
        </w:rPr>
        <w:t xml:space="preserve"> </w:t>
      </w:r>
      <w:r w:rsidRPr="00DB0EE3">
        <w:rPr>
          <w:sz w:val="16"/>
          <w:szCs w:val="16"/>
          <w:lang w:val="fr-CH"/>
        </w:rPr>
        <w:t>Chapitre 1, recommandation 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C202FD" w14:paraId="12FFB7D2" w14:textId="77777777">
      <w:trPr>
        <w:cantSplit/>
        <w:trHeight w:hRule="exact" w:val="20"/>
      </w:trPr>
      <w:tc>
        <w:tcPr>
          <w:tcW w:w="4848" w:type="dxa"/>
        </w:tcPr>
        <w:p w14:paraId="51BDF570" w14:textId="77777777" w:rsidR="00C202FD" w:rsidRPr="00E534A0" w:rsidRDefault="00C202FD">
          <w:pPr>
            <w:pStyle w:val="Logo"/>
          </w:pPr>
        </w:p>
      </w:tc>
      <w:tc>
        <w:tcPr>
          <w:tcW w:w="4961" w:type="dxa"/>
        </w:tcPr>
        <w:p w14:paraId="7F7DAA6B" w14:textId="77777777" w:rsidR="00C202FD" w:rsidRPr="00D33E17" w:rsidRDefault="00C202FD">
          <w:pPr>
            <w:pStyle w:val="Header"/>
            <w:keepNext/>
          </w:pPr>
        </w:p>
      </w:tc>
    </w:tr>
  </w:tbl>
  <w:p w14:paraId="773BAAF5" w14:textId="77777777" w:rsidR="00C202FD" w:rsidRPr="00D33E17" w:rsidRDefault="00C202FD">
    <w:pPr>
      <w:pStyle w:val="Header"/>
      <w:spacing w:after="2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C202FD" w:rsidRPr="002E4A1E" w14:paraId="31E65720" w14:textId="77777777">
      <w:trPr>
        <w:cantSplit/>
        <w:trHeight w:hRule="exact" w:val="1800"/>
      </w:trPr>
      <w:tc>
        <w:tcPr>
          <w:tcW w:w="4848" w:type="dxa"/>
        </w:tcPr>
        <w:p w14:paraId="20E336DA" w14:textId="77777777" w:rsidR="00C202FD" w:rsidRDefault="00C202FD">
          <w:pPr>
            <w:pStyle w:val="Logo"/>
          </w:pPr>
          <w:r>
            <w:rPr>
              <w:lang w:val="en-GB" w:eastAsia="en-GB"/>
            </w:rPr>
            <w:drawing>
              <wp:inline distT="0" distB="0" distL="0" distR="0" wp14:anchorId="70FFBC7D" wp14:editId="1DEEF110">
                <wp:extent cx="2009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ln>
                          <a:noFill/>
                        </a:ln>
                      </pic:spPr>
                    </pic:pic>
                  </a:graphicData>
                </a:graphic>
              </wp:inline>
            </w:drawing>
          </w:r>
        </w:p>
      </w:tc>
      <w:tc>
        <w:tcPr>
          <w:tcW w:w="4961" w:type="dxa"/>
        </w:tcPr>
        <w:p w14:paraId="47BC012B" w14:textId="77777777" w:rsidR="00C202FD" w:rsidRPr="003E1FED" w:rsidRDefault="00C202FD">
          <w:pPr>
            <w:pStyle w:val="KopfDept"/>
            <w:rPr>
              <w:lang w:val="fr-FR"/>
            </w:rPr>
          </w:pPr>
          <w:r w:rsidRPr="003E1FED">
            <w:rPr>
              <w:lang w:val="fr-FR"/>
            </w:rPr>
            <w:t>Département fédéral des affaires étrangères DFAE</w:t>
          </w:r>
        </w:p>
        <w:p w14:paraId="12859C66" w14:textId="77777777" w:rsidR="00C202FD" w:rsidRPr="003E1FED" w:rsidRDefault="00C202FD">
          <w:pPr>
            <w:pStyle w:val="Header"/>
            <w:rPr>
              <w:b/>
              <w:lang w:val="fr-FR"/>
            </w:rPr>
          </w:pPr>
          <w:r>
            <w:rPr>
              <w:b/>
              <w:lang w:val="fr-FR"/>
            </w:rPr>
            <w:t xml:space="preserve">Direction politique DP </w:t>
          </w:r>
        </w:p>
        <w:p w14:paraId="2ACDBD5D" w14:textId="77777777" w:rsidR="00C202FD" w:rsidRPr="003E1FED" w:rsidRDefault="00C202FD">
          <w:pPr>
            <w:pStyle w:val="Header"/>
            <w:rPr>
              <w:lang w:val="fr-FR"/>
            </w:rPr>
          </w:pPr>
          <w:r>
            <w:rPr>
              <w:lang w:val="fr-FR"/>
            </w:rPr>
            <w:t xml:space="preserve">Division Nations Unies et organisations internationales </w:t>
          </w:r>
        </w:p>
      </w:tc>
    </w:tr>
  </w:tbl>
  <w:p w14:paraId="6CA94542" w14:textId="77777777" w:rsidR="00C202FD" w:rsidRPr="003E1FED" w:rsidRDefault="00C202FD">
    <w:pPr>
      <w:pStyle w:val="Header"/>
      <w:spacing w:before="57"/>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3EB7"/>
    <w:multiLevelType w:val="hybridMultilevel"/>
    <w:tmpl w:val="443E6AB0"/>
    <w:lvl w:ilvl="0" w:tplc="7D8AA5C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F76811"/>
    <w:multiLevelType w:val="hybridMultilevel"/>
    <w:tmpl w:val="427E4D84"/>
    <w:lvl w:ilvl="0" w:tplc="7D8AA5C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A71052"/>
    <w:multiLevelType w:val="hybridMultilevel"/>
    <w:tmpl w:val="8F8C6BF8"/>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 w15:restartNumberingAfterBreak="0">
    <w:nsid w:val="10B23920"/>
    <w:multiLevelType w:val="hybridMultilevel"/>
    <w:tmpl w:val="A2C61C92"/>
    <w:lvl w:ilvl="0" w:tplc="7D8AA5C0">
      <w:start w:val="1"/>
      <w:numFmt w:val="bullet"/>
      <w:lvlText w:val="-"/>
      <w:lvlJc w:val="left"/>
      <w:pPr>
        <w:ind w:left="720" w:hanging="360"/>
      </w:pPr>
      <w:rPr>
        <w:rFonts w:ascii="Arial" w:hAnsi="Aria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22A6960"/>
    <w:multiLevelType w:val="hybridMultilevel"/>
    <w:tmpl w:val="A300BA18"/>
    <w:lvl w:ilvl="0" w:tplc="7D8AA5C0">
      <w:start w:val="1"/>
      <w:numFmt w:val="bullet"/>
      <w:lvlText w:val="-"/>
      <w:lvlJc w:val="left"/>
      <w:pPr>
        <w:ind w:left="720" w:hanging="360"/>
      </w:pPr>
      <w:rPr>
        <w:rFonts w:ascii="Arial" w:hAnsi="Aria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0C23F24"/>
    <w:multiLevelType w:val="hybridMultilevel"/>
    <w:tmpl w:val="9D5C50FC"/>
    <w:lvl w:ilvl="0" w:tplc="283E2106">
      <w:start w:val="1"/>
      <w:numFmt w:val="decimal"/>
      <w:pStyle w:val="Heading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9274E1A"/>
    <w:multiLevelType w:val="multilevel"/>
    <w:tmpl w:val="5E7E7658"/>
    <w:lvl w:ilvl="0">
      <w:start w:val="1"/>
      <w:numFmt w:val="decimal"/>
      <w:lvlText w:val="%1."/>
      <w:lvlJc w:val="left"/>
      <w:pPr>
        <w:ind w:left="360" w:hanging="360"/>
      </w:pPr>
      <w:rPr>
        <w:rFonts w:hint="default"/>
      </w:rPr>
    </w:lvl>
    <w:lvl w:ilvl="1">
      <w:start w:val="1"/>
      <w:numFmt w:val="decimal"/>
      <w:pStyle w:val="Heading2"/>
      <w:lvlText w:val="%1.%2"/>
      <w:lvlJc w:val="left"/>
      <w:pPr>
        <w:tabs>
          <w:tab w:val="num" w:pos="576"/>
        </w:tabs>
        <w:ind w:left="576" w:hanging="576"/>
      </w:pPr>
      <w:rPr>
        <w:rFonts w:hint="default"/>
        <w:b/>
        <w:sz w:val="24"/>
        <w:szCs w:val="24"/>
      </w:rPr>
    </w:lvl>
    <w:lvl w:ilvl="2">
      <w:start w:val="1"/>
      <w:numFmt w:val="decimal"/>
      <w:pStyle w:val="Heading3"/>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4C91347"/>
    <w:multiLevelType w:val="hybridMultilevel"/>
    <w:tmpl w:val="2668C766"/>
    <w:lvl w:ilvl="0" w:tplc="7D8AA5C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895342"/>
    <w:multiLevelType w:val="hybridMultilevel"/>
    <w:tmpl w:val="AEE289D2"/>
    <w:lvl w:ilvl="0" w:tplc="7D8AA5C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085312"/>
    <w:multiLevelType w:val="hybridMultilevel"/>
    <w:tmpl w:val="53B81326"/>
    <w:lvl w:ilvl="0" w:tplc="7D8AA5C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31170A"/>
    <w:multiLevelType w:val="hybridMultilevel"/>
    <w:tmpl w:val="30127CC0"/>
    <w:lvl w:ilvl="0" w:tplc="7D8AA5C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B516E2"/>
    <w:multiLevelType w:val="hybridMultilevel"/>
    <w:tmpl w:val="1DE8C0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45C7110"/>
    <w:multiLevelType w:val="hybridMultilevel"/>
    <w:tmpl w:val="8BA23D42"/>
    <w:lvl w:ilvl="0" w:tplc="7D8AA5C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217224C"/>
    <w:multiLevelType w:val="hybridMultilevel"/>
    <w:tmpl w:val="31F88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8AC3114"/>
    <w:multiLevelType w:val="hybridMultilevel"/>
    <w:tmpl w:val="2676062E"/>
    <w:lvl w:ilvl="0" w:tplc="7D8AA5C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8729AC"/>
    <w:multiLevelType w:val="singleLevel"/>
    <w:tmpl w:val="08090011"/>
    <w:lvl w:ilvl="0">
      <w:start w:val="1"/>
      <w:numFmt w:val="decimal"/>
      <w:lvlText w:val="%1)"/>
      <w:lvlJc w:val="left"/>
      <w:pPr>
        <w:tabs>
          <w:tab w:val="num" w:pos="360"/>
        </w:tabs>
        <w:ind w:left="36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10"/>
  </w:num>
  <w:num w:numId="5">
    <w:abstractNumId w:val="14"/>
  </w:num>
  <w:num w:numId="6">
    <w:abstractNumId w:val="8"/>
  </w:num>
  <w:num w:numId="7">
    <w:abstractNumId w:val="1"/>
  </w:num>
  <w:num w:numId="8">
    <w:abstractNumId w:val="0"/>
  </w:num>
  <w:num w:numId="9">
    <w:abstractNumId w:val="7"/>
  </w:num>
  <w:num w:numId="10">
    <w:abstractNumId w:val="6"/>
  </w:num>
  <w:num w:numId="11">
    <w:abstractNumId w:val="15"/>
  </w:num>
  <w:num w:numId="12">
    <w:abstractNumId w:val="11"/>
  </w:num>
  <w:num w:numId="13">
    <w:abstractNumId w:val="5"/>
  </w:num>
  <w:num w:numId="14">
    <w:abstractNumId w:val="3"/>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2D"/>
    <w:rsid w:val="000028A8"/>
    <w:rsid w:val="000175E3"/>
    <w:rsid w:val="0002052D"/>
    <w:rsid w:val="0003547E"/>
    <w:rsid w:val="00040E20"/>
    <w:rsid w:val="000D0DB5"/>
    <w:rsid w:val="000F5833"/>
    <w:rsid w:val="00100528"/>
    <w:rsid w:val="001056CC"/>
    <w:rsid w:val="0011498A"/>
    <w:rsid w:val="00132E0D"/>
    <w:rsid w:val="00145B9C"/>
    <w:rsid w:val="00157F12"/>
    <w:rsid w:val="0016709A"/>
    <w:rsid w:val="001A5E7C"/>
    <w:rsid w:val="001B4F5C"/>
    <w:rsid w:val="001C2A59"/>
    <w:rsid w:val="001C5DD0"/>
    <w:rsid w:val="00295F06"/>
    <w:rsid w:val="002976A7"/>
    <w:rsid w:val="002A3414"/>
    <w:rsid w:val="002A5813"/>
    <w:rsid w:val="002E4A1E"/>
    <w:rsid w:val="0030749A"/>
    <w:rsid w:val="003443B0"/>
    <w:rsid w:val="0035258C"/>
    <w:rsid w:val="00375EF0"/>
    <w:rsid w:val="003A4AB4"/>
    <w:rsid w:val="0042115F"/>
    <w:rsid w:val="004613EF"/>
    <w:rsid w:val="00466431"/>
    <w:rsid w:val="00467B45"/>
    <w:rsid w:val="0047000A"/>
    <w:rsid w:val="004B5E33"/>
    <w:rsid w:val="004C3704"/>
    <w:rsid w:val="004D1B45"/>
    <w:rsid w:val="00526D77"/>
    <w:rsid w:val="00555AE6"/>
    <w:rsid w:val="0056230E"/>
    <w:rsid w:val="005760AE"/>
    <w:rsid w:val="00596111"/>
    <w:rsid w:val="00596450"/>
    <w:rsid w:val="005B34AA"/>
    <w:rsid w:val="005D3EC3"/>
    <w:rsid w:val="005E249D"/>
    <w:rsid w:val="005E5F31"/>
    <w:rsid w:val="005F525A"/>
    <w:rsid w:val="0062030E"/>
    <w:rsid w:val="00622B24"/>
    <w:rsid w:val="00624897"/>
    <w:rsid w:val="006474BA"/>
    <w:rsid w:val="006521D5"/>
    <w:rsid w:val="00657EB8"/>
    <w:rsid w:val="00662A3F"/>
    <w:rsid w:val="006765EC"/>
    <w:rsid w:val="00677DFE"/>
    <w:rsid w:val="006D500C"/>
    <w:rsid w:val="006E7F48"/>
    <w:rsid w:val="006F7608"/>
    <w:rsid w:val="0074484E"/>
    <w:rsid w:val="0075034E"/>
    <w:rsid w:val="0079539C"/>
    <w:rsid w:val="00796228"/>
    <w:rsid w:val="007C18C8"/>
    <w:rsid w:val="007E3BB0"/>
    <w:rsid w:val="00800CC7"/>
    <w:rsid w:val="00812C36"/>
    <w:rsid w:val="00842B79"/>
    <w:rsid w:val="00852ABB"/>
    <w:rsid w:val="00870AEB"/>
    <w:rsid w:val="008850A4"/>
    <w:rsid w:val="008867DB"/>
    <w:rsid w:val="00887884"/>
    <w:rsid w:val="008B1E4F"/>
    <w:rsid w:val="008E3999"/>
    <w:rsid w:val="008F0EBE"/>
    <w:rsid w:val="008F7303"/>
    <w:rsid w:val="008F7B08"/>
    <w:rsid w:val="009071E2"/>
    <w:rsid w:val="00946822"/>
    <w:rsid w:val="0095262D"/>
    <w:rsid w:val="00962F06"/>
    <w:rsid w:val="009948A4"/>
    <w:rsid w:val="009A1A24"/>
    <w:rsid w:val="009B67F7"/>
    <w:rsid w:val="009C0D33"/>
    <w:rsid w:val="009E2E88"/>
    <w:rsid w:val="009F6395"/>
    <w:rsid w:val="00A41AFC"/>
    <w:rsid w:val="00A528AB"/>
    <w:rsid w:val="00A80772"/>
    <w:rsid w:val="00A84E66"/>
    <w:rsid w:val="00A914F5"/>
    <w:rsid w:val="00AF246E"/>
    <w:rsid w:val="00B261F2"/>
    <w:rsid w:val="00B26B5C"/>
    <w:rsid w:val="00B413AC"/>
    <w:rsid w:val="00B45680"/>
    <w:rsid w:val="00B61714"/>
    <w:rsid w:val="00B67DF4"/>
    <w:rsid w:val="00B717C6"/>
    <w:rsid w:val="00B8196B"/>
    <w:rsid w:val="00B9612D"/>
    <w:rsid w:val="00B97F4A"/>
    <w:rsid w:val="00BA1DAB"/>
    <w:rsid w:val="00BB21EF"/>
    <w:rsid w:val="00BB5733"/>
    <w:rsid w:val="00C202FD"/>
    <w:rsid w:val="00C22073"/>
    <w:rsid w:val="00C24536"/>
    <w:rsid w:val="00CB543A"/>
    <w:rsid w:val="00D2121C"/>
    <w:rsid w:val="00D27A69"/>
    <w:rsid w:val="00D3538E"/>
    <w:rsid w:val="00D44002"/>
    <w:rsid w:val="00D53014"/>
    <w:rsid w:val="00DB0EE3"/>
    <w:rsid w:val="00DC39B8"/>
    <w:rsid w:val="00E456FC"/>
    <w:rsid w:val="00E516F9"/>
    <w:rsid w:val="00EA6AEC"/>
    <w:rsid w:val="00EB56BB"/>
    <w:rsid w:val="00EF7D7D"/>
    <w:rsid w:val="00F22871"/>
    <w:rsid w:val="00F23750"/>
    <w:rsid w:val="00F24FD6"/>
    <w:rsid w:val="00F42B0C"/>
    <w:rsid w:val="00F5537B"/>
    <w:rsid w:val="00F642FE"/>
    <w:rsid w:val="00F66B7E"/>
    <w:rsid w:val="00FA3588"/>
    <w:rsid w:val="00FA6D0A"/>
    <w:rsid w:val="00FD3218"/>
    <w:rsid w:val="00FD4AF1"/>
    <w:rsid w:val="00FD6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7EAECB"/>
  <w15:docId w15:val="{97DB19F3-906C-4ACD-B0BB-22705FAE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CBB"/>
    <w:rPr>
      <w:rFonts w:ascii="Arial" w:eastAsiaTheme="minorEastAsia" w:hAnsi="Arial"/>
      <w:szCs w:val="24"/>
    </w:rPr>
  </w:style>
  <w:style w:type="paragraph" w:styleId="Heading1">
    <w:name w:val="heading 1"/>
    <w:basedOn w:val="ListParagraph"/>
    <w:next w:val="Normal"/>
    <w:link w:val="Heading1Char"/>
    <w:qFormat/>
    <w:rsid w:val="00796228"/>
    <w:pPr>
      <w:numPr>
        <w:numId w:val="13"/>
      </w:numPr>
      <w:outlineLvl w:val="0"/>
    </w:pPr>
    <w:rPr>
      <w:b/>
      <w:szCs w:val="20"/>
      <w:lang w:val="de-CH" w:eastAsia="de-CH"/>
    </w:rPr>
  </w:style>
  <w:style w:type="paragraph" w:styleId="Heading2">
    <w:name w:val="heading 2"/>
    <w:basedOn w:val="Heading1"/>
    <w:next w:val="Normal"/>
    <w:link w:val="Heading2Char"/>
    <w:qFormat/>
    <w:rsid w:val="00796228"/>
    <w:pPr>
      <w:numPr>
        <w:ilvl w:val="1"/>
        <w:numId w:val="10"/>
      </w:numPr>
      <w:spacing w:before="120" w:line="260" w:lineRule="atLeast"/>
      <w:outlineLvl w:val="1"/>
    </w:pPr>
    <w:rPr>
      <w:bCs/>
    </w:rPr>
  </w:style>
  <w:style w:type="paragraph" w:styleId="Heading3">
    <w:name w:val="heading 3"/>
    <w:basedOn w:val="Heading2"/>
    <w:next w:val="Normal"/>
    <w:link w:val="Heading3Char"/>
    <w:qFormat/>
    <w:rsid w:val="00796228"/>
    <w:pPr>
      <w:numPr>
        <w:ilvl w:val="2"/>
      </w:numPr>
      <w:outlineLvl w:val="2"/>
    </w:pPr>
    <w:rPr>
      <w:rFonts w:cs="Arial"/>
      <w:bCs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5833"/>
    <w:pPr>
      <w:suppressAutoHyphens/>
      <w:spacing w:line="200" w:lineRule="exact"/>
    </w:pPr>
    <w:rPr>
      <w:noProof/>
      <w:sz w:val="15"/>
    </w:rPr>
  </w:style>
  <w:style w:type="paragraph" w:styleId="Footer">
    <w:name w:val="footer"/>
    <w:basedOn w:val="Normal"/>
    <w:link w:val="FooterChar"/>
    <w:uiPriority w:val="99"/>
    <w:rsid w:val="000F5833"/>
    <w:pPr>
      <w:suppressAutoHyphens/>
      <w:spacing w:line="200" w:lineRule="exact"/>
    </w:pPr>
    <w:rPr>
      <w:noProof/>
      <w:sz w:val="15"/>
      <w:szCs w:val="15"/>
    </w:rPr>
  </w:style>
  <w:style w:type="paragraph" w:customStyle="1" w:styleId="Logo">
    <w:name w:val="Logo"/>
    <w:rsid w:val="000F5833"/>
    <w:rPr>
      <w:rFonts w:ascii="Arial" w:hAnsi="Arial"/>
      <w:noProof/>
      <w:sz w:val="15"/>
      <w:lang w:val="de-CH" w:eastAsia="de-CH"/>
    </w:rPr>
  </w:style>
  <w:style w:type="paragraph" w:customStyle="1" w:styleId="Pfad">
    <w:name w:val="Pfad"/>
    <w:next w:val="Footer"/>
    <w:rsid w:val="000F5833"/>
    <w:pPr>
      <w:spacing w:line="160" w:lineRule="exact"/>
    </w:pPr>
    <w:rPr>
      <w:rFonts w:ascii="Arial" w:hAnsi="Arial"/>
      <w:noProof/>
      <w:sz w:val="12"/>
      <w:szCs w:val="12"/>
      <w:lang w:val="de-CH" w:eastAsia="de-CH"/>
    </w:rPr>
  </w:style>
  <w:style w:type="paragraph" w:customStyle="1" w:styleId="Seite">
    <w:name w:val="Seite"/>
    <w:basedOn w:val="Normal"/>
    <w:rsid w:val="000F5833"/>
    <w:pPr>
      <w:suppressAutoHyphens/>
      <w:spacing w:line="200" w:lineRule="exact"/>
      <w:jc w:val="right"/>
    </w:pPr>
    <w:rPr>
      <w:sz w:val="14"/>
      <w:szCs w:val="14"/>
    </w:rPr>
  </w:style>
  <w:style w:type="paragraph" w:customStyle="1" w:styleId="Platzhalter">
    <w:name w:val="Platzhalter"/>
    <w:basedOn w:val="Normal"/>
    <w:rsid w:val="000F5833"/>
    <w:rPr>
      <w:sz w:val="2"/>
      <w:szCs w:val="2"/>
    </w:rPr>
  </w:style>
  <w:style w:type="paragraph" w:customStyle="1" w:styleId="KopfDept">
    <w:name w:val="KopfDept"/>
    <w:basedOn w:val="Header"/>
    <w:next w:val="Normal"/>
    <w:rsid w:val="000F5833"/>
    <w:pPr>
      <w:spacing w:after="100"/>
      <w:contextualSpacing/>
    </w:pPr>
  </w:style>
  <w:style w:type="paragraph" w:styleId="BalloonText">
    <w:name w:val="Balloon Text"/>
    <w:basedOn w:val="Normal"/>
    <w:link w:val="BalloonTextChar"/>
    <w:uiPriority w:val="99"/>
    <w:semiHidden/>
    <w:unhideWhenUsed/>
    <w:rsid w:val="00B9612D"/>
    <w:rPr>
      <w:rFonts w:ascii="Tahoma" w:hAnsi="Tahoma" w:cs="Tahoma"/>
      <w:sz w:val="16"/>
      <w:szCs w:val="16"/>
    </w:rPr>
  </w:style>
  <w:style w:type="character" w:customStyle="1" w:styleId="BalloonTextChar">
    <w:name w:val="Balloon Text Char"/>
    <w:basedOn w:val="DefaultParagraphFont"/>
    <w:link w:val="BalloonText"/>
    <w:uiPriority w:val="99"/>
    <w:semiHidden/>
    <w:rsid w:val="00B9612D"/>
    <w:rPr>
      <w:rFonts w:ascii="Tahoma" w:hAnsi="Tahoma" w:cs="Tahoma"/>
      <w:sz w:val="16"/>
      <w:szCs w:val="16"/>
      <w:lang w:val="de-CH" w:eastAsia="de-CH"/>
    </w:rPr>
  </w:style>
  <w:style w:type="paragraph" w:styleId="FootnoteText">
    <w:name w:val="footnote text"/>
    <w:basedOn w:val="Normal"/>
    <w:link w:val="FootnoteTextChar"/>
    <w:uiPriority w:val="99"/>
    <w:semiHidden/>
    <w:unhideWhenUsed/>
    <w:rsid w:val="00FD6CBB"/>
    <w:rPr>
      <w:szCs w:val="20"/>
    </w:rPr>
  </w:style>
  <w:style w:type="character" w:customStyle="1" w:styleId="FootnoteTextChar">
    <w:name w:val="Footnote Text Char"/>
    <w:basedOn w:val="DefaultParagraphFont"/>
    <w:link w:val="FootnoteText"/>
    <w:uiPriority w:val="99"/>
    <w:semiHidden/>
    <w:rsid w:val="00FD6CBB"/>
    <w:rPr>
      <w:rFonts w:ascii="Arial" w:eastAsiaTheme="minorEastAsia" w:hAnsi="Arial"/>
    </w:rPr>
  </w:style>
  <w:style w:type="paragraph" w:styleId="ListParagraph">
    <w:name w:val="List Paragraph"/>
    <w:basedOn w:val="Normal"/>
    <w:uiPriority w:val="34"/>
    <w:qFormat/>
    <w:rsid w:val="00FD6CBB"/>
    <w:pPr>
      <w:ind w:left="720"/>
      <w:contextualSpacing/>
    </w:pPr>
  </w:style>
  <w:style w:type="character" w:styleId="FootnoteReference">
    <w:name w:val="footnote reference"/>
    <w:basedOn w:val="DefaultParagraphFont"/>
    <w:uiPriority w:val="99"/>
    <w:semiHidden/>
    <w:unhideWhenUsed/>
    <w:rsid w:val="00FD6CBB"/>
    <w:rPr>
      <w:vertAlign w:val="superscript"/>
    </w:rPr>
  </w:style>
  <w:style w:type="table" w:styleId="TableGrid">
    <w:name w:val="Table Grid"/>
    <w:basedOn w:val="TableNormal"/>
    <w:uiPriority w:val="59"/>
    <w:rsid w:val="008B1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6228"/>
    <w:rPr>
      <w:rFonts w:ascii="Arial" w:eastAsiaTheme="minorEastAsia" w:hAnsi="Arial"/>
      <w:b/>
      <w:lang w:val="de-CH" w:eastAsia="de-CH"/>
    </w:rPr>
  </w:style>
  <w:style w:type="character" w:customStyle="1" w:styleId="Heading2Char">
    <w:name w:val="Heading 2 Char"/>
    <w:basedOn w:val="DefaultParagraphFont"/>
    <w:link w:val="Heading2"/>
    <w:rsid w:val="00796228"/>
    <w:rPr>
      <w:rFonts w:ascii="Arial" w:hAnsi="Arial"/>
      <w:b/>
      <w:sz w:val="24"/>
      <w:szCs w:val="24"/>
      <w:shd w:val="clear" w:color="auto" w:fill="B8CCE4"/>
      <w:lang w:val="de-CH" w:eastAsia="en-US"/>
    </w:rPr>
  </w:style>
  <w:style w:type="character" w:customStyle="1" w:styleId="Heading3Char">
    <w:name w:val="Heading 3 Char"/>
    <w:basedOn w:val="DefaultParagraphFont"/>
    <w:link w:val="Heading3"/>
    <w:rsid w:val="00796228"/>
    <w:rPr>
      <w:rFonts w:ascii="Arial" w:hAnsi="Arial" w:cs="Arial"/>
      <w:b/>
      <w:bCs/>
      <w:sz w:val="22"/>
      <w:szCs w:val="26"/>
      <w:shd w:val="clear" w:color="auto" w:fill="B8CCE4"/>
      <w:lang w:val="de-CH" w:eastAsia="en-US"/>
    </w:rPr>
  </w:style>
  <w:style w:type="paragraph" w:customStyle="1" w:styleId="zzRef">
    <w:name w:val="zz Ref"/>
    <w:next w:val="Normal"/>
    <w:rsid w:val="00796228"/>
    <w:pPr>
      <w:spacing w:line="200" w:lineRule="exact"/>
    </w:pPr>
    <w:rPr>
      <w:rFonts w:ascii="Arial" w:hAnsi="Arial"/>
      <w:sz w:val="15"/>
      <w:lang w:val="de-CH" w:eastAsia="de-CH"/>
    </w:rPr>
  </w:style>
  <w:style w:type="paragraph" w:customStyle="1" w:styleId="zzKopfDept">
    <w:name w:val="zz KopfDept"/>
    <w:next w:val="Normal"/>
    <w:rsid w:val="00796228"/>
    <w:pPr>
      <w:suppressAutoHyphens/>
      <w:spacing w:after="100" w:line="200" w:lineRule="exact"/>
      <w:contextualSpacing/>
    </w:pPr>
    <w:rPr>
      <w:rFonts w:ascii="Arial" w:hAnsi="Arial"/>
      <w:noProof/>
      <w:sz w:val="15"/>
      <w:lang w:val="de-CH" w:eastAsia="de-CH"/>
    </w:rPr>
  </w:style>
  <w:style w:type="paragraph" w:customStyle="1" w:styleId="zzKopfFett">
    <w:name w:val="zz KopfFett"/>
    <w:next w:val="Normal"/>
    <w:rsid w:val="00796228"/>
    <w:pPr>
      <w:suppressAutoHyphens/>
      <w:spacing w:line="200" w:lineRule="exact"/>
    </w:pPr>
    <w:rPr>
      <w:rFonts w:ascii="Arial" w:hAnsi="Arial"/>
      <w:b/>
      <w:noProof/>
      <w:sz w:val="15"/>
      <w:lang w:val="de-CH" w:eastAsia="de-CH"/>
    </w:rPr>
  </w:style>
  <w:style w:type="paragraph" w:customStyle="1" w:styleId="zzKopfOE">
    <w:name w:val="zz KopfOE"/>
    <w:rsid w:val="00796228"/>
    <w:pPr>
      <w:spacing w:line="200" w:lineRule="exact"/>
    </w:pPr>
    <w:rPr>
      <w:rFonts w:ascii="Arial" w:hAnsi="Arial"/>
      <w:noProof/>
      <w:sz w:val="15"/>
      <w:szCs w:val="24"/>
      <w:lang w:val="de-CH" w:eastAsia="de-DE"/>
    </w:rPr>
  </w:style>
  <w:style w:type="paragraph" w:customStyle="1" w:styleId="zzPfad">
    <w:name w:val="zz Pfad"/>
    <w:basedOn w:val="Normal"/>
    <w:rsid w:val="00796228"/>
    <w:pPr>
      <w:tabs>
        <w:tab w:val="center" w:pos="4320"/>
        <w:tab w:val="right" w:pos="8640"/>
      </w:tabs>
      <w:spacing w:line="160" w:lineRule="exact"/>
    </w:pPr>
    <w:rPr>
      <w:rFonts w:eastAsia="Times New Roman"/>
      <w:bCs/>
      <w:noProof/>
      <w:sz w:val="14"/>
      <w:lang w:val="de-CH" w:eastAsia="de-DE"/>
    </w:rPr>
  </w:style>
  <w:style w:type="paragraph" w:customStyle="1" w:styleId="zzFussAdr">
    <w:name w:val="zz FussAdr"/>
    <w:rsid w:val="00796228"/>
    <w:pPr>
      <w:spacing w:line="200" w:lineRule="exact"/>
    </w:pPr>
    <w:rPr>
      <w:rFonts w:ascii="Arial" w:hAnsi="Arial"/>
      <w:noProof/>
      <w:sz w:val="15"/>
      <w:szCs w:val="24"/>
      <w:lang w:val="de-CH" w:eastAsia="de-DE"/>
    </w:rPr>
  </w:style>
  <w:style w:type="paragraph" w:customStyle="1" w:styleId="zzSeite">
    <w:name w:val="zz Seite"/>
    <w:rsid w:val="00796228"/>
    <w:pPr>
      <w:spacing w:line="200" w:lineRule="exact"/>
      <w:jc w:val="right"/>
    </w:pPr>
    <w:rPr>
      <w:rFonts w:ascii="Arial" w:hAnsi="Arial"/>
      <w:sz w:val="14"/>
      <w:szCs w:val="24"/>
      <w:lang w:val="de-CH" w:eastAsia="en-US"/>
    </w:rPr>
  </w:style>
  <w:style w:type="paragraph" w:styleId="BodyText">
    <w:name w:val="Body Text"/>
    <w:basedOn w:val="Normal"/>
    <w:link w:val="BodyTextChar"/>
    <w:rsid w:val="00796228"/>
    <w:pPr>
      <w:widowControl w:val="0"/>
      <w:autoSpaceDE w:val="0"/>
      <w:autoSpaceDN w:val="0"/>
      <w:adjustRightInd w:val="0"/>
      <w:spacing w:line="260" w:lineRule="exact"/>
      <w:jc w:val="both"/>
    </w:pPr>
    <w:rPr>
      <w:rFonts w:eastAsia="Times New Roman"/>
      <w:sz w:val="22"/>
      <w:szCs w:val="20"/>
      <w:lang w:val="de-CH" w:eastAsia="de-CH"/>
    </w:rPr>
  </w:style>
  <w:style w:type="character" w:customStyle="1" w:styleId="BodyTextChar">
    <w:name w:val="Body Text Char"/>
    <w:basedOn w:val="DefaultParagraphFont"/>
    <w:link w:val="BodyText"/>
    <w:rsid w:val="00796228"/>
    <w:rPr>
      <w:rFonts w:ascii="Arial" w:hAnsi="Arial"/>
      <w:sz w:val="22"/>
      <w:lang w:val="de-CH" w:eastAsia="de-CH"/>
    </w:rPr>
  </w:style>
  <w:style w:type="paragraph" w:styleId="BodyText2">
    <w:name w:val="Body Text 2"/>
    <w:basedOn w:val="Normal"/>
    <w:link w:val="BodyText2Char"/>
    <w:rsid w:val="00796228"/>
    <w:pPr>
      <w:jc w:val="both"/>
    </w:pPr>
    <w:rPr>
      <w:rFonts w:eastAsia="Times New Roman" w:cs="Arial"/>
      <w:b/>
      <w:bCs/>
      <w:sz w:val="24"/>
      <w:lang w:val="en-GB" w:eastAsia="fr-FR"/>
    </w:rPr>
  </w:style>
  <w:style w:type="character" w:customStyle="1" w:styleId="BodyText2Char">
    <w:name w:val="Body Text 2 Char"/>
    <w:basedOn w:val="DefaultParagraphFont"/>
    <w:link w:val="BodyText2"/>
    <w:rsid w:val="00796228"/>
    <w:rPr>
      <w:rFonts w:ascii="Arial" w:hAnsi="Arial" w:cs="Arial"/>
      <w:b/>
      <w:bCs/>
      <w:sz w:val="24"/>
      <w:szCs w:val="24"/>
      <w:lang w:val="en-GB" w:eastAsia="fr-FR"/>
    </w:rPr>
  </w:style>
  <w:style w:type="character" w:customStyle="1" w:styleId="HeaderChar">
    <w:name w:val="Header Char"/>
    <w:basedOn w:val="DefaultParagraphFont"/>
    <w:link w:val="Header"/>
    <w:rsid w:val="00796228"/>
    <w:rPr>
      <w:rFonts w:ascii="Arial" w:eastAsiaTheme="minorEastAsia" w:hAnsi="Arial"/>
      <w:noProof/>
      <w:sz w:val="15"/>
      <w:szCs w:val="24"/>
    </w:rPr>
  </w:style>
  <w:style w:type="character" w:customStyle="1" w:styleId="FooterChar">
    <w:name w:val="Footer Char"/>
    <w:basedOn w:val="DefaultParagraphFont"/>
    <w:link w:val="Footer"/>
    <w:uiPriority w:val="99"/>
    <w:rsid w:val="00796228"/>
    <w:rPr>
      <w:rFonts w:ascii="Arial" w:eastAsiaTheme="minorEastAsia" w:hAnsi="Arial"/>
      <w:noProof/>
      <w:sz w:val="15"/>
      <w:szCs w:val="15"/>
    </w:rPr>
  </w:style>
  <w:style w:type="character" w:styleId="CommentReference">
    <w:name w:val="annotation reference"/>
    <w:basedOn w:val="DefaultParagraphFont"/>
    <w:uiPriority w:val="99"/>
    <w:semiHidden/>
    <w:unhideWhenUsed/>
    <w:rsid w:val="00887884"/>
    <w:rPr>
      <w:sz w:val="16"/>
      <w:szCs w:val="16"/>
    </w:rPr>
  </w:style>
  <w:style w:type="paragraph" w:styleId="CommentText">
    <w:name w:val="annotation text"/>
    <w:basedOn w:val="Normal"/>
    <w:link w:val="CommentTextChar"/>
    <w:uiPriority w:val="99"/>
    <w:semiHidden/>
    <w:unhideWhenUsed/>
    <w:rsid w:val="00887884"/>
    <w:rPr>
      <w:szCs w:val="20"/>
    </w:rPr>
  </w:style>
  <w:style w:type="character" w:customStyle="1" w:styleId="CommentTextChar">
    <w:name w:val="Comment Text Char"/>
    <w:basedOn w:val="DefaultParagraphFont"/>
    <w:link w:val="CommentText"/>
    <w:uiPriority w:val="99"/>
    <w:semiHidden/>
    <w:rsid w:val="00887884"/>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887884"/>
    <w:rPr>
      <w:b/>
      <w:bCs/>
    </w:rPr>
  </w:style>
  <w:style w:type="character" w:customStyle="1" w:styleId="CommentSubjectChar">
    <w:name w:val="Comment Subject Char"/>
    <w:basedOn w:val="CommentTextChar"/>
    <w:link w:val="CommentSubject"/>
    <w:uiPriority w:val="99"/>
    <w:semiHidden/>
    <w:rsid w:val="00887884"/>
    <w:rPr>
      <w:rFonts w:ascii="Arial" w:eastAsiaTheme="minorEastAsia"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768715">
      <w:bodyDiv w:val="1"/>
      <w:marLeft w:val="0"/>
      <w:marRight w:val="0"/>
      <w:marTop w:val="0"/>
      <w:marBottom w:val="0"/>
      <w:divBdr>
        <w:top w:val="none" w:sz="0" w:space="0" w:color="auto"/>
        <w:left w:val="none" w:sz="0" w:space="0" w:color="auto"/>
        <w:bottom w:val="none" w:sz="0" w:space="0" w:color="auto"/>
        <w:right w:val="none" w:sz="0" w:space="0" w:color="auto"/>
      </w:divBdr>
    </w:div>
    <w:div w:id="715348992">
      <w:bodyDiv w:val="1"/>
      <w:marLeft w:val="0"/>
      <w:marRight w:val="0"/>
      <w:marTop w:val="0"/>
      <w:marBottom w:val="0"/>
      <w:divBdr>
        <w:top w:val="none" w:sz="0" w:space="0" w:color="auto"/>
        <w:left w:val="none" w:sz="0" w:space="0" w:color="auto"/>
        <w:bottom w:val="none" w:sz="0" w:space="0" w:color="auto"/>
        <w:right w:val="none" w:sz="0" w:space="0" w:color="auto"/>
      </w:divBdr>
    </w:div>
    <w:div w:id="7836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62F596-53BA-4CB8-819F-F56BC30905F8}"/>
</file>

<file path=customXml/itemProps2.xml><?xml version="1.0" encoding="utf-8"?>
<ds:datastoreItem xmlns:ds="http://schemas.openxmlformats.org/officeDocument/2006/customXml" ds:itemID="{B533327E-D974-4FA5-8BC1-4CB334D6E844}"/>
</file>

<file path=customXml/itemProps3.xml><?xml version="1.0" encoding="utf-8"?>
<ds:datastoreItem xmlns:ds="http://schemas.openxmlformats.org/officeDocument/2006/customXml" ds:itemID="{F0E0CD46-D8C9-431A-86F0-D73687DB63D1}"/>
</file>

<file path=docProps/app.xml><?xml version="1.0" encoding="utf-8"?>
<Properties xmlns="http://schemas.openxmlformats.org/officeDocument/2006/extended-properties" xmlns:vt="http://schemas.openxmlformats.org/officeDocument/2006/docPropsVTypes">
  <Template>Normal.dotm</Template>
  <TotalTime>1</TotalTime>
  <Pages>2</Pages>
  <Words>1252</Words>
  <Characters>6922</Characters>
  <Application>Microsoft Office Word</Application>
  <DocSecurity>4</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EDA</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 Andrea EDA CLR</dc:creator>
  <cp:lastModifiedBy>OHCHR-ROLDS</cp:lastModifiedBy>
  <cp:revision>2</cp:revision>
  <cp:lastPrinted>2018-05-04T15:48:00Z</cp:lastPrinted>
  <dcterms:created xsi:type="dcterms:W3CDTF">2018-05-09T13:18:00Z</dcterms:created>
  <dcterms:modified xsi:type="dcterms:W3CDTF">2018-05-09T13:18:00Z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