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1333" w:type="dxa"/>
        <w:tblLayout w:type="fixed"/>
        <w:tblCellMar>
          <w:left w:w="227" w:type="dxa"/>
          <w:right w:w="227" w:type="dxa"/>
        </w:tblCellMar>
        <w:tblLook w:val="0000" w:firstRow="0" w:lastRow="0" w:firstColumn="0" w:lastColumn="0" w:noHBand="0" w:noVBand="0"/>
      </w:tblPr>
      <w:tblGrid>
        <w:gridCol w:w="6297"/>
        <w:gridCol w:w="4619"/>
      </w:tblGrid>
      <w:tr w:rsidR="00380282" w:rsidRPr="00BC53DF" w14:paraId="1523F8CB" w14:textId="77777777" w:rsidTr="00580455">
        <w:trPr>
          <w:trHeight w:val="3289"/>
        </w:trPr>
        <w:tc>
          <w:tcPr>
            <w:tcW w:w="6297" w:type="dxa"/>
          </w:tcPr>
          <w:p w14:paraId="1523F8B2" w14:textId="77777777" w:rsidR="00380282" w:rsidRPr="00BD0A63" w:rsidRDefault="00380282" w:rsidP="00580455">
            <w:pPr>
              <w:ind w:left="1049" w:right="3943"/>
              <w:jc w:val="right"/>
              <w:rPr>
                <w:rFonts w:cs="Arial"/>
                <w:sz w:val="20"/>
                <w:lang w:val="en-GB"/>
              </w:rPr>
            </w:pPr>
            <w:bookmarkStart w:id="0" w:name="_GoBack"/>
            <w:bookmarkEnd w:id="0"/>
            <w:r w:rsidRPr="00BD0A63">
              <w:rPr>
                <w:rFonts w:cs="Arial"/>
                <w:noProof/>
                <w:sz w:val="20"/>
                <w:lang w:val="en-GB" w:eastAsia="en-GB"/>
              </w:rPr>
              <w:drawing>
                <wp:inline distT="0" distB="0" distL="0" distR="0" wp14:anchorId="1523F926" wp14:editId="1523F927">
                  <wp:extent cx="1973580" cy="495300"/>
                  <wp:effectExtent l="19050" t="0" r="7620" b="0"/>
                  <wp:docPr id="1" name="Picture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2" cstate="print"/>
                          <a:srcRect/>
                          <a:stretch>
                            <a:fillRect/>
                          </a:stretch>
                        </pic:blipFill>
                        <pic:spPr bwMode="auto">
                          <a:xfrm>
                            <a:off x="0" y="0"/>
                            <a:ext cx="1973580" cy="495300"/>
                          </a:xfrm>
                          <a:prstGeom prst="rect">
                            <a:avLst/>
                          </a:prstGeom>
                          <a:noFill/>
                          <a:ln w="9525">
                            <a:noFill/>
                            <a:miter lim="800000"/>
                            <a:headEnd/>
                            <a:tailEnd/>
                          </a:ln>
                        </pic:spPr>
                      </pic:pic>
                    </a:graphicData>
                  </a:graphic>
                </wp:inline>
              </w:drawing>
            </w:r>
          </w:p>
          <w:p w14:paraId="1523F8B3" w14:textId="77777777" w:rsidR="00380282" w:rsidRPr="00BD0A63" w:rsidRDefault="00380282" w:rsidP="00580455">
            <w:pPr>
              <w:ind w:left="997" w:right="4026"/>
              <w:jc w:val="right"/>
              <w:rPr>
                <w:rFonts w:cs="Arial"/>
                <w:sz w:val="20"/>
                <w:lang w:val="en-GB"/>
              </w:rPr>
            </w:pPr>
          </w:p>
          <w:p w14:paraId="1523F8B4" w14:textId="77777777" w:rsidR="00380282" w:rsidRPr="00BD0A63" w:rsidRDefault="00380282" w:rsidP="00580455">
            <w:pPr>
              <w:ind w:left="1617" w:right="-168" w:firstLine="1"/>
              <w:rPr>
                <w:rFonts w:cs="Arial"/>
                <w:b/>
                <w:bCs/>
                <w:sz w:val="20"/>
                <w:lang w:val="fr-CH"/>
              </w:rPr>
            </w:pPr>
            <w:bookmarkStart w:id="1" w:name="kopf1"/>
            <w:bookmarkEnd w:id="1"/>
            <w:r w:rsidRPr="00BD0A63">
              <w:rPr>
                <w:rFonts w:cs="Arial"/>
                <w:b/>
                <w:sz w:val="20"/>
                <w:lang w:val="fr-CH"/>
              </w:rPr>
              <w:t>Mission permanente de la Suisse auprès des Nations Unies à Genève</w:t>
            </w:r>
          </w:p>
          <w:p w14:paraId="1523F8B5" w14:textId="77777777" w:rsidR="00380282" w:rsidRPr="00BD0A63" w:rsidRDefault="00380282" w:rsidP="00580455">
            <w:pPr>
              <w:ind w:left="1617" w:right="-168" w:firstLine="1"/>
              <w:rPr>
                <w:rFonts w:cs="Arial"/>
                <w:b/>
                <w:bCs/>
                <w:sz w:val="20"/>
                <w:lang w:val="fr-CH"/>
              </w:rPr>
            </w:pPr>
            <w:bookmarkStart w:id="2" w:name="kopf2"/>
            <w:bookmarkEnd w:id="2"/>
          </w:p>
          <w:p w14:paraId="1523F8B6" w14:textId="77777777" w:rsidR="00380282" w:rsidRPr="00BD0A63" w:rsidRDefault="00380282" w:rsidP="00580455">
            <w:pPr>
              <w:ind w:left="1617" w:right="-168" w:firstLine="1"/>
              <w:rPr>
                <w:rFonts w:cs="Arial"/>
                <w:b/>
                <w:bCs/>
                <w:sz w:val="20"/>
                <w:lang w:val="fr-CH"/>
              </w:rPr>
            </w:pPr>
            <w:bookmarkStart w:id="3" w:name="kopf3"/>
            <w:bookmarkEnd w:id="3"/>
          </w:p>
          <w:p w14:paraId="1523F8B7" w14:textId="77777777" w:rsidR="00380282" w:rsidRPr="00BD0A63" w:rsidRDefault="00380282" w:rsidP="00580455">
            <w:pPr>
              <w:ind w:left="1617" w:right="-168" w:firstLine="1"/>
              <w:rPr>
                <w:rFonts w:cs="Arial"/>
                <w:b/>
                <w:bCs/>
                <w:sz w:val="20"/>
                <w:lang w:val="fr-CH"/>
              </w:rPr>
            </w:pPr>
            <w:bookmarkStart w:id="4" w:name="kopf4"/>
            <w:bookmarkStart w:id="5" w:name="kopf5"/>
            <w:bookmarkEnd w:id="4"/>
            <w:bookmarkEnd w:id="5"/>
          </w:p>
          <w:p w14:paraId="1523F8B8" w14:textId="77777777" w:rsidR="00380282" w:rsidRPr="00BD0A63" w:rsidRDefault="00380282" w:rsidP="00580455">
            <w:pPr>
              <w:ind w:left="1617" w:right="-168" w:firstLine="1"/>
              <w:rPr>
                <w:rFonts w:cs="Arial"/>
                <w:b/>
                <w:bCs/>
                <w:sz w:val="20"/>
                <w:lang w:val="fr-CH"/>
              </w:rPr>
            </w:pPr>
          </w:p>
          <w:p w14:paraId="1523F8B9" w14:textId="77777777" w:rsidR="00380282" w:rsidRPr="00BD0A63" w:rsidRDefault="00380282" w:rsidP="00580455">
            <w:pPr>
              <w:ind w:left="1617" w:right="-168" w:firstLine="1"/>
              <w:rPr>
                <w:rFonts w:cs="Arial"/>
                <w:b/>
                <w:bCs/>
                <w:sz w:val="20"/>
                <w:lang w:val="fr-CH"/>
              </w:rPr>
            </w:pPr>
          </w:p>
          <w:p w14:paraId="1523F8BA" w14:textId="77777777" w:rsidR="00380282" w:rsidRPr="00BD0A63" w:rsidRDefault="00380282" w:rsidP="00580455">
            <w:pPr>
              <w:ind w:left="1617" w:right="-168" w:firstLine="1"/>
              <w:rPr>
                <w:rFonts w:cs="Arial"/>
                <w:b/>
                <w:bCs/>
                <w:sz w:val="20"/>
                <w:lang w:val="fr-CH"/>
              </w:rPr>
            </w:pPr>
          </w:p>
          <w:p w14:paraId="1523F8BB" w14:textId="77777777" w:rsidR="00380282" w:rsidRPr="00BD0A63" w:rsidRDefault="00380282" w:rsidP="00580455">
            <w:pPr>
              <w:ind w:left="1617" w:right="-168" w:firstLine="1"/>
              <w:rPr>
                <w:rFonts w:cs="Arial"/>
                <w:b/>
                <w:bCs/>
                <w:sz w:val="20"/>
                <w:lang w:val="fr-CH"/>
              </w:rPr>
            </w:pPr>
          </w:p>
          <w:p w14:paraId="1523F8BC" w14:textId="77777777" w:rsidR="00380282" w:rsidRPr="00BD0A63" w:rsidRDefault="00380282" w:rsidP="00580455">
            <w:pPr>
              <w:ind w:left="1617" w:right="-168" w:firstLine="1"/>
              <w:rPr>
                <w:rFonts w:cs="Arial"/>
                <w:b/>
                <w:bCs/>
                <w:sz w:val="20"/>
                <w:lang w:val="fr-CH"/>
              </w:rPr>
            </w:pPr>
          </w:p>
          <w:p w14:paraId="1523F8BD" w14:textId="77777777" w:rsidR="00380282" w:rsidRPr="00BD0A63" w:rsidRDefault="00380282" w:rsidP="00580455">
            <w:pPr>
              <w:ind w:left="1617" w:right="-168" w:firstLine="1"/>
              <w:rPr>
                <w:rFonts w:cs="Arial"/>
                <w:b/>
                <w:bCs/>
                <w:sz w:val="20"/>
                <w:lang w:val="fr-CH"/>
              </w:rPr>
            </w:pPr>
          </w:p>
          <w:p w14:paraId="1523F8BE" w14:textId="77777777" w:rsidR="00380282" w:rsidRPr="00BD0A63" w:rsidRDefault="00380282" w:rsidP="00580455">
            <w:pPr>
              <w:ind w:left="1617" w:right="-168" w:firstLine="1"/>
              <w:rPr>
                <w:rFonts w:cs="Arial"/>
                <w:b/>
                <w:bCs/>
                <w:sz w:val="20"/>
                <w:lang w:val="fr-CH"/>
              </w:rPr>
            </w:pPr>
          </w:p>
          <w:p w14:paraId="1523F8BF" w14:textId="77777777" w:rsidR="00380282" w:rsidRPr="00BD0A63" w:rsidRDefault="00380282" w:rsidP="00580455">
            <w:pPr>
              <w:ind w:left="1617" w:right="-168" w:firstLine="1"/>
              <w:rPr>
                <w:rFonts w:cs="Arial"/>
                <w:b/>
                <w:bCs/>
                <w:sz w:val="20"/>
                <w:lang w:val="fr-CH"/>
              </w:rPr>
            </w:pPr>
          </w:p>
          <w:p w14:paraId="1523F8C0" w14:textId="77777777" w:rsidR="00380282" w:rsidRPr="00BD0A63" w:rsidRDefault="00380282" w:rsidP="00580455">
            <w:pPr>
              <w:ind w:left="1617" w:right="-168" w:firstLine="1"/>
              <w:rPr>
                <w:rFonts w:cs="Arial"/>
                <w:b/>
                <w:bCs/>
                <w:sz w:val="20"/>
                <w:lang w:val="fr-CH"/>
              </w:rPr>
            </w:pPr>
          </w:p>
          <w:p w14:paraId="1523F8C1" w14:textId="77777777" w:rsidR="00380282" w:rsidRPr="00BD0A63" w:rsidRDefault="00380282" w:rsidP="00580455">
            <w:pPr>
              <w:ind w:left="1617" w:right="-168" w:firstLine="1"/>
              <w:rPr>
                <w:rFonts w:cs="Arial"/>
                <w:b/>
                <w:bCs/>
                <w:sz w:val="20"/>
                <w:lang w:val="fr-CH"/>
              </w:rPr>
            </w:pPr>
          </w:p>
          <w:p w14:paraId="1523F8C2" w14:textId="77777777" w:rsidR="00380282" w:rsidRPr="00BD0A63" w:rsidRDefault="00380282" w:rsidP="00580455">
            <w:pPr>
              <w:ind w:left="1617" w:right="-168" w:firstLine="1"/>
              <w:rPr>
                <w:rFonts w:cs="Arial"/>
                <w:b/>
                <w:bCs/>
                <w:sz w:val="20"/>
                <w:lang w:val="fr-CH"/>
              </w:rPr>
            </w:pPr>
          </w:p>
          <w:p w14:paraId="1523F8C3" w14:textId="77777777" w:rsidR="00380282" w:rsidRPr="00BD0A63" w:rsidRDefault="00380282" w:rsidP="00580455">
            <w:pPr>
              <w:ind w:left="1617" w:right="-168" w:firstLine="1"/>
              <w:rPr>
                <w:rFonts w:cs="Arial"/>
                <w:b/>
                <w:bCs/>
                <w:sz w:val="20"/>
                <w:lang w:val="fr-CH"/>
              </w:rPr>
            </w:pPr>
          </w:p>
          <w:p w14:paraId="1523F8C4" w14:textId="77777777" w:rsidR="00380282" w:rsidRPr="00BD0A63" w:rsidRDefault="00380282" w:rsidP="00580455">
            <w:pPr>
              <w:ind w:left="1617" w:right="-168" w:firstLine="1"/>
              <w:rPr>
                <w:rFonts w:cs="Arial"/>
                <w:b/>
                <w:bCs/>
                <w:sz w:val="20"/>
                <w:lang w:val="fr-CH"/>
              </w:rPr>
            </w:pPr>
          </w:p>
          <w:p w14:paraId="1523F8C5" w14:textId="77777777" w:rsidR="00380282" w:rsidRPr="00BD0A63" w:rsidRDefault="00380282" w:rsidP="00580455">
            <w:pPr>
              <w:ind w:left="1617" w:right="-168" w:firstLine="1"/>
              <w:rPr>
                <w:rFonts w:cs="Arial"/>
                <w:b/>
                <w:bCs/>
                <w:sz w:val="20"/>
                <w:lang w:val="fr-CH"/>
              </w:rPr>
            </w:pPr>
          </w:p>
        </w:tc>
        <w:tc>
          <w:tcPr>
            <w:tcW w:w="4619" w:type="dxa"/>
          </w:tcPr>
          <w:p w14:paraId="1523F8C6" w14:textId="77777777" w:rsidR="00380282" w:rsidRPr="00BD0A63" w:rsidRDefault="00380282" w:rsidP="00580455">
            <w:pPr>
              <w:ind w:left="-227"/>
              <w:rPr>
                <w:rFonts w:cs="Arial"/>
                <w:b/>
                <w:bCs/>
                <w:sz w:val="20"/>
                <w:lang w:val="fr-CH"/>
              </w:rPr>
            </w:pPr>
          </w:p>
          <w:p w14:paraId="1523F8C7" w14:textId="77777777" w:rsidR="00380282" w:rsidRPr="00BD0A63" w:rsidRDefault="00380282" w:rsidP="00580455">
            <w:pPr>
              <w:ind w:left="-227"/>
              <w:rPr>
                <w:rFonts w:cs="Arial"/>
                <w:b/>
                <w:bCs/>
                <w:vanish/>
                <w:sz w:val="20"/>
                <w:lang w:val="fr-CH"/>
              </w:rPr>
            </w:pPr>
          </w:p>
          <w:p w14:paraId="1523F8C8" w14:textId="77777777" w:rsidR="00380282" w:rsidRPr="00BD0A63" w:rsidRDefault="00380282" w:rsidP="00580455">
            <w:pPr>
              <w:ind w:left="-227"/>
              <w:rPr>
                <w:rFonts w:cs="Arial"/>
                <w:b/>
                <w:bCs/>
                <w:vanish/>
                <w:sz w:val="20"/>
                <w:lang w:val="fr-CH"/>
              </w:rPr>
            </w:pPr>
          </w:p>
          <w:p w14:paraId="1523F8C9" w14:textId="77777777" w:rsidR="00380282" w:rsidRPr="00BD0A63" w:rsidRDefault="00380282" w:rsidP="00580455">
            <w:pPr>
              <w:ind w:left="-227"/>
              <w:rPr>
                <w:rFonts w:cs="Arial"/>
                <w:b/>
                <w:bCs/>
                <w:vanish/>
                <w:sz w:val="20"/>
                <w:lang w:val="fr-CH"/>
              </w:rPr>
            </w:pPr>
          </w:p>
          <w:p w14:paraId="1523F8CA" w14:textId="77777777" w:rsidR="00380282" w:rsidRPr="00BD0A63" w:rsidRDefault="00380282" w:rsidP="00580455">
            <w:pPr>
              <w:ind w:left="-227"/>
              <w:rPr>
                <w:rFonts w:cs="Arial"/>
                <w:b/>
                <w:bCs/>
                <w:vanish/>
                <w:sz w:val="20"/>
                <w:lang w:val="fr-CH"/>
              </w:rPr>
            </w:pPr>
          </w:p>
        </w:tc>
      </w:tr>
    </w:tbl>
    <w:p w14:paraId="1523F8CC" w14:textId="77777777" w:rsidR="00380282" w:rsidRPr="00BD0A63" w:rsidRDefault="00380282" w:rsidP="00380282">
      <w:pPr>
        <w:tabs>
          <w:tab w:val="left" w:pos="1530"/>
        </w:tabs>
        <w:rPr>
          <w:rFonts w:cs="Arial"/>
          <w:sz w:val="20"/>
          <w:lang w:val="fr-CH"/>
        </w:rPr>
      </w:pPr>
      <w:bookmarkStart w:id="6" w:name="Textbaustein"/>
      <w:bookmarkEnd w:id="6"/>
    </w:p>
    <w:p w14:paraId="1523F8CD" w14:textId="77777777" w:rsidR="00380282" w:rsidRPr="00BD0A63" w:rsidRDefault="00380282" w:rsidP="00380282">
      <w:pPr>
        <w:jc w:val="both"/>
        <w:rPr>
          <w:rFonts w:cs="Arial"/>
          <w:sz w:val="20"/>
          <w:lang w:val="fr-CH"/>
        </w:rPr>
      </w:pPr>
    </w:p>
    <w:p w14:paraId="1523F8CE" w14:textId="77777777" w:rsidR="00380282" w:rsidRPr="00BD0A63" w:rsidRDefault="00380282" w:rsidP="00DD5555">
      <w:pPr>
        <w:jc w:val="both"/>
        <w:rPr>
          <w:rFonts w:cs="Arial"/>
          <w:sz w:val="20"/>
          <w:lang w:val="fr-CH"/>
        </w:rPr>
      </w:pPr>
      <w:r w:rsidRPr="00BD0A63">
        <w:rPr>
          <w:rFonts w:cs="Arial"/>
          <w:sz w:val="20"/>
          <w:lang w:val="fr-CH"/>
        </w:rPr>
        <w:t xml:space="preserve">La Mission permanente de la Suisse auprès des Nations Unies à Genève présente ses compliments au Haut-Commissariat des Nations Unies aux droits de l’homme (HCDH) et a l’honneur de se référer à sa note verbale du 15 avril 2015, dans laquelle il demande aux Etats membres de bien vouloir lui communiquer tout renseignement utile à la mise en œuvre de la résolution du Conseil des droits de l’homme (A/HRC/28/L.22) portant sur la contribution du Conseil des droits de l’homme à la session extraordinaire de l’Assemblée générale consacrée au problème mondial de la drogue (UNGASS), prévue pour 2016. </w:t>
      </w:r>
    </w:p>
    <w:p w14:paraId="1523F8CF" w14:textId="77777777" w:rsidR="00380282" w:rsidRPr="00BD0A63" w:rsidRDefault="00380282" w:rsidP="00DD5555">
      <w:pPr>
        <w:ind w:left="0"/>
        <w:jc w:val="both"/>
        <w:rPr>
          <w:rFonts w:cs="Arial"/>
          <w:sz w:val="20"/>
          <w:lang w:val="fr-CH"/>
        </w:rPr>
      </w:pPr>
    </w:p>
    <w:p w14:paraId="1523F8D0" w14:textId="77777777" w:rsidR="003017DC" w:rsidRPr="00BD0A63" w:rsidRDefault="00380282" w:rsidP="00DD5555">
      <w:pPr>
        <w:jc w:val="both"/>
        <w:rPr>
          <w:rFonts w:cs="Arial"/>
          <w:sz w:val="20"/>
          <w:lang w:val="fr-CH"/>
        </w:rPr>
      </w:pPr>
      <w:r w:rsidRPr="00BD0A63">
        <w:rPr>
          <w:rFonts w:cs="Arial"/>
          <w:sz w:val="20"/>
          <w:lang w:val="fr-CH"/>
        </w:rPr>
        <w:t xml:space="preserve">Le gouvernement suisse se félicite de l’occasion qui lui est donnée de s’exprimer et souhaite transmettre les considérations suivantes dans l’optique du rapport dont a été chargé le Haut-Commissariat. </w:t>
      </w:r>
    </w:p>
    <w:p w14:paraId="1523F8D1" w14:textId="77777777" w:rsidR="003017DC" w:rsidRPr="00BD0A63" w:rsidRDefault="003017DC" w:rsidP="00DD5555">
      <w:pPr>
        <w:jc w:val="both"/>
        <w:rPr>
          <w:rFonts w:cs="Arial"/>
          <w:sz w:val="20"/>
          <w:lang w:val="fr-CH"/>
        </w:rPr>
      </w:pPr>
    </w:p>
    <w:p w14:paraId="1523F8D2" w14:textId="77777777" w:rsidR="00283FDD" w:rsidRPr="00BD0A63" w:rsidRDefault="00283FDD" w:rsidP="00DD5555">
      <w:pPr>
        <w:jc w:val="both"/>
        <w:rPr>
          <w:rFonts w:cs="Arial"/>
          <w:sz w:val="20"/>
          <w:lang w:val="fr-CH"/>
        </w:rPr>
      </w:pPr>
      <w:r w:rsidRPr="00BD0A63">
        <w:rPr>
          <w:rFonts w:cs="Arial"/>
          <w:sz w:val="20"/>
          <w:lang w:val="fr-CH"/>
        </w:rPr>
        <w:t xml:space="preserve">La Suisse accorde une grande importance à l’inclusion des autres agences de l’ONU (en particulier le Haut-Commissariat aux droits de l’homme, l’Organisation mondiale de la Santé, l’ONUSIDA et le Programme des Nations Unies pour le développement) dans la préparation de l’UNGASS. Les activités de ces agences sont directement concernées par les conséquences des politiques menées pour faire face au problème mondial de la drogue. Il est donc absolument nécessaire d’assurer leur contribution non seulement durant la phase préparatoire, mais également durant l’UNGASS elle-même. </w:t>
      </w:r>
    </w:p>
    <w:p w14:paraId="1523F8D3" w14:textId="77777777" w:rsidR="00380282" w:rsidRPr="00BD0A63" w:rsidRDefault="00380282" w:rsidP="00DD5555">
      <w:pPr>
        <w:jc w:val="both"/>
        <w:rPr>
          <w:rFonts w:cs="Arial"/>
          <w:sz w:val="20"/>
          <w:lang w:val="fr-CH"/>
        </w:rPr>
      </w:pPr>
    </w:p>
    <w:p w14:paraId="1523F8D4" w14:textId="77777777" w:rsidR="00EE5336" w:rsidRDefault="00110823" w:rsidP="00DD5555">
      <w:pPr>
        <w:jc w:val="both"/>
        <w:rPr>
          <w:rFonts w:cs="Arial"/>
          <w:sz w:val="20"/>
          <w:lang w:val="fr-CH"/>
        </w:rPr>
      </w:pPr>
      <w:r w:rsidRPr="00BD0A63">
        <w:rPr>
          <w:rFonts w:cs="Arial"/>
          <w:sz w:val="20"/>
          <w:lang w:val="fr-CH"/>
        </w:rPr>
        <w:t>La Suisse fait partie des Etats qui ont proposé et co-sponsorisé la résolution A/HRC/RES/28/28. Elle estime que les droits de l’homme devraient faire partie intégrante des discussions en vue de la session extraordinaire de l’Assemblée générale sur le problème mondial de la drogue qui est actuellement en préparation</w:t>
      </w:r>
      <w:r w:rsidR="00741AD5">
        <w:rPr>
          <w:rFonts w:cs="Arial"/>
          <w:sz w:val="20"/>
          <w:lang w:val="fr-CH"/>
        </w:rPr>
        <w:t>.</w:t>
      </w:r>
      <w:r w:rsidR="00EE5336">
        <w:rPr>
          <w:rFonts w:cs="Arial"/>
          <w:sz w:val="20"/>
          <w:lang w:val="fr-CH"/>
        </w:rPr>
        <w:t xml:space="preserve"> La situation des </w:t>
      </w:r>
      <w:r w:rsidR="00EE5336" w:rsidRPr="005B121A">
        <w:rPr>
          <w:rFonts w:cs="Arial"/>
          <w:sz w:val="20"/>
          <w:lang w:val="fr-CH"/>
        </w:rPr>
        <w:t>personnes appartenant à des groupes de population pauvres et défavorisés doivent dans ce contexte faire l’objet d’une attention particulière.</w:t>
      </w:r>
      <w:r w:rsidR="00EE5336" w:rsidRPr="00BD0A63">
        <w:rPr>
          <w:rFonts w:cs="Arial"/>
          <w:sz w:val="20"/>
          <w:lang w:val="fr-CH"/>
        </w:rPr>
        <w:t xml:space="preserve"> </w:t>
      </w:r>
      <w:r w:rsidR="00EE5336">
        <w:rPr>
          <w:rFonts w:cs="Arial"/>
          <w:sz w:val="20"/>
          <w:lang w:val="fr-CH"/>
        </w:rPr>
        <w:t xml:space="preserve"> </w:t>
      </w:r>
    </w:p>
    <w:p w14:paraId="1523F8D5" w14:textId="77777777" w:rsidR="00110823" w:rsidRPr="00BD0A63" w:rsidRDefault="00110823" w:rsidP="00DD5555">
      <w:pPr>
        <w:ind w:left="0"/>
        <w:jc w:val="both"/>
        <w:rPr>
          <w:rFonts w:cs="Arial"/>
          <w:sz w:val="20"/>
          <w:lang w:val="fr-CH"/>
        </w:rPr>
      </w:pPr>
    </w:p>
    <w:p w14:paraId="1523F8D6" w14:textId="77777777" w:rsidR="00110823" w:rsidRPr="00BD0A63" w:rsidRDefault="00110823" w:rsidP="00DD5555">
      <w:pPr>
        <w:jc w:val="both"/>
        <w:rPr>
          <w:rFonts w:cs="Arial"/>
          <w:sz w:val="20"/>
          <w:lang w:val="fr-CH"/>
        </w:rPr>
      </w:pPr>
      <w:r w:rsidRPr="00BD0A63">
        <w:rPr>
          <w:rFonts w:cs="Arial"/>
          <w:sz w:val="20"/>
          <w:lang w:val="fr-CH"/>
        </w:rPr>
        <w:t xml:space="preserve">En dépit des engagements pris par les Etats dans la </w:t>
      </w:r>
      <w:r w:rsidRPr="00BD0A63">
        <w:rPr>
          <w:rFonts w:cs="Arial"/>
          <w:i/>
          <w:sz w:val="20"/>
          <w:lang w:val="fr-CH"/>
        </w:rPr>
        <w:t>Déclaration politique et le Plan d’action sur la coopération internationale en vue d’une stratégie intégrée et équilibrée de lutte contre le problème mondial de la drogue</w:t>
      </w:r>
      <w:r w:rsidRPr="00BD0A63">
        <w:rPr>
          <w:rFonts w:cs="Arial"/>
          <w:sz w:val="20"/>
          <w:lang w:val="fr-CH"/>
        </w:rPr>
        <w:t xml:space="preserve"> de 2009, des violations des droits de l’homme continuent d’avoir lieu dans le cadre des politiques de contrôle des stupéfiants. La Suisse demeure très préoccupée à ce sujet.</w:t>
      </w:r>
    </w:p>
    <w:p w14:paraId="1523F8D7" w14:textId="77777777" w:rsidR="00FD6A08" w:rsidRPr="00BD0A63" w:rsidRDefault="00FD6A08" w:rsidP="00DD5555">
      <w:pPr>
        <w:jc w:val="both"/>
        <w:rPr>
          <w:rFonts w:cs="Arial"/>
          <w:sz w:val="20"/>
          <w:lang w:val="fr-CH"/>
        </w:rPr>
      </w:pPr>
    </w:p>
    <w:p w14:paraId="1523F8D8" w14:textId="77777777" w:rsidR="00FD6A08" w:rsidRPr="00BD0A63" w:rsidRDefault="00617BE2" w:rsidP="00DD5555">
      <w:pPr>
        <w:jc w:val="both"/>
        <w:rPr>
          <w:rFonts w:cs="Arial"/>
          <w:sz w:val="20"/>
          <w:lang w:val="fr-CH"/>
        </w:rPr>
      </w:pPr>
      <w:r w:rsidRPr="005B121A">
        <w:rPr>
          <w:rFonts w:cs="Arial"/>
          <w:sz w:val="20"/>
          <w:lang w:val="fr-CH"/>
        </w:rPr>
        <w:t>Une approche axée sur les droits de l’homme dans le cadre de la politique internationale en matière de drogue présente, du point de vue de la Suisse, deux avantages majeurs. Elle tient compte, d’une part, de façon appropriée des demandes et des besoins des personnes concernées et de leurs proches. D’autre part, l’ensemble de la société peut profiter d’une approche centrée sur la réinsertion des personnes concernées et sur l’identification précoce et la réduction des risques liés aux drogues.</w:t>
      </w:r>
      <w:r w:rsidRPr="00BD0A63">
        <w:rPr>
          <w:rFonts w:cs="Arial"/>
          <w:sz w:val="20"/>
          <w:lang w:val="fr-CH"/>
        </w:rPr>
        <w:t xml:space="preserve"> </w:t>
      </w:r>
    </w:p>
    <w:p w14:paraId="1523F8D9" w14:textId="77777777" w:rsidR="00FD6A08" w:rsidRPr="00BD0A63" w:rsidRDefault="00FD6A08" w:rsidP="00DD5555">
      <w:pPr>
        <w:jc w:val="both"/>
        <w:rPr>
          <w:rFonts w:cs="Arial"/>
          <w:sz w:val="20"/>
          <w:lang w:val="fr-CH"/>
        </w:rPr>
      </w:pPr>
    </w:p>
    <w:p w14:paraId="1523F8DA" w14:textId="77777777" w:rsidR="00110823" w:rsidRPr="00BD0A63" w:rsidRDefault="00110823" w:rsidP="00DD5555">
      <w:pPr>
        <w:jc w:val="both"/>
        <w:rPr>
          <w:rFonts w:cs="Arial"/>
          <w:sz w:val="20"/>
          <w:lang w:val="fr-CH"/>
        </w:rPr>
      </w:pPr>
    </w:p>
    <w:p w14:paraId="1523F8DB" w14:textId="77777777" w:rsidR="00283FDD" w:rsidRPr="00076ADC" w:rsidRDefault="00283FDD" w:rsidP="00DD5555">
      <w:pPr>
        <w:jc w:val="both"/>
        <w:rPr>
          <w:rFonts w:cs="Arial"/>
          <w:sz w:val="20"/>
          <w:lang w:val="fr-CH"/>
        </w:rPr>
      </w:pPr>
      <w:r w:rsidRPr="00076ADC">
        <w:rPr>
          <w:rFonts w:cs="Arial"/>
          <w:sz w:val="20"/>
          <w:lang w:val="fr-CH"/>
        </w:rPr>
        <w:t>A notre avis, le rapport du HCDH devrait aborder les questions suivantes :</w:t>
      </w:r>
    </w:p>
    <w:p w14:paraId="1523F8DC" w14:textId="77777777" w:rsidR="00110823" w:rsidRPr="00BD0A63" w:rsidRDefault="00110823" w:rsidP="00DD5555">
      <w:pPr>
        <w:ind w:left="0"/>
        <w:jc w:val="both"/>
        <w:rPr>
          <w:rFonts w:cs="Arial"/>
          <w:sz w:val="20"/>
          <w:lang w:val="fr-CH"/>
        </w:rPr>
      </w:pPr>
    </w:p>
    <w:p w14:paraId="1523F8DD" w14:textId="77777777" w:rsidR="00110823" w:rsidRPr="00BD0A63" w:rsidRDefault="00110823" w:rsidP="00DD5555">
      <w:pPr>
        <w:jc w:val="both"/>
        <w:rPr>
          <w:rFonts w:cs="Arial"/>
          <w:b/>
          <w:sz w:val="20"/>
          <w:u w:val="single"/>
          <w:lang w:val="fr-CH"/>
        </w:rPr>
      </w:pPr>
      <w:r w:rsidRPr="00BD0A63">
        <w:rPr>
          <w:rFonts w:cs="Arial"/>
          <w:b/>
          <w:sz w:val="20"/>
          <w:u w:val="single"/>
          <w:lang w:val="fr-CH"/>
        </w:rPr>
        <w:t xml:space="preserve">Droit à la vie </w:t>
      </w:r>
    </w:p>
    <w:p w14:paraId="1523F8DE" w14:textId="77777777" w:rsidR="00525C41" w:rsidRPr="00BD0A63" w:rsidRDefault="00525C41" w:rsidP="00DD5555">
      <w:pPr>
        <w:jc w:val="both"/>
        <w:rPr>
          <w:rFonts w:cs="Arial"/>
          <w:b/>
          <w:sz w:val="20"/>
          <w:lang w:val="fr-CH"/>
        </w:rPr>
      </w:pPr>
    </w:p>
    <w:p w14:paraId="1523F8DF" w14:textId="77777777" w:rsidR="00B130EB" w:rsidRPr="00BD0A63" w:rsidRDefault="00B130EB" w:rsidP="00DD5555">
      <w:pPr>
        <w:pStyle w:val="Default"/>
        <w:ind w:left="284"/>
        <w:jc w:val="both"/>
        <w:rPr>
          <w:sz w:val="20"/>
          <w:szCs w:val="20"/>
          <w:lang w:val="fr-CH"/>
        </w:rPr>
      </w:pPr>
      <w:r w:rsidRPr="00BD0A63">
        <w:rPr>
          <w:sz w:val="20"/>
          <w:szCs w:val="20"/>
          <w:lang w:val="fr-CH"/>
        </w:rPr>
        <w:t xml:space="preserve">L’article 6 du Pacte international relatif aux droits civils et politiques garantit à la personne humaine le droit à la vie. L’alinéa 2 affirme que dans les Etats où la peine de mort n’a pas été abolie, une sentence de mort ne peut être prononcée que pour les « crimes les plus graves ». Or, comme l’a constaté le Comité des droits de l’homme de l’ONU à plusieurs reprises, les infractions liées aux drogues ne font pas partie de cette catégorie. </w:t>
      </w:r>
    </w:p>
    <w:p w14:paraId="1523F8E0" w14:textId="77777777" w:rsidR="00B130EB" w:rsidRPr="00BD0A63" w:rsidRDefault="00B130EB" w:rsidP="00DD5555">
      <w:pPr>
        <w:pStyle w:val="Default"/>
        <w:ind w:left="284"/>
        <w:jc w:val="both"/>
        <w:rPr>
          <w:sz w:val="20"/>
          <w:szCs w:val="20"/>
          <w:lang w:val="fr-CH"/>
        </w:rPr>
      </w:pPr>
    </w:p>
    <w:p w14:paraId="1523F8E1" w14:textId="77777777" w:rsidR="00110823" w:rsidRPr="00BD0A63" w:rsidRDefault="00525C41" w:rsidP="00DD5555">
      <w:pPr>
        <w:pStyle w:val="Default"/>
        <w:ind w:left="284"/>
        <w:jc w:val="both"/>
        <w:rPr>
          <w:sz w:val="20"/>
          <w:szCs w:val="20"/>
          <w:lang w:val="fr-CH"/>
        </w:rPr>
      </w:pPr>
      <w:r w:rsidRPr="00BD0A63">
        <w:rPr>
          <w:sz w:val="20"/>
          <w:szCs w:val="20"/>
          <w:lang w:val="fr-CH"/>
        </w:rPr>
        <w:t xml:space="preserve">La Suisse s’oppose catégoriquement à l’application de la peine de mort, y compris pour des délits liés à la drogue. Le fait que des individus puissent se voir ôter la vie pour des infractions liées aux drogues est une question qui nous préoccupe au plus haut point. </w:t>
      </w:r>
    </w:p>
    <w:p w14:paraId="1523F8E2" w14:textId="77777777" w:rsidR="00283FDD" w:rsidRPr="00BD0A63" w:rsidRDefault="00283FDD" w:rsidP="00DD5555">
      <w:pPr>
        <w:pStyle w:val="Default"/>
        <w:ind w:left="284"/>
        <w:jc w:val="both"/>
        <w:rPr>
          <w:sz w:val="20"/>
          <w:szCs w:val="20"/>
          <w:lang w:val="fr-CH"/>
        </w:rPr>
      </w:pPr>
    </w:p>
    <w:p w14:paraId="1523F8E3" w14:textId="77777777" w:rsidR="00283FDD" w:rsidRPr="005B121A" w:rsidRDefault="00741AD5" w:rsidP="00DD5555">
      <w:pPr>
        <w:jc w:val="both"/>
        <w:rPr>
          <w:rFonts w:cs="Arial"/>
          <w:color w:val="000000" w:themeColor="text1"/>
          <w:sz w:val="20"/>
          <w:lang w:val="fr-CH"/>
        </w:rPr>
      </w:pPr>
      <w:r w:rsidRPr="005B121A">
        <w:rPr>
          <w:rFonts w:cs="Arial"/>
          <w:sz w:val="20"/>
          <w:lang w:val="fr-CH"/>
        </w:rPr>
        <w:t>Nous tenons à rappeler les éléments suivants</w:t>
      </w:r>
      <w:r w:rsidR="00D87037" w:rsidRPr="005B121A">
        <w:rPr>
          <w:rFonts w:cs="Arial"/>
          <w:sz w:val="20"/>
          <w:lang w:val="fr-CH"/>
        </w:rPr>
        <w:t xml:space="preserve"> : </w:t>
      </w:r>
    </w:p>
    <w:p w14:paraId="1523F8E4" w14:textId="77777777" w:rsidR="00283FDD" w:rsidRPr="005B121A" w:rsidRDefault="00283FDD" w:rsidP="00DD5555">
      <w:pPr>
        <w:ind w:left="0"/>
        <w:jc w:val="both"/>
        <w:rPr>
          <w:rFonts w:cs="Arial"/>
          <w:color w:val="000000" w:themeColor="text1"/>
          <w:sz w:val="20"/>
          <w:lang w:val="fr-CH"/>
        </w:rPr>
      </w:pPr>
    </w:p>
    <w:p w14:paraId="1523F8E5" w14:textId="77777777" w:rsidR="00283FDD" w:rsidRPr="005B121A" w:rsidRDefault="00283FDD" w:rsidP="00DD5555">
      <w:pPr>
        <w:pStyle w:val="ListParagraph"/>
        <w:numPr>
          <w:ilvl w:val="0"/>
          <w:numId w:val="6"/>
        </w:numPr>
        <w:jc w:val="both"/>
        <w:rPr>
          <w:rFonts w:cs="Arial"/>
          <w:color w:val="000000" w:themeColor="text1"/>
          <w:szCs w:val="20"/>
          <w:lang w:val="fr-CH"/>
        </w:rPr>
      </w:pPr>
      <w:r w:rsidRPr="005B121A">
        <w:rPr>
          <w:rFonts w:cs="Arial"/>
          <w:szCs w:val="20"/>
          <w:lang w:val="fr-CH"/>
        </w:rPr>
        <w:t xml:space="preserve">L’Assemblée générale des Nations Unies a </w:t>
      </w:r>
      <w:r w:rsidR="00741AD5" w:rsidRPr="005B121A">
        <w:rPr>
          <w:rFonts w:cs="Arial"/>
          <w:szCs w:val="20"/>
          <w:lang w:val="fr-CH"/>
        </w:rPr>
        <w:t>appelé</w:t>
      </w:r>
      <w:r w:rsidRPr="005B121A">
        <w:rPr>
          <w:rFonts w:cs="Arial"/>
          <w:szCs w:val="20"/>
          <w:lang w:val="fr-CH"/>
        </w:rPr>
        <w:t xml:space="preserve">, à de nombreuses reprises, </w:t>
      </w:r>
      <w:r w:rsidR="00741AD5" w:rsidRPr="005B121A">
        <w:rPr>
          <w:rFonts w:cs="Arial"/>
          <w:szCs w:val="20"/>
          <w:lang w:val="fr-CH"/>
        </w:rPr>
        <w:t xml:space="preserve">les </w:t>
      </w:r>
      <w:r w:rsidRPr="005B121A">
        <w:rPr>
          <w:rFonts w:cs="Arial"/>
          <w:szCs w:val="20"/>
          <w:lang w:val="fr-CH"/>
        </w:rPr>
        <w:t xml:space="preserve">Etats </w:t>
      </w:r>
      <w:r w:rsidR="00741AD5" w:rsidRPr="005B121A">
        <w:rPr>
          <w:rFonts w:cs="Arial"/>
          <w:szCs w:val="20"/>
          <w:lang w:val="fr-CH"/>
        </w:rPr>
        <w:t xml:space="preserve">qui continuent à appliquer </w:t>
      </w:r>
      <w:r w:rsidRPr="005B121A">
        <w:rPr>
          <w:rFonts w:cs="Arial"/>
          <w:szCs w:val="20"/>
          <w:lang w:val="fr-CH"/>
        </w:rPr>
        <w:t xml:space="preserve">la peine de mort </w:t>
      </w:r>
      <w:r w:rsidR="00741AD5" w:rsidRPr="005B121A">
        <w:rPr>
          <w:rFonts w:cs="Arial"/>
          <w:szCs w:val="20"/>
          <w:lang w:val="fr-CH"/>
        </w:rPr>
        <w:t>à</w:t>
      </w:r>
      <w:r w:rsidRPr="005B121A">
        <w:rPr>
          <w:rFonts w:cs="Arial"/>
          <w:szCs w:val="20"/>
          <w:lang w:val="fr-CH"/>
        </w:rPr>
        <w:t xml:space="preserve"> restreindre progressivement son usage et </w:t>
      </w:r>
      <w:r w:rsidR="00741AD5" w:rsidRPr="005B121A">
        <w:rPr>
          <w:rFonts w:cs="Arial"/>
          <w:szCs w:val="20"/>
          <w:lang w:val="fr-CH"/>
        </w:rPr>
        <w:t>à</w:t>
      </w:r>
      <w:r w:rsidRPr="005B121A">
        <w:rPr>
          <w:rFonts w:cs="Arial"/>
          <w:szCs w:val="20"/>
          <w:lang w:val="fr-CH"/>
        </w:rPr>
        <w:t xml:space="preserve"> réduire le nombre d’infractions pour lesquelles elle peut être infligée.</w:t>
      </w:r>
    </w:p>
    <w:p w14:paraId="1523F8E6" w14:textId="77777777" w:rsidR="00283FDD" w:rsidRPr="005B121A" w:rsidRDefault="00283FDD" w:rsidP="00DD5555">
      <w:pPr>
        <w:pStyle w:val="ListParagraph"/>
        <w:numPr>
          <w:ilvl w:val="0"/>
          <w:numId w:val="6"/>
        </w:numPr>
        <w:jc w:val="both"/>
        <w:rPr>
          <w:rFonts w:cs="Arial"/>
          <w:color w:val="000000" w:themeColor="text1"/>
          <w:szCs w:val="20"/>
          <w:lang w:val="fr-CH"/>
        </w:rPr>
      </w:pPr>
      <w:r w:rsidRPr="005B121A">
        <w:rPr>
          <w:rFonts w:cs="Arial"/>
          <w:szCs w:val="20"/>
          <w:lang w:val="fr-CH"/>
        </w:rPr>
        <w:t xml:space="preserve">Le </w:t>
      </w:r>
      <w:r w:rsidRPr="005B121A">
        <w:rPr>
          <w:rStyle w:val="Strong"/>
          <w:rFonts w:cs="Arial"/>
          <w:szCs w:val="20"/>
          <w:lang w:val="fr-CH"/>
        </w:rPr>
        <w:t>Comité</w:t>
      </w:r>
      <w:r w:rsidRPr="005B121A">
        <w:rPr>
          <w:rFonts w:cs="Arial"/>
          <w:szCs w:val="20"/>
          <w:lang w:val="fr-CH"/>
        </w:rPr>
        <w:t xml:space="preserve"> des droits de l’homme n’a cessé de réaffirmer que la peine de mort ne devait pas être prononcée pour des infractions liées aux drogues. </w:t>
      </w:r>
    </w:p>
    <w:p w14:paraId="1523F8E7" w14:textId="77777777" w:rsidR="00283FDD" w:rsidRPr="005B121A" w:rsidRDefault="00283FDD" w:rsidP="00DD5555">
      <w:pPr>
        <w:pStyle w:val="ListParagraph"/>
        <w:numPr>
          <w:ilvl w:val="0"/>
          <w:numId w:val="6"/>
        </w:numPr>
        <w:jc w:val="both"/>
        <w:rPr>
          <w:rFonts w:cs="Arial"/>
          <w:color w:val="000000" w:themeColor="text1"/>
          <w:szCs w:val="20"/>
          <w:lang w:val="fr-CH"/>
        </w:rPr>
      </w:pPr>
      <w:r w:rsidRPr="005B121A">
        <w:rPr>
          <w:rFonts w:cs="Arial"/>
          <w:szCs w:val="20"/>
          <w:lang w:val="fr-CH"/>
        </w:rPr>
        <w:t xml:space="preserve">Dans son dernier rapport sur la question de la peine de mort, le Secrétaire général des Nations Unies est parvenu à la même conclusion et a recommandé aux Etats </w:t>
      </w:r>
      <w:r w:rsidR="00741AD5" w:rsidRPr="005B121A">
        <w:rPr>
          <w:rFonts w:cs="Arial"/>
          <w:szCs w:val="20"/>
          <w:lang w:val="fr-CH"/>
        </w:rPr>
        <w:t xml:space="preserve">qui continuent d’appliquer </w:t>
      </w:r>
      <w:r w:rsidRPr="005B121A">
        <w:rPr>
          <w:rFonts w:cs="Arial"/>
          <w:szCs w:val="20"/>
          <w:lang w:val="fr-CH"/>
        </w:rPr>
        <w:t xml:space="preserve">la peine de mort de réduire le nombre d’infractions passibles de cette peine.  </w:t>
      </w:r>
    </w:p>
    <w:p w14:paraId="1523F8E8" w14:textId="77777777" w:rsidR="00283FDD" w:rsidRPr="005B121A" w:rsidRDefault="00283FDD" w:rsidP="00DD5555">
      <w:pPr>
        <w:pStyle w:val="ListParagraph"/>
        <w:numPr>
          <w:ilvl w:val="0"/>
          <w:numId w:val="6"/>
        </w:numPr>
        <w:jc w:val="both"/>
        <w:rPr>
          <w:rFonts w:cs="Arial"/>
          <w:color w:val="000000" w:themeColor="text1"/>
          <w:szCs w:val="20"/>
          <w:lang w:val="fr-CH"/>
        </w:rPr>
      </w:pPr>
      <w:r w:rsidRPr="005B121A">
        <w:rPr>
          <w:rFonts w:cs="Arial"/>
          <w:szCs w:val="20"/>
          <w:lang w:val="fr-CH"/>
        </w:rPr>
        <w:t xml:space="preserve">Le directeur exécutif de </w:t>
      </w:r>
      <w:r w:rsidR="00741AD5" w:rsidRPr="005B121A">
        <w:rPr>
          <w:rFonts w:cs="Arial"/>
          <w:szCs w:val="20"/>
          <w:lang w:val="fr-CH"/>
        </w:rPr>
        <w:t xml:space="preserve">l’ONUDC </w:t>
      </w:r>
      <w:r w:rsidRPr="005B121A">
        <w:rPr>
          <w:rFonts w:cs="Arial"/>
          <w:szCs w:val="20"/>
          <w:lang w:val="fr-CH"/>
        </w:rPr>
        <w:t xml:space="preserve">a </w:t>
      </w:r>
      <w:r w:rsidR="00741AD5" w:rsidRPr="005B121A">
        <w:rPr>
          <w:rFonts w:cs="Arial"/>
          <w:szCs w:val="20"/>
          <w:lang w:val="fr-CH"/>
        </w:rPr>
        <w:t>indiqué</w:t>
      </w:r>
      <w:r w:rsidRPr="005B121A">
        <w:rPr>
          <w:rFonts w:cs="Arial"/>
          <w:szCs w:val="20"/>
          <w:lang w:val="fr-CH"/>
        </w:rPr>
        <w:t>, dans sa contribution à l’examen de haut niveau</w:t>
      </w:r>
      <w:r w:rsidR="00741AD5" w:rsidRPr="005B121A">
        <w:rPr>
          <w:rFonts w:cs="Arial"/>
          <w:szCs w:val="20"/>
          <w:lang w:val="fr-CH"/>
        </w:rPr>
        <w:t xml:space="preserve"> de la Commission des stupéfiants de mars 2014</w:t>
      </w:r>
      <w:r w:rsidR="00F3693D" w:rsidRPr="005B121A">
        <w:rPr>
          <w:rFonts w:cs="Arial"/>
          <w:szCs w:val="20"/>
          <w:lang w:val="fr-CH"/>
        </w:rPr>
        <w:t>,</w:t>
      </w:r>
      <w:r w:rsidRPr="005B121A">
        <w:rPr>
          <w:rFonts w:cs="Arial"/>
          <w:szCs w:val="20"/>
          <w:lang w:val="fr-CH"/>
        </w:rPr>
        <w:t xml:space="preserve"> que l’application de la peine de mort pour des infractions liées à la drogue n’a jamais été dans l’esprit des conventions</w:t>
      </w:r>
      <w:r w:rsidR="00741AD5" w:rsidRPr="005B121A">
        <w:rPr>
          <w:rFonts w:cs="Arial"/>
          <w:szCs w:val="20"/>
          <w:lang w:val="fr-CH"/>
        </w:rPr>
        <w:t xml:space="preserve"> et qu’elle</w:t>
      </w:r>
      <w:r w:rsidRPr="005B121A">
        <w:rPr>
          <w:rFonts w:cs="Arial"/>
          <w:szCs w:val="20"/>
          <w:lang w:val="fr-CH"/>
        </w:rPr>
        <w:t xml:space="preserve"> est susceptible de faire obstacle à la coopération internationale dans la lutte contre le trafic de drogues. </w:t>
      </w:r>
    </w:p>
    <w:p w14:paraId="1523F8E9" w14:textId="77777777" w:rsidR="00283FDD" w:rsidRPr="005B121A" w:rsidRDefault="00283FDD" w:rsidP="00DD5555">
      <w:pPr>
        <w:pStyle w:val="ListParagraph"/>
        <w:numPr>
          <w:ilvl w:val="0"/>
          <w:numId w:val="6"/>
        </w:numPr>
        <w:jc w:val="both"/>
        <w:rPr>
          <w:rFonts w:cs="Arial"/>
          <w:color w:val="000000" w:themeColor="text1"/>
          <w:szCs w:val="20"/>
          <w:lang w:val="fr-CH"/>
        </w:rPr>
      </w:pPr>
      <w:r w:rsidRPr="005B121A">
        <w:rPr>
          <w:rFonts w:cs="Arial"/>
          <w:szCs w:val="20"/>
          <w:lang w:val="fr-CH"/>
        </w:rPr>
        <w:t xml:space="preserve">Pour finir, l’Organe international de contrôle des stupéfiants (OICS) encourage les Etats parties qui </w:t>
      </w:r>
      <w:r w:rsidR="00741AD5" w:rsidRPr="005B121A">
        <w:rPr>
          <w:rFonts w:cs="Arial"/>
          <w:szCs w:val="20"/>
          <w:lang w:val="fr-CH"/>
        </w:rPr>
        <w:t xml:space="preserve">continuent d’appliquer la peine de mort pour des infractions liées aux drogues </w:t>
      </w:r>
      <w:r w:rsidRPr="005B121A">
        <w:rPr>
          <w:rFonts w:cs="Arial"/>
          <w:szCs w:val="20"/>
          <w:lang w:val="fr-CH"/>
        </w:rPr>
        <w:t xml:space="preserve">à envisager </w:t>
      </w:r>
      <w:r w:rsidR="00741AD5" w:rsidRPr="005B121A">
        <w:rPr>
          <w:rFonts w:cs="Arial"/>
          <w:szCs w:val="20"/>
          <w:lang w:val="fr-CH"/>
        </w:rPr>
        <w:t>de l’abolir</w:t>
      </w:r>
      <w:r w:rsidRPr="005B121A">
        <w:rPr>
          <w:rFonts w:cs="Arial"/>
          <w:szCs w:val="20"/>
          <w:lang w:val="fr-CH"/>
        </w:rPr>
        <w:t xml:space="preserve"> pour ce type de crime. </w:t>
      </w:r>
    </w:p>
    <w:p w14:paraId="1523F8EA" w14:textId="77777777" w:rsidR="00283FDD" w:rsidRPr="00BD0A63" w:rsidRDefault="00283FDD" w:rsidP="00DD5555">
      <w:pPr>
        <w:ind w:left="360"/>
        <w:jc w:val="both"/>
        <w:rPr>
          <w:rFonts w:cs="Arial"/>
          <w:color w:val="000000" w:themeColor="text1"/>
          <w:sz w:val="20"/>
          <w:lang w:val="fr-CH"/>
        </w:rPr>
      </w:pPr>
    </w:p>
    <w:p w14:paraId="1523F8EB" w14:textId="77777777" w:rsidR="00EE5336" w:rsidRPr="00BD0A63" w:rsidRDefault="00EE5336" w:rsidP="00DD5555">
      <w:pPr>
        <w:jc w:val="both"/>
        <w:rPr>
          <w:rFonts w:cs="Arial"/>
          <w:color w:val="000000" w:themeColor="text1"/>
          <w:sz w:val="20"/>
          <w:lang w:val="fr-CH"/>
        </w:rPr>
      </w:pPr>
      <w:r w:rsidRPr="005B121A">
        <w:rPr>
          <w:rFonts w:cs="Arial"/>
          <w:sz w:val="20"/>
          <w:lang w:val="fr-CH"/>
        </w:rPr>
        <w:t>De notre point de vue, il est également important que le rapport traite de la corrélation étroite entre le problème de la drogue et celui de la violence armée, qui fait peser d’autres menaces sur le droit à la vie notamment en raison du risque d’exécution extrajudiciaire – tant du côté des groupes armés que de celui des forces de police et de sécurité. Dans de nombreuses régions, les personnes pauvres sont particulièrement exposées à ces menaces, car à l’échelle mondiale, la pauvreté se concentre de manière croissante dans des contextes marqués par des conflits armés et d’autres formes de violence.</w:t>
      </w:r>
    </w:p>
    <w:p w14:paraId="1523F8EC" w14:textId="77777777" w:rsidR="00EE5336" w:rsidRPr="00BD0A63" w:rsidRDefault="00EE5336" w:rsidP="00DD5555">
      <w:pPr>
        <w:ind w:left="360"/>
        <w:jc w:val="both"/>
        <w:rPr>
          <w:rFonts w:cs="Arial"/>
          <w:color w:val="000000" w:themeColor="text1"/>
          <w:sz w:val="20"/>
          <w:lang w:val="fr-CH"/>
        </w:rPr>
      </w:pPr>
    </w:p>
    <w:p w14:paraId="1523F8ED" w14:textId="77777777" w:rsidR="00AF28A2" w:rsidRPr="00BD0A63" w:rsidRDefault="00AF28A2" w:rsidP="00DD5555">
      <w:pPr>
        <w:ind w:left="360"/>
        <w:jc w:val="both"/>
        <w:rPr>
          <w:rFonts w:cs="Arial"/>
          <w:color w:val="000000" w:themeColor="text1"/>
          <w:sz w:val="20"/>
          <w:lang w:val="fr-CH"/>
        </w:rPr>
      </w:pPr>
    </w:p>
    <w:p w14:paraId="1523F8EE" w14:textId="77777777" w:rsidR="00110823" w:rsidRPr="00BD0A63" w:rsidRDefault="00110823" w:rsidP="00DD5555">
      <w:pPr>
        <w:jc w:val="both"/>
        <w:rPr>
          <w:rFonts w:cs="Arial"/>
          <w:b/>
          <w:sz w:val="20"/>
          <w:u w:val="single"/>
          <w:lang w:val="fr-CH"/>
        </w:rPr>
      </w:pPr>
      <w:r w:rsidRPr="00BD0A63">
        <w:rPr>
          <w:rFonts w:cs="Arial"/>
          <w:b/>
          <w:sz w:val="20"/>
          <w:u w:val="single"/>
          <w:lang w:val="fr-CH"/>
        </w:rPr>
        <w:t>Droit à la santé</w:t>
      </w:r>
    </w:p>
    <w:p w14:paraId="1523F8EF" w14:textId="77777777" w:rsidR="00AA6B66" w:rsidRPr="00BD0A63" w:rsidRDefault="00AA6B66" w:rsidP="00DD5555">
      <w:pPr>
        <w:ind w:left="0"/>
        <w:jc w:val="both"/>
        <w:rPr>
          <w:rFonts w:cs="Arial"/>
          <w:b/>
          <w:sz w:val="20"/>
          <w:lang w:val="fr-CH"/>
        </w:rPr>
      </w:pPr>
    </w:p>
    <w:p w14:paraId="1523F8F0" w14:textId="77777777" w:rsidR="00110823" w:rsidRPr="00076ADC" w:rsidRDefault="00283FDD" w:rsidP="00DD5555">
      <w:pPr>
        <w:jc w:val="both"/>
        <w:rPr>
          <w:rFonts w:cs="Arial"/>
          <w:sz w:val="20"/>
          <w:lang w:val="fr-CH"/>
        </w:rPr>
      </w:pPr>
      <w:r w:rsidRPr="00076ADC">
        <w:rPr>
          <w:rFonts w:cs="Arial"/>
          <w:sz w:val="20"/>
          <w:lang w:val="fr-CH"/>
        </w:rPr>
        <w:t xml:space="preserve">Des violations du droit à la santé se poursuivent dans un nombre important de pays, où l’accès à des mesures de réduction des risques est très limité voire inexistant. Cela a des conséquences sur la transmission de maladies comme le VIH et l’hépatite C et engendre des risques sanitaires supplémentaires pour les consommateurs de drogue et la société dans son ensemble. La Suisse a rappelé à plusieurs reprises qu’en vertu de l’art. 12 du Pacte international relatif aux droits économiques, sociaux et culturels, qui consacre le droit de toute personne de jouir du meilleur état de santé physique et mentale qu’elle soit capable d’atteindre, les Etats parties ont l’obligation de prendre les mesures nécessaires en vue d’assurer le plein exercice de ce droit. </w:t>
      </w:r>
    </w:p>
    <w:p w14:paraId="1523F8F1" w14:textId="77777777" w:rsidR="00110823" w:rsidRPr="00076ADC" w:rsidRDefault="00110823" w:rsidP="00DD5555">
      <w:pPr>
        <w:ind w:left="0"/>
        <w:jc w:val="both"/>
        <w:rPr>
          <w:rFonts w:cs="Arial"/>
          <w:sz w:val="20"/>
          <w:lang w:val="fr-CH"/>
        </w:rPr>
      </w:pPr>
    </w:p>
    <w:p w14:paraId="1523F8F2" w14:textId="77777777" w:rsidR="00FF4007" w:rsidRPr="00076ADC" w:rsidRDefault="00FC4995" w:rsidP="00DD5555">
      <w:pPr>
        <w:jc w:val="both"/>
        <w:rPr>
          <w:rFonts w:cs="Arial"/>
          <w:sz w:val="20"/>
          <w:lang w:val="fr-CH"/>
        </w:rPr>
      </w:pPr>
      <w:r w:rsidRPr="00076ADC">
        <w:rPr>
          <w:rFonts w:cs="Arial"/>
          <w:sz w:val="20"/>
          <w:lang w:val="fr-CH"/>
        </w:rPr>
        <w:t>Le</w:t>
      </w:r>
      <w:r w:rsidR="008E27E0" w:rsidRPr="00076ADC">
        <w:rPr>
          <w:rFonts w:cs="Arial"/>
          <w:sz w:val="20"/>
          <w:lang w:val="fr-CH"/>
        </w:rPr>
        <w:t xml:space="preserve"> droit à la santé </w:t>
      </w:r>
      <w:r w:rsidRPr="00076ADC">
        <w:rPr>
          <w:rFonts w:cs="Arial"/>
          <w:sz w:val="20"/>
          <w:lang w:val="fr-CH"/>
        </w:rPr>
        <w:t xml:space="preserve">doit être </w:t>
      </w:r>
      <w:r w:rsidR="008E27E0" w:rsidRPr="00076ADC">
        <w:rPr>
          <w:rFonts w:cs="Arial"/>
          <w:sz w:val="20"/>
          <w:lang w:val="fr-CH"/>
        </w:rPr>
        <w:t xml:space="preserve">au centre des politiques en matière de drogue </w:t>
      </w:r>
      <w:r w:rsidRPr="00076ADC">
        <w:rPr>
          <w:rFonts w:cs="Arial"/>
          <w:sz w:val="20"/>
          <w:lang w:val="fr-CH"/>
        </w:rPr>
        <w:t xml:space="preserve">et </w:t>
      </w:r>
      <w:r w:rsidR="008E27E0" w:rsidRPr="00076ADC">
        <w:rPr>
          <w:rFonts w:cs="Arial"/>
          <w:sz w:val="20"/>
          <w:lang w:val="fr-CH"/>
        </w:rPr>
        <w:t xml:space="preserve">implique de faire des efforts non seulement dans le domaine de la prévention et du traitement, qui sont largement acceptés et reconnus, mais aussi dans le domaine des mesures de réduction des risques, qui entrent dans le champ d’application et l’esprit des trois conventions internationales dans le domaine de la drogue (Convention unique sur les stupéfiants de 1961 telle que modifiée par le protocole de 1972, Convention sur les substances psychotropes de 1971 et Convention des Nations Unies contre le trafic illicite de stupéfiants et de substances psychotropes de 1988).  </w:t>
      </w:r>
    </w:p>
    <w:p w14:paraId="1523F8F3" w14:textId="77777777" w:rsidR="00FF4007" w:rsidRPr="00076ADC" w:rsidRDefault="00FF4007" w:rsidP="00DD5555">
      <w:pPr>
        <w:jc w:val="both"/>
        <w:rPr>
          <w:rFonts w:cs="Arial"/>
          <w:sz w:val="20"/>
          <w:lang w:val="fr-CH"/>
        </w:rPr>
      </w:pPr>
    </w:p>
    <w:p w14:paraId="1523F8F4" w14:textId="77777777" w:rsidR="00110823" w:rsidRPr="00076ADC" w:rsidRDefault="00110823" w:rsidP="00DD5555">
      <w:pPr>
        <w:ind w:left="0"/>
        <w:jc w:val="both"/>
        <w:rPr>
          <w:rFonts w:cs="Arial"/>
          <w:sz w:val="20"/>
          <w:lang w:val="fr-CH"/>
        </w:rPr>
      </w:pPr>
    </w:p>
    <w:p w14:paraId="1523F8F5" w14:textId="77777777" w:rsidR="00110823" w:rsidRPr="00076ADC" w:rsidRDefault="00283FDD" w:rsidP="00DD5555">
      <w:pPr>
        <w:jc w:val="both"/>
        <w:rPr>
          <w:rFonts w:cs="Arial"/>
          <w:sz w:val="20"/>
          <w:lang w:val="fr-CH"/>
        </w:rPr>
      </w:pPr>
      <w:r w:rsidRPr="00076ADC">
        <w:rPr>
          <w:rFonts w:cs="Arial"/>
          <w:sz w:val="20"/>
          <w:lang w:val="fr-CH"/>
        </w:rPr>
        <w:lastRenderedPageBreak/>
        <w:t>Les pays qui ont rapidement mis en place des stratégies de santé publique et des mesures de réduction des risques ont enregistré une baisse durable du nombre de contaminations par le VIH chez les toxicomanes par injection. La Suisse encourage les initiatives visant à faciliter l’accès à des seringues stériles et les autres mesures de réduction des risques. L’efficacité de ces initiatives pour réduire le nombre de contaminations par le VIH ou d’autres infections transmises par le sang a été scientifiquement prouvée.</w:t>
      </w:r>
    </w:p>
    <w:p w14:paraId="1523F8F6" w14:textId="77777777" w:rsidR="006225CD" w:rsidRPr="00076ADC" w:rsidRDefault="006225CD" w:rsidP="00DD5555">
      <w:pPr>
        <w:jc w:val="both"/>
        <w:rPr>
          <w:rFonts w:cs="Arial"/>
          <w:sz w:val="20"/>
          <w:lang w:val="fr-CH"/>
        </w:rPr>
      </w:pPr>
    </w:p>
    <w:p w14:paraId="1523F8F7" w14:textId="77777777" w:rsidR="006F3E22" w:rsidRPr="00076ADC" w:rsidRDefault="00A152D1" w:rsidP="00DD5555">
      <w:pPr>
        <w:jc w:val="both"/>
        <w:rPr>
          <w:rFonts w:cs="Arial"/>
          <w:sz w:val="20"/>
          <w:lang w:val="fr-CH"/>
        </w:rPr>
      </w:pPr>
      <w:r w:rsidRPr="00076ADC">
        <w:rPr>
          <w:rFonts w:cs="Arial"/>
          <w:sz w:val="20"/>
          <w:lang w:val="fr-CH"/>
        </w:rPr>
        <w:t>Dans ce contexte, la communauté internationale doit redoubler d’efforts si nous souhaitons réaliser l’objectif fixé par la Déclaration politique sur le VIH/SIDA lors de la réunion de haut n</w:t>
      </w:r>
      <w:r w:rsidR="00FA0FDB">
        <w:rPr>
          <w:rFonts w:cs="Arial"/>
          <w:sz w:val="20"/>
          <w:lang w:val="fr-CH"/>
        </w:rPr>
        <w:t>iveau de l’Assemblée générale de</w:t>
      </w:r>
      <w:r w:rsidRPr="00076ADC">
        <w:rPr>
          <w:rFonts w:cs="Arial"/>
          <w:sz w:val="20"/>
          <w:lang w:val="fr-CH"/>
        </w:rPr>
        <w:t xml:space="preserve"> 2011 de réduire de 50% le nombre de contaminations par le VIH chez les toxicomanes par injection. Ce but n’est pas atteint aujourd’hui.</w:t>
      </w:r>
    </w:p>
    <w:p w14:paraId="1523F8F8" w14:textId="77777777" w:rsidR="008E27E0" w:rsidRPr="00076ADC" w:rsidRDefault="008E27E0" w:rsidP="00DD5555">
      <w:pPr>
        <w:jc w:val="both"/>
        <w:rPr>
          <w:rFonts w:cs="Arial"/>
          <w:sz w:val="20"/>
          <w:lang w:val="fr-CH"/>
        </w:rPr>
      </w:pPr>
    </w:p>
    <w:p w14:paraId="1523F8F9" w14:textId="77777777" w:rsidR="006F3E22" w:rsidRPr="00076ADC" w:rsidRDefault="008E27E0" w:rsidP="00DD5555">
      <w:pPr>
        <w:jc w:val="both"/>
        <w:rPr>
          <w:rFonts w:cs="Arial"/>
          <w:sz w:val="20"/>
          <w:lang w:val="fr-CH"/>
        </w:rPr>
      </w:pPr>
      <w:r w:rsidRPr="00076ADC">
        <w:rPr>
          <w:rFonts w:cs="Arial"/>
          <w:sz w:val="20"/>
          <w:lang w:val="fr-CH"/>
        </w:rPr>
        <w:t>A l’heure où nous tirons le bilan des Objectifs du Millénaire pour le développement (ODM), l’agenda post-2015 est une opportunité de renforcer notre engagement par une approche intégrée du développement et dans le respect des droits de l’homme. Il faut notamment veiller à ce que les efforts fournis pour la mise en œuvre du droit à la santé et la réduction des risques bénéficient également aux personnes pauvres et défavorisées.</w:t>
      </w:r>
    </w:p>
    <w:p w14:paraId="1523F8FA" w14:textId="77777777" w:rsidR="00110823" w:rsidRPr="00076ADC" w:rsidRDefault="00110823" w:rsidP="00DD5555">
      <w:pPr>
        <w:jc w:val="both"/>
        <w:rPr>
          <w:rFonts w:cs="Arial"/>
          <w:sz w:val="20"/>
          <w:lang w:val="fr-CH"/>
        </w:rPr>
      </w:pPr>
    </w:p>
    <w:p w14:paraId="1523F8FB" w14:textId="77777777" w:rsidR="00110823" w:rsidRPr="00076ADC" w:rsidRDefault="00110823" w:rsidP="00DD5555">
      <w:pPr>
        <w:pStyle w:val="Default"/>
        <w:ind w:left="284"/>
        <w:jc w:val="both"/>
        <w:rPr>
          <w:sz w:val="20"/>
          <w:szCs w:val="20"/>
          <w:lang w:val="fr-CH"/>
        </w:rPr>
      </w:pPr>
      <w:r w:rsidRPr="00076ADC">
        <w:rPr>
          <w:sz w:val="20"/>
          <w:szCs w:val="20"/>
          <w:lang w:val="fr-CH"/>
        </w:rPr>
        <w:t>Mettre le droit à la santé au cœur des politiques en matière de drogue implique également de mener une réflexion au niveau international sur la question de l’accès aux médicaments. Des millions de personnes, notamment dans les pays ayant des systèmes de santé défaillants, souffrent de douleurs modérées à sévères qui ne sont pas prises en charge, y inclus pour les soins palliatifs, alors qu’il existe des traitements efficaces qui sont peu coûteux et disponibles.</w:t>
      </w:r>
    </w:p>
    <w:p w14:paraId="1523F8FC" w14:textId="77777777" w:rsidR="00B130EB" w:rsidRPr="001C7BDE" w:rsidRDefault="00B130EB" w:rsidP="00DD5555">
      <w:pPr>
        <w:ind w:left="0"/>
        <w:jc w:val="both"/>
        <w:rPr>
          <w:rFonts w:cs="Arial"/>
          <w:i/>
          <w:sz w:val="20"/>
          <w:lang w:val="fr-CH"/>
        </w:rPr>
      </w:pPr>
    </w:p>
    <w:p w14:paraId="1523F8FD" w14:textId="77777777" w:rsidR="00B130EB" w:rsidRPr="001C7BDE" w:rsidRDefault="00B130EB" w:rsidP="00DD5555">
      <w:pPr>
        <w:pStyle w:val="Default"/>
        <w:ind w:left="284"/>
        <w:jc w:val="both"/>
        <w:rPr>
          <w:sz w:val="20"/>
          <w:szCs w:val="20"/>
          <w:u w:val="single"/>
          <w:lang w:val="fr-CH"/>
        </w:rPr>
      </w:pPr>
      <w:r w:rsidRPr="001C7BDE">
        <w:rPr>
          <w:b/>
          <w:sz w:val="20"/>
          <w:szCs w:val="20"/>
          <w:u w:val="single"/>
          <w:lang w:val="fr-CH"/>
        </w:rPr>
        <w:t xml:space="preserve">Interdiction de la détention arbitraire et de la torture, ainsi que des peines ou traitements cruels, inhumains ou dégradants, et droit à un procès équitable </w:t>
      </w:r>
    </w:p>
    <w:p w14:paraId="1523F8FE" w14:textId="77777777" w:rsidR="007D27EF" w:rsidRPr="001C7BDE" w:rsidRDefault="007D27EF" w:rsidP="00DD5555">
      <w:pPr>
        <w:pStyle w:val="Default"/>
        <w:ind w:left="284"/>
        <w:jc w:val="both"/>
        <w:rPr>
          <w:color w:val="auto"/>
          <w:sz w:val="20"/>
          <w:szCs w:val="20"/>
          <w:lang w:val="fr-CH"/>
        </w:rPr>
      </w:pPr>
    </w:p>
    <w:p w14:paraId="1523F8FF" w14:textId="77777777" w:rsidR="00783BCF" w:rsidRPr="001C7BDE" w:rsidRDefault="00F3693D" w:rsidP="00DD5555">
      <w:pPr>
        <w:pStyle w:val="Default"/>
        <w:ind w:left="284"/>
        <w:jc w:val="both"/>
        <w:rPr>
          <w:sz w:val="20"/>
          <w:szCs w:val="20"/>
          <w:lang w:val="fr-CH"/>
        </w:rPr>
      </w:pPr>
      <w:r w:rsidRPr="001C7BDE">
        <w:rPr>
          <w:sz w:val="20"/>
          <w:szCs w:val="20"/>
          <w:lang w:val="fr-CH"/>
        </w:rPr>
        <w:t>Bien que l</w:t>
      </w:r>
      <w:r w:rsidR="00783BCF" w:rsidRPr="001C7BDE">
        <w:rPr>
          <w:sz w:val="20"/>
          <w:szCs w:val="20"/>
          <w:lang w:val="fr-CH"/>
        </w:rPr>
        <w:t>e Pacte international relatif aux droits civils et politiques garanti</w:t>
      </w:r>
      <w:r w:rsidRPr="001C7BDE">
        <w:rPr>
          <w:sz w:val="20"/>
          <w:szCs w:val="20"/>
          <w:lang w:val="fr-CH"/>
        </w:rPr>
        <w:t>sse</w:t>
      </w:r>
      <w:r w:rsidR="00783BCF" w:rsidRPr="001C7BDE">
        <w:rPr>
          <w:sz w:val="20"/>
          <w:szCs w:val="20"/>
          <w:lang w:val="fr-CH"/>
        </w:rPr>
        <w:t xml:space="preserve"> une série de droits importants</w:t>
      </w:r>
      <w:r w:rsidR="00821FA3">
        <w:rPr>
          <w:sz w:val="20"/>
          <w:szCs w:val="20"/>
          <w:lang w:val="fr-CH"/>
        </w:rPr>
        <w:t xml:space="preserve"> qui sont pertinents dans ce </w:t>
      </w:r>
      <w:r w:rsidR="00C64C46">
        <w:rPr>
          <w:sz w:val="20"/>
          <w:szCs w:val="20"/>
          <w:lang w:val="fr-CH"/>
        </w:rPr>
        <w:t>contexte</w:t>
      </w:r>
      <w:r w:rsidR="00C64C46" w:rsidRPr="001C7BDE">
        <w:rPr>
          <w:sz w:val="20"/>
          <w:szCs w:val="20"/>
          <w:lang w:val="fr-CH"/>
        </w:rPr>
        <w:t>,</w:t>
      </w:r>
      <w:r w:rsidRPr="001C7BDE">
        <w:rPr>
          <w:sz w:val="20"/>
          <w:szCs w:val="20"/>
          <w:lang w:val="fr-CH"/>
        </w:rPr>
        <w:t xml:space="preserve"> de nombreuses pratiques demeurent préoccupantes. </w:t>
      </w:r>
    </w:p>
    <w:p w14:paraId="1523F900" w14:textId="77777777" w:rsidR="00F3693D" w:rsidRPr="001C7BDE" w:rsidRDefault="00F3693D" w:rsidP="00DD5555">
      <w:pPr>
        <w:pStyle w:val="Default"/>
        <w:ind w:left="284"/>
        <w:jc w:val="both"/>
        <w:rPr>
          <w:color w:val="auto"/>
          <w:sz w:val="20"/>
          <w:szCs w:val="20"/>
          <w:lang w:val="fr-CH"/>
        </w:rPr>
      </w:pPr>
    </w:p>
    <w:p w14:paraId="1523F901" w14:textId="77777777" w:rsidR="009F45AA" w:rsidRPr="001C7BDE" w:rsidRDefault="007D27EF" w:rsidP="00DD5555">
      <w:pPr>
        <w:pStyle w:val="Default"/>
        <w:ind w:left="284"/>
        <w:jc w:val="both"/>
        <w:rPr>
          <w:sz w:val="20"/>
          <w:szCs w:val="20"/>
          <w:lang w:val="fr-CH"/>
        </w:rPr>
      </w:pPr>
      <w:r w:rsidRPr="001C7BDE">
        <w:rPr>
          <w:sz w:val="20"/>
          <w:szCs w:val="20"/>
          <w:lang w:val="fr-CH"/>
        </w:rPr>
        <w:t xml:space="preserve">L’arrestation et la mise en détention provisoire pour des infractions mineures, le refus de traitement de substitution aux opiacés utilisé par certaines autorités comme un moyen d’obtenir des aveux, et l’utilisation par certains pays de centres de détention et de réadaptation obligatoires sont des sources de préoccupation. Le soi-disant « traitement » dans ces centres n’est souvent pas fondé sur une évaluation individuelle. Nous suggérons de faire la lumière sur </w:t>
      </w:r>
      <w:r w:rsidR="00FC4995" w:rsidRPr="001C7BDE">
        <w:rPr>
          <w:sz w:val="20"/>
          <w:szCs w:val="20"/>
          <w:lang w:val="fr-CH"/>
        </w:rPr>
        <w:t xml:space="preserve">ces </w:t>
      </w:r>
      <w:r w:rsidRPr="001C7BDE">
        <w:rPr>
          <w:sz w:val="20"/>
          <w:szCs w:val="20"/>
          <w:lang w:val="fr-CH"/>
        </w:rPr>
        <w:t>pratique</w:t>
      </w:r>
      <w:r w:rsidR="00FC4995" w:rsidRPr="001C7BDE">
        <w:rPr>
          <w:sz w:val="20"/>
          <w:szCs w:val="20"/>
          <w:lang w:val="fr-CH"/>
        </w:rPr>
        <w:t>s</w:t>
      </w:r>
      <w:r w:rsidRPr="001C7BDE">
        <w:rPr>
          <w:sz w:val="20"/>
          <w:szCs w:val="20"/>
          <w:lang w:val="fr-CH"/>
        </w:rPr>
        <w:t xml:space="preserve"> dans le rapport, sous l’angle des différents droits de l’homme qu’elle</w:t>
      </w:r>
      <w:r w:rsidR="00FC4995" w:rsidRPr="001C7BDE">
        <w:rPr>
          <w:sz w:val="20"/>
          <w:szCs w:val="20"/>
          <w:lang w:val="fr-CH"/>
        </w:rPr>
        <w:t>s</w:t>
      </w:r>
      <w:r w:rsidRPr="001C7BDE">
        <w:rPr>
          <w:sz w:val="20"/>
          <w:szCs w:val="20"/>
          <w:lang w:val="fr-CH"/>
        </w:rPr>
        <w:t xml:space="preserve"> </w:t>
      </w:r>
      <w:r w:rsidR="00FC4995" w:rsidRPr="001C7BDE">
        <w:rPr>
          <w:sz w:val="20"/>
          <w:szCs w:val="20"/>
          <w:lang w:val="fr-CH"/>
        </w:rPr>
        <w:t>sont</w:t>
      </w:r>
      <w:r w:rsidRPr="001C7BDE">
        <w:rPr>
          <w:sz w:val="20"/>
          <w:szCs w:val="20"/>
          <w:lang w:val="fr-CH"/>
        </w:rPr>
        <w:t xml:space="preserve"> susceptible</w:t>
      </w:r>
      <w:r w:rsidR="00FC4995" w:rsidRPr="001C7BDE">
        <w:rPr>
          <w:sz w:val="20"/>
          <w:szCs w:val="20"/>
          <w:lang w:val="fr-CH"/>
        </w:rPr>
        <w:t>s</w:t>
      </w:r>
      <w:r w:rsidRPr="001C7BDE">
        <w:rPr>
          <w:sz w:val="20"/>
          <w:szCs w:val="20"/>
          <w:lang w:val="fr-CH"/>
        </w:rPr>
        <w:t xml:space="preserve"> de bafouer.</w:t>
      </w:r>
    </w:p>
    <w:p w14:paraId="1523F902" w14:textId="77777777" w:rsidR="00F32048" w:rsidRPr="001C7BDE" w:rsidRDefault="00F32048" w:rsidP="00DD5555">
      <w:pPr>
        <w:pStyle w:val="Default"/>
        <w:ind w:left="284"/>
        <w:jc w:val="both"/>
        <w:rPr>
          <w:sz w:val="20"/>
          <w:szCs w:val="20"/>
          <w:lang w:val="fr-CH"/>
        </w:rPr>
      </w:pPr>
    </w:p>
    <w:p w14:paraId="1523F903" w14:textId="77777777" w:rsidR="00B130EB" w:rsidRPr="001C7BDE" w:rsidRDefault="00B130EB" w:rsidP="00DD5555">
      <w:pPr>
        <w:pStyle w:val="Default"/>
        <w:ind w:left="284"/>
        <w:jc w:val="both"/>
        <w:rPr>
          <w:sz w:val="20"/>
          <w:szCs w:val="20"/>
          <w:lang w:val="fr-CH"/>
        </w:rPr>
      </w:pPr>
      <w:r w:rsidRPr="001C7BDE">
        <w:rPr>
          <w:sz w:val="20"/>
          <w:szCs w:val="20"/>
          <w:lang w:val="fr-CH"/>
        </w:rPr>
        <w:t>D’autres pratiques inquiétantes incluent le travail forcé, les châtiments corporels,</w:t>
      </w:r>
      <w:r w:rsidR="001A4312" w:rsidRPr="001C7BDE">
        <w:rPr>
          <w:sz w:val="20"/>
          <w:szCs w:val="20"/>
          <w:lang w:val="fr-CH"/>
        </w:rPr>
        <w:t xml:space="preserve"> la violence policière excessive,</w:t>
      </w:r>
      <w:r w:rsidRPr="001C7BDE">
        <w:rPr>
          <w:sz w:val="20"/>
          <w:szCs w:val="20"/>
          <w:lang w:val="fr-CH"/>
        </w:rPr>
        <w:t xml:space="preserve"> les retraits médicamenteux, l’abus sexuel, l’isolement et les traitements expérimentaux administrés sans le consentement des personnes concernées. Ces pratiques entraînent également des violations des droits de l’homme qu’il convient d’examiner dans le rapport, et qui touchent en particulier les personnes pauvres et défavorisées.</w:t>
      </w:r>
    </w:p>
    <w:p w14:paraId="1523F904" w14:textId="77777777" w:rsidR="00F32048" w:rsidRPr="001C7BDE" w:rsidRDefault="00F32048" w:rsidP="00DD5555">
      <w:pPr>
        <w:pStyle w:val="Default"/>
        <w:ind w:left="284"/>
        <w:jc w:val="both"/>
        <w:rPr>
          <w:sz w:val="20"/>
          <w:szCs w:val="20"/>
          <w:lang w:val="fr-CH"/>
        </w:rPr>
      </w:pPr>
    </w:p>
    <w:p w14:paraId="1523F905" w14:textId="77777777" w:rsidR="00F32048" w:rsidRPr="001C7BDE" w:rsidRDefault="00F32048" w:rsidP="00DD5555">
      <w:pPr>
        <w:pStyle w:val="Default"/>
        <w:ind w:left="284"/>
        <w:jc w:val="both"/>
        <w:rPr>
          <w:sz w:val="20"/>
          <w:szCs w:val="20"/>
          <w:u w:val="single"/>
          <w:lang w:val="fr-CH"/>
        </w:rPr>
      </w:pPr>
      <w:r w:rsidRPr="001C7BDE">
        <w:rPr>
          <w:sz w:val="20"/>
          <w:szCs w:val="20"/>
          <w:lang w:val="fr-CH"/>
        </w:rPr>
        <w:t>Les personnes pauvres et défavorisées sont particulièrement à risque par rapport à la violation de</w:t>
      </w:r>
      <w:r w:rsidR="00F3693D" w:rsidRPr="001C7BDE">
        <w:rPr>
          <w:sz w:val="20"/>
          <w:szCs w:val="20"/>
          <w:lang w:val="fr-CH"/>
        </w:rPr>
        <w:t>s droits mentionnés plus haut.</w:t>
      </w:r>
      <w:r w:rsidRPr="001C7BDE">
        <w:rPr>
          <w:sz w:val="20"/>
          <w:szCs w:val="20"/>
          <w:lang w:val="fr-CH"/>
        </w:rPr>
        <w:t xml:space="preserve"> </w:t>
      </w:r>
    </w:p>
    <w:p w14:paraId="1523F906" w14:textId="77777777" w:rsidR="00F32048" w:rsidRPr="001C7BDE" w:rsidRDefault="00F32048" w:rsidP="00DD5555">
      <w:pPr>
        <w:pStyle w:val="Default"/>
        <w:jc w:val="both"/>
        <w:rPr>
          <w:sz w:val="20"/>
          <w:szCs w:val="20"/>
          <w:lang w:val="fr-CH"/>
        </w:rPr>
      </w:pPr>
    </w:p>
    <w:p w14:paraId="1523F907" w14:textId="77777777" w:rsidR="00B130EB" w:rsidRPr="001C7BDE" w:rsidRDefault="00B130EB" w:rsidP="00DD5555">
      <w:pPr>
        <w:pStyle w:val="Default"/>
        <w:jc w:val="both"/>
        <w:rPr>
          <w:sz w:val="20"/>
          <w:szCs w:val="20"/>
          <w:u w:val="single"/>
          <w:lang w:val="fr-CH"/>
        </w:rPr>
      </w:pPr>
    </w:p>
    <w:p w14:paraId="1523F908" w14:textId="77777777" w:rsidR="00B130EB" w:rsidRPr="001C7BDE" w:rsidRDefault="00D86A4C" w:rsidP="00DD5555">
      <w:pPr>
        <w:pStyle w:val="Default"/>
        <w:ind w:firstLine="284"/>
        <w:jc w:val="both"/>
        <w:rPr>
          <w:sz w:val="20"/>
          <w:szCs w:val="20"/>
          <w:u w:val="single"/>
          <w:lang w:val="fr-CH"/>
        </w:rPr>
      </w:pPr>
      <w:r w:rsidRPr="001C7BDE">
        <w:rPr>
          <w:b/>
          <w:sz w:val="20"/>
          <w:szCs w:val="20"/>
          <w:u w:val="single"/>
          <w:lang w:val="fr-CH"/>
        </w:rPr>
        <w:t>Droit à l’égalité et à la non-discrimination</w:t>
      </w:r>
    </w:p>
    <w:p w14:paraId="1523F909" w14:textId="77777777" w:rsidR="00B130EB" w:rsidRPr="001C7BDE" w:rsidRDefault="00B130EB" w:rsidP="00DD5555">
      <w:pPr>
        <w:pStyle w:val="Default"/>
        <w:ind w:left="284"/>
        <w:jc w:val="both"/>
        <w:rPr>
          <w:sz w:val="20"/>
          <w:szCs w:val="20"/>
          <w:lang w:val="fr-CH"/>
        </w:rPr>
      </w:pPr>
      <w:r w:rsidRPr="001C7BDE">
        <w:rPr>
          <w:sz w:val="20"/>
          <w:szCs w:val="20"/>
          <w:lang w:val="fr-CH"/>
        </w:rPr>
        <w:t>Les lois nationales qui stigmatisent et marginalisent les usagers de drogues doivent également être abordées. La condamnation pénale, même pour une utilisation mineure de drogues, peut priver une personne de ses droits parentaux, y compris la garde, ainsi que d’autres droits légaux, et peut modifier irrémédiablement les opportunités futures, y compris l’emploi. Dans le cadre d’une politique répressive, les personnes appartenant à des minorités ainsi qu’à des groupes de population pauvres et défavorisés sont bien souvent stigmatisées, discriminées et touchées beaucoup plus fortement par les mesures d’application.</w:t>
      </w:r>
    </w:p>
    <w:p w14:paraId="1523F90A" w14:textId="77777777" w:rsidR="001C7BDE" w:rsidRDefault="001C7BDE" w:rsidP="00DD5555">
      <w:pPr>
        <w:pStyle w:val="Default"/>
        <w:ind w:firstLine="284"/>
        <w:jc w:val="both"/>
        <w:rPr>
          <w:sz w:val="20"/>
          <w:szCs w:val="20"/>
          <w:lang w:val="fr-CH"/>
        </w:rPr>
      </w:pPr>
    </w:p>
    <w:p w14:paraId="1523F90B" w14:textId="77777777" w:rsidR="001C7BDE" w:rsidRDefault="001C7BDE" w:rsidP="00DD5555">
      <w:pPr>
        <w:pStyle w:val="Default"/>
        <w:ind w:firstLine="284"/>
        <w:jc w:val="both"/>
        <w:rPr>
          <w:sz w:val="20"/>
          <w:szCs w:val="20"/>
          <w:lang w:val="fr-CH"/>
        </w:rPr>
      </w:pPr>
    </w:p>
    <w:p w14:paraId="1523F90C" w14:textId="77777777" w:rsidR="00DD5555" w:rsidRDefault="00D86A4C" w:rsidP="00DD5555">
      <w:pPr>
        <w:pStyle w:val="Default"/>
        <w:ind w:firstLine="284"/>
        <w:jc w:val="both"/>
        <w:rPr>
          <w:sz w:val="20"/>
          <w:szCs w:val="20"/>
          <w:u w:val="single"/>
          <w:lang w:val="fr-CH"/>
        </w:rPr>
      </w:pPr>
      <w:r w:rsidRPr="001C7BDE">
        <w:rPr>
          <w:b/>
          <w:sz w:val="20"/>
          <w:szCs w:val="20"/>
          <w:u w:val="single"/>
          <w:lang w:val="fr-CH"/>
        </w:rPr>
        <w:t>Droit de prendre part à la direction des affaires publiques</w:t>
      </w:r>
    </w:p>
    <w:p w14:paraId="1523F90D" w14:textId="77777777" w:rsidR="000A5ABC" w:rsidRPr="001C7BDE" w:rsidRDefault="000A5ABC" w:rsidP="00DD5555">
      <w:pPr>
        <w:pStyle w:val="Default"/>
        <w:ind w:left="284"/>
        <w:jc w:val="both"/>
        <w:rPr>
          <w:sz w:val="20"/>
          <w:szCs w:val="20"/>
          <w:u w:val="single"/>
          <w:lang w:val="fr-CH"/>
        </w:rPr>
      </w:pPr>
      <w:r w:rsidRPr="001C7BDE">
        <w:rPr>
          <w:sz w:val="20"/>
          <w:szCs w:val="20"/>
          <w:lang w:val="fr-CH"/>
        </w:rPr>
        <w:t xml:space="preserve">Dans de nombreux contextes, le problème mondial de la drogue compromet </w:t>
      </w:r>
      <w:r>
        <w:rPr>
          <w:sz w:val="20"/>
          <w:szCs w:val="20"/>
          <w:lang w:val="fr-CH"/>
        </w:rPr>
        <w:t>les processus</w:t>
      </w:r>
      <w:r w:rsidRPr="001C7BDE">
        <w:rPr>
          <w:sz w:val="20"/>
          <w:szCs w:val="20"/>
          <w:lang w:val="fr-CH"/>
        </w:rPr>
        <w:t xml:space="preserve"> et les institutions démocratiques et menace l’état de droit. Il porte ainsi atteinte au droit des populations concernées de prendre part à la direction des affaires publiques.</w:t>
      </w:r>
    </w:p>
    <w:p w14:paraId="1523F90E" w14:textId="77777777" w:rsidR="005C7667" w:rsidRPr="001C7BDE" w:rsidRDefault="005C7667" w:rsidP="00DD5555">
      <w:pPr>
        <w:ind w:left="0"/>
        <w:jc w:val="both"/>
        <w:rPr>
          <w:rFonts w:cs="Arial"/>
          <w:sz w:val="20"/>
          <w:lang w:val="fr-CH"/>
        </w:rPr>
      </w:pPr>
    </w:p>
    <w:p w14:paraId="1523F90F" w14:textId="77777777" w:rsidR="00A443BA" w:rsidRPr="001C7BDE" w:rsidRDefault="00A443BA" w:rsidP="00DD5555">
      <w:pPr>
        <w:pStyle w:val="Default"/>
        <w:ind w:firstLine="284"/>
        <w:jc w:val="both"/>
        <w:rPr>
          <w:sz w:val="20"/>
          <w:szCs w:val="20"/>
          <w:u w:val="single"/>
          <w:lang w:val="fr-CH"/>
        </w:rPr>
      </w:pPr>
      <w:r w:rsidRPr="001C7BDE">
        <w:rPr>
          <w:b/>
          <w:sz w:val="20"/>
          <w:szCs w:val="20"/>
          <w:u w:val="single"/>
          <w:lang w:val="fr-CH"/>
        </w:rPr>
        <w:t xml:space="preserve">Droits </w:t>
      </w:r>
      <w:r w:rsidR="00BD0A63" w:rsidRPr="001C7BDE">
        <w:rPr>
          <w:b/>
          <w:sz w:val="20"/>
          <w:szCs w:val="20"/>
          <w:u w:val="single"/>
          <w:lang w:val="fr-CH"/>
        </w:rPr>
        <w:t xml:space="preserve">humains </w:t>
      </w:r>
      <w:r w:rsidRPr="001C7BDE">
        <w:rPr>
          <w:b/>
          <w:sz w:val="20"/>
          <w:szCs w:val="20"/>
          <w:u w:val="single"/>
          <w:lang w:val="fr-CH"/>
        </w:rPr>
        <w:t xml:space="preserve">des femmes </w:t>
      </w:r>
    </w:p>
    <w:p w14:paraId="1523F910" w14:textId="77777777" w:rsidR="00A443BA" w:rsidRPr="001C7BDE" w:rsidRDefault="00F874BB" w:rsidP="00DD5555">
      <w:pPr>
        <w:pStyle w:val="Default"/>
        <w:ind w:left="284"/>
        <w:jc w:val="both"/>
        <w:rPr>
          <w:sz w:val="20"/>
          <w:szCs w:val="20"/>
          <w:lang w:val="fr-CH"/>
        </w:rPr>
      </w:pPr>
      <w:r w:rsidRPr="001C7BDE">
        <w:rPr>
          <w:sz w:val="20"/>
          <w:szCs w:val="20"/>
          <w:lang w:val="fr-CH"/>
        </w:rPr>
        <w:t xml:space="preserve">Dans le contexte du problème de la drogue, les femmes disposent souvent d’un accès restreint à des services de santé et à des thérapies efficaces tenant compte de leurs besoins spécifiques. Elles sont exposées dans bien des cas à une stigmatisation et une discrimination particulières de la part des autorités d’exécution, des prestataires et des membres de leur famille. De nombreuses femmes (notamment des mères d’enfants en bas âge) sont ainsi emprisonnées, sans égard </w:t>
      </w:r>
      <w:r w:rsidR="00361DBC" w:rsidRPr="001C7BDE">
        <w:rPr>
          <w:sz w:val="20"/>
          <w:szCs w:val="20"/>
          <w:lang w:val="fr-CH"/>
        </w:rPr>
        <w:t xml:space="preserve">par rapport </w:t>
      </w:r>
      <w:r w:rsidRPr="001C7BDE">
        <w:rPr>
          <w:sz w:val="20"/>
          <w:szCs w:val="20"/>
          <w:lang w:val="fr-CH"/>
        </w:rPr>
        <w:t>à leurs circonstances particulières, pour des délits mineurs non violents liés à la drogue.</w:t>
      </w:r>
    </w:p>
    <w:p w14:paraId="1523F911" w14:textId="77777777" w:rsidR="005C7667" w:rsidRPr="001C7BDE" w:rsidRDefault="005C7667" w:rsidP="00DD5555">
      <w:pPr>
        <w:ind w:left="0"/>
        <w:jc w:val="both"/>
        <w:rPr>
          <w:rFonts w:cs="Arial"/>
          <w:sz w:val="20"/>
          <w:lang w:val="fr-CH"/>
        </w:rPr>
      </w:pPr>
    </w:p>
    <w:p w14:paraId="1523F912" w14:textId="77777777" w:rsidR="00B130EB" w:rsidRPr="001C7BDE" w:rsidRDefault="00B130EB" w:rsidP="00DD5555">
      <w:pPr>
        <w:pStyle w:val="Default"/>
        <w:ind w:firstLine="284"/>
        <w:jc w:val="both"/>
        <w:rPr>
          <w:sz w:val="20"/>
          <w:szCs w:val="20"/>
          <w:u w:val="single"/>
          <w:lang w:val="fr-CH"/>
        </w:rPr>
      </w:pPr>
      <w:r w:rsidRPr="001C7BDE">
        <w:rPr>
          <w:b/>
          <w:sz w:val="20"/>
          <w:szCs w:val="20"/>
          <w:u w:val="single"/>
          <w:lang w:val="fr-CH"/>
        </w:rPr>
        <w:t xml:space="preserve">Droits de l’enfant </w:t>
      </w:r>
    </w:p>
    <w:p w14:paraId="1523F913" w14:textId="77777777" w:rsidR="00B130EB" w:rsidRPr="001C7BDE" w:rsidRDefault="00B130EB" w:rsidP="00DD5555">
      <w:pPr>
        <w:pStyle w:val="Default"/>
        <w:ind w:left="284"/>
        <w:jc w:val="both"/>
        <w:rPr>
          <w:sz w:val="20"/>
          <w:szCs w:val="20"/>
          <w:lang w:val="fr-CH"/>
        </w:rPr>
      </w:pPr>
      <w:r w:rsidRPr="001C7BDE">
        <w:rPr>
          <w:sz w:val="20"/>
          <w:szCs w:val="20"/>
          <w:lang w:val="fr-CH"/>
        </w:rPr>
        <w:t xml:space="preserve">Les mineurs font face à des défis particuliers en ce qui concerne l’usage de drogues. Le Comité sur les droits de l’enfant a demandé que les enfants qui consomment des drogues ne soient pas soumis à des poursuites pénales. Ils devraient recevoir des informations précises et objectives sur les drogues, et des services de réduction des risques et de traitement de la toxicomanie devraient être disponibles pour eux. </w:t>
      </w:r>
    </w:p>
    <w:p w14:paraId="1523F914" w14:textId="77777777" w:rsidR="005C7667" w:rsidRPr="001C7BDE" w:rsidRDefault="005C7667" w:rsidP="00DD5555">
      <w:pPr>
        <w:ind w:left="0"/>
        <w:jc w:val="both"/>
        <w:rPr>
          <w:rFonts w:cs="Arial"/>
          <w:sz w:val="20"/>
          <w:lang w:val="fr-CH"/>
        </w:rPr>
      </w:pPr>
    </w:p>
    <w:p w14:paraId="1523F915" w14:textId="77777777" w:rsidR="00B00213" w:rsidRPr="001C7BDE" w:rsidRDefault="00B00213" w:rsidP="00DD5555">
      <w:pPr>
        <w:pStyle w:val="Default"/>
        <w:ind w:firstLine="284"/>
        <w:jc w:val="both"/>
        <w:rPr>
          <w:sz w:val="20"/>
          <w:szCs w:val="20"/>
          <w:u w:val="single"/>
          <w:lang w:val="fr-CH"/>
        </w:rPr>
      </w:pPr>
      <w:r w:rsidRPr="001C7BDE">
        <w:rPr>
          <w:b/>
          <w:sz w:val="20"/>
          <w:szCs w:val="20"/>
          <w:u w:val="single"/>
          <w:lang w:val="fr-CH"/>
        </w:rPr>
        <w:t xml:space="preserve">Droits des peuples autochtones </w:t>
      </w:r>
    </w:p>
    <w:p w14:paraId="1523F916" w14:textId="77777777" w:rsidR="00B00213" w:rsidRPr="001C7BDE" w:rsidRDefault="00B00213" w:rsidP="00DD5555">
      <w:pPr>
        <w:pStyle w:val="Default"/>
        <w:ind w:left="284"/>
        <w:jc w:val="both"/>
        <w:rPr>
          <w:sz w:val="20"/>
          <w:szCs w:val="20"/>
          <w:lang w:val="fr-CH"/>
        </w:rPr>
      </w:pPr>
      <w:r w:rsidRPr="001C7BDE">
        <w:rPr>
          <w:sz w:val="20"/>
          <w:szCs w:val="20"/>
          <w:lang w:val="fr-CH"/>
        </w:rPr>
        <w:t>Les politiques et les mesures d’exécution visant la réduction de l’offre et de la demande de drogue sont préoccupantes au regard des instruments internationaux pour la défense des droits des populations autochtones, en particulier concernant l’autorisation de pratiques traditionnelles, religieuses ou médicales</w:t>
      </w:r>
      <w:r w:rsidR="001C7BDE">
        <w:rPr>
          <w:sz w:val="20"/>
          <w:szCs w:val="20"/>
          <w:lang w:val="fr-CH"/>
        </w:rPr>
        <w:t xml:space="preserve">, </w:t>
      </w:r>
      <w:r w:rsidRPr="001C7BDE">
        <w:rPr>
          <w:sz w:val="20"/>
          <w:szCs w:val="20"/>
          <w:lang w:val="fr-CH"/>
        </w:rPr>
        <w:t>ainsi que l’exploitation des terres et des ressources.</w:t>
      </w:r>
    </w:p>
    <w:p w14:paraId="1523F917" w14:textId="77777777" w:rsidR="00B130EB" w:rsidRPr="001C7BDE" w:rsidRDefault="00B130EB" w:rsidP="00DD5555">
      <w:pPr>
        <w:ind w:left="0"/>
        <w:jc w:val="both"/>
        <w:rPr>
          <w:rFonts w:cs="Arial"/>
          <w:sz w:val="20"/>
          <w:lang w:val="fr-CH"/>
        </w:rPr>
      </w:pPr>
    </w:p>
    <w:p w14:paraId="1523F918" w14:textId="77777777" w:rsidR="00B130EB" w:rsidRPr="001C7BDE" w:rsidRDefault="00B130EB" w:rsidP="00DD5555">
      <w:pPr>
        <w:jc w:val="both"/>
        <w:rPr>
          <w:rFonts w:cs="Arial"/>
          <w:sz w:val="20"/>
          <w:lang w:val="fr-CH"/>
        </w:rPr>
      </w:pPr>
      <w:r w:rsidRPr="001C7BDE">
        <w:rPr>
          <w:rFonts w:cs="Arial"/>
          <w:sz w:val="20"/>
          <w:lang w:val="fr-CH"/>
        </w:rPr>
        <w:t>Pour faire face au problème mondial de la drogue, la société civile joue également un rôle de premier plan</w:t>
      </w:r>
      <w:r w:rsidR="001C7BDE">
        <w:rPr>
          <w:rFonts w:cs="Arial"/>
          <w:sz w:val="20"/>
          <w:lang w:val="fr-CH"/>
        </w:rPr>
        <w:t xml:space="preserve">. </w:t>
      </w:r>
    </w:p>
    <w:p w14:paraId="1523F919" w14:textId="77777777" w:rsidR="00B130EB" w:rsidRPr="001C7BDE" w:rsidRDefault="00B130EB" w:rsidP="00DD5555">
      <w:pPr>
        <w:jc w:val="both"/>
        <w:rPr>
          <w:rFonts w:cs="Arial"/>
          <w:sz w:val="20"/>
          <w:lang w:val="fr-CH"/>
        </w:rPr>
      </w:pPr>
    </w:p>
    <w:p w14:paraId="1523F91A" w14:textId="77777777" w:rsidR="005C7667" w:rsidRPr="001C7BDE" w:rsidRDefault="005C7667" w:rsidP="00DD5555">
      <w:pPr>
        <w:jc w:val="both"/>
        <w:rPr>
          <w:rFonts w:cs="Arial"/>
          <w:sz w:val="20"/>
          <w:lang w:val="fr-CH"/>
        </w:rPr>
      </w:pPr>
      <w:r w:rsidRPr="001C7BDE">
        <w:rPr>
          <w:rFonts w:cs="Arial"/>
          <w:sz w:val="20"/>
          <w:lang w:val="fr-CH"/>
        </w:rPr>
        <w:t xml:space="preserve">La Suisse est convaincue que le rapport du HCDH constituera un fondement important pour les discussions à venir sur le thème conjoint de la politique en matière de drogue et des droits de l’homme. </w:t>
      </w:r>
    </w:p>
    <w:p w14:paraId="1523F91B" w14:textId="77777777" w:rsidR="005C7667" w:rsidRPr="001C7BDE" w:rsidRDefault="005C7667" w:rsidP="00DD5555">
      <w:pPr>
        <w:jc w:val="both"/>
        <w:rPr>
          <w:rFonts w:cs="Arial"/>
          <w:sz w:val="20"/>
          <w:lang w:val="fr-CH"/>
        </w:rPr>
      </w:pPr>
    </w:p>
    <w:p w14:paraId="1523F91C" w14:textId="77777777" w:rsidR="00380282" w:rsidRPr="001C7BDE" w:rsidRDefault="00380282" w:rsidP="00DD5555">
      <w:pPr>
        <w:jc w:val="both"/>
        <w:rPr>
          <w:rFonts w:cs="Arial"/>
          <w:sz w:val="20"/>
          <w:lang w:val="fr-CH"/>
        </w:rPr>
      </w:pPr>
      <w:r w:rsidRPr="001C7BDE">
        <w:rPr>
          <w:rFonts w:cs="Arial"/>
          <w:sz w:val="20"/>
          <w:lang w:val="fr-CH"/>
        </w:rPr>
        <w:t>La Mission permanente de la Suisse auprès des Nations Unies à Genève saisit cette occasion pour renouveler au Haut-Commissariat aux droits de l’homme l’assurance de sa très haute considération.</w:t>
      </w:r>
    </w:p>
    <w:p w14:paraId="1523F91D" w14:textId="77777777" w:rsidR="00380282" w:rsidRPr="001C7BDE" w:rsidRDefault="00380282" w:rsidP="00DD5555">
      <w:pPr>
        <w:jc w:val="both"/>
        <w:rPr>
          <w:rFonts w:cs="Arial"/>
          <w:sz w:val="20"/>
          <w:lang w:val="fr-CH"/>
        </w:rPr>
      </w:pPr>
    </w:p>
    <w:p w14:paraId="1523F91E" w14:textId="77777777" w:rsidR="00380282" w:rsidRPr="001C7BDE" w:rsidRDefault="00380282" w:rsidP="00DD5555">
      <w:pPr>
        <w:jc w:val="both"/>
        <w:rPr>
          <w:rFonts w:cs="Arial"/>
          <w:sz w:val="20"/>
          <w:lang w:val="fr-CH"/>
        </w:rPr>
      </w:pPr>
    </w:p>
    <w:p w14:paraId="1523F91F" w14:textId="77777777" w:rsidR="00380282" w:rsidRPr="00BD0A63" w:rsidRDefault="009704E5" w:rsidP="00DD5555">
      <w:pPr>
        <w:jc w:val="both"/>
        <w:rPr>
          <w:rFonts w:cs="Arial"/>
          <w:sz w:val="20"/>
          <w:lang w:val="fr-CH"/>
        </w:rPr>
      </w:pPr>
      <w:r w:rsidRPr="001C7BDE">
        <w:rPr>
          <w:rFonts w:cs="Arial"/>
          <w:sz w:val="20"/>
          <w:lang w:val="fr-CH"/>
        </w:rPr>
        <w:t xml:space="preserve">Genève, le </w:t>
      </w:r>
      <w:r w:rsidR="00BC53DF">
        <w:rPr>
          <w:rFonts w:cs="Arial"/>
          <w:sz w:val="20"/>
          <w:lang w:val="fr-CH"/>
        </w:rPr>
        <w:t>24</w:t>
      </w:r>
      <w:r w:rsidRPr="001C7BDE">
        <w:rPr>
          <w:rFonts w:cs="Arial"/>
          <w:sz w:val="20"/>
          <w:lang w:val="fr-CH"/>
        </w:rPr>
        <w:t xml:space="preserve"> juin 2015</w:t>
      </w:r>
      <w:r w:rsidRPr="00BD0A63">
        <w:rPr>
          <w:rFonts w:cs="Arial"/>
          <w:sz w:val="20"/>
          <w:lang w:val="fr-CH"/>
        </w:rPr>
        <w:t xml:space="preserve"> </w:t>
      </w:r>
    </w:p>
    <w:p w14:paraId="1523F920" w14:textId="77777777" w:rsidR="009704E5" w:rsidRPr="00BD0A63" w:rsidRDefault="009704E5" w:rsidP="00DD5555">
      <w:pPr>
        <w:jc w:val="both"/>
        <w:rPr>
          <w:rFonts w:cs="Arial"/>
          <w:sz w:val="20"/>
          <w:lang w:val="fr-CH"/>
        </w:rPr>
      </w:pPr>
    </w:p>
    <w:p w14:paraId="1523F921" w14:textId="77777777" w:rsidR="00380282" w:rsidRPr="00BD0A63" w:rsidRDefault="00380282" w:rsidP="00DD5555">
      <w:pPr>
        <w:jc w:val="both"/>
        <w:rPr>
          <w:rFonts w:cs="Arial"/>
          <w:sz w:val="20"/>
          <w:lang w:val="fr-CH"/>
        </w:rPr>
      </w:pPr>
    </w:p>
    <w:p w14:paraId="1523F922" w14:textId="77777777" w:rsidR="00380282" w:rsidRPr="00BD0A63" w:rsidRDefault="00380282" w:rsidP="00DD5555">
      <w:pPr>
        <w:jc w:val="both"/>
        <w:rPr>
          <w:rFonts w:cs="Arial"/>
          <w:sz w:val="20"/>
          <w:lang w:val="fr-CH"/>
        </w:rPr>
      </w:pPr>
    </w:p>
    <w:p w14:paraId="1523F923" w14:textId="77777777" w:rsidR="00380282" w:rsidRPr="00BD0A63" w:rsidRDefault="00380282" w:rsidP="00DD5555">
      <w:pPr>
        <w:jc w:val="both"/>
        <w:rPr>
          <w:rFonts w:cs="Arial"/>
          <w:sz w:val="20"/>
          <w:lang w:val="fr-CH"/>
        </w:rPr>
      </w:pPr>
    </w:p>
    <w:p w14:paraId="1523F924" w14:textId="77777777" w:rsidR="00380282" w:rsidRPr="00BD0A63" w:rsidRDefault="00380282" w:rsidP="00DD5555">
      <w:pPr>
        <w:jc w:val="both"/>
        <w:rPr>
          <w:rFonts w:cs="Arial"/>
          <w:sz w:val="20"/>
          <w:lang w:val="fr-CH"/>
        </w:rPr>
      </w:pPr>
      <w:r w:rsidRPr="00BD0A63">
        <w:rPr>
          <w:rFonts w:cs="Arial"/>
          <w:sz w:val="20"/>
          <w:lang w:val="fr-CH"/>
        </w:rPr>
        <w:t xml:space="preserve">Haut-Commissariat des Nations Unies aux droits de l’homme </w:t>
      </w:r>
    </w:p>
    <w:p w14:paraId="1523F925" w14:textId="77777777" w:rsidR="00B3461A" w:rsidRPr="00BD0A63" w:rsidRDefault="00380282" w:rsidP="00DD5555">
      <w:pPr>
        <w:jc w:val="both"/>
        <w:rPr>
          <w:rFonts w:cs="Arial"/>
          <w:sz w:val="20"/>
          <w:lang w:val="de-CH"/>
        </w:rPr>
      </w:pPr>
      <w:r w:rsidRPr="00BD0A63">
        <w:rPr>
          <w:rFonts w:cs="Arial"/>
          <w:sz w:val="20"/>
        </w:rPr>
        <w:t>Genève</w:t>
      </w:r>
    </w:p>
    <w:sectPr w:rsidR="00B3461A" w:rsidRPr="00BD0A63" w:rsidSect="00E31019">
      <w:headerReference w:type="default" r:id="rId13"/>
      <w:footerReference w:type="default" r:id="rId14"/>
      <w:footerReference w:type="first" r:id="rId15"/>
      <w:pgSz w:w="11907" w:h="16840" w:code="9"/>
      <w:pgMar w:top="680" w:right="1418" w:bottom="567" w:left="1418" w:header="0" w:footer="8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F92A" w14:textId="77777777" w:rsidR="00510475" w:rsidRDefault="00510475">
      <w:r>
        <w:separator/>
      </w:r>
    </w:p>
  </w:endnote>
  <w:endnote w:type="continuationSeparator" w:id="0">
    <w:p w14:paraId="1523F92B" w14:textId="77777777" w:rsidR="00510475" w:rsidRDefault="005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F930" w14:textId="77777777" w:rsidR="009906B2" w:rsidRDefault="0016136C" w:rsidP="00A5691A">
    <w:pPr>
      <w:pStyle w:val="Footer"/>
      <w:rPr>
        <w:lang w:val="de-CH"/>
      </w:rPr>
    </w:pPr>
  </w:p>
  <w:p w14:paraId="1523F931" w14:textId="77777777" w:rsidR="009906B2" w:rsidRDefault="00161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F932" w14:textId="77777777" w:rsidR="009906B2" w:rsidRPr="00F7441E" w:rsidRDefault="0016136C" w:rsidP="0058797D">
    <w:pPr>
      <w:pStyle w:val="Footer"/>
      <w:rPr>
        <w:rFonts w:cs="Arial"/>
      </w:rPr>
    </w:pPr>
    <w:bookmarkStart w:id="7" w:name="Adressat"/>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F928" w14:textId="77777777" w:rsidR="00510475" w:rsidRDefault="00510475">
      <w:r>
        <w:separator/>
      </w:r>
    </w:p>
  </w:footnote>
  <w:footnote w:type="continuationSeparator" w:id="0">
    <w:p w14:paraId="1523F929" w14:textId="77777777" w:rsidR="00510475" w:rsidRDefault="0051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1"/>
      <w:gridCol w:w="4502"/>
    </w:tblGrid>
    <w:tr w:rsidR="009906B2" w14:paraId="1523F92E" w14:textId="77777777">
      <w:trPr>
        <w:trHeight w:val="1134"/>
      </w:trPr>
      <w:tc>
        <w:tcPr>
          <w:tcW w:w="4605" w:type="dxa"/>
        </w:tcPr>
        <w:p w14:paraId="1523F92C" w14:textId="77777777" w:rsidR="009906B2" w:rsidRPr="000D1EC2" w:rsidRDefault="0016136C">
          <w:pPr>
            <w:pStyle w:val="Header"/>
            <w:rPr>
              <w:rFonts w:cs="Arial"/>
              <w:sz w:val="16"/>
              <w:szCs w:val="16"/>
            </w:rPr>
          </w:pPr>
        </w:p>
      </w:tc>
      <w:tc>
        <w:tcPr>
          <w:tcW w:w="4606" w:type="dxa"/>
        </w:tcPr>
        <w:p w14:paraId="1523F92D" w14:textId="77777777" w:rsidR="009906B2" w:rsidRPr="000D1EC2" w:rsidRDefault="0016136C">
          <w:pPr>
            <w:pStyle w:val="Header"/>
            <w:rPr>
              <w:rFonts w:cs="Arial"/>
              <w:sz w:val="16"/>
              <w:szCs w:val="16"/>
            </w:rPr>
          </w:pPr>
        </w:p>
      </w:tc>
    </w:tr>
  </w:tbl>
  <w:p w14:paraId="1523F92F" w14:textId="77777777" w:rsidR="009906B2" w:rsidRPr="000D1EC2" w:rsidRDefault="0016136C">
    <w:pPr>
      <w:pStyle w:val="Header"/>
      <w:rPr>
        <w:rFonts w:cs="Times"/>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39E84B82"/>
    <w:multiLevelType w:val="hybridMultilevel"/>
    <w:tmpl w:val="AA807D90"/>
    <w:lvl w:ilvl="0" w:tplc="844E33C6">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4F117DF0"/>
    <w:multiLevelType w:val="hybridMultilevel"/>
    <w:tmpl w:val="2B420730"/>
    <w:lvl w:ilvl="0" w:tplc="2422979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80719077">
    <w15:presenceInfo w15:providerId="None" w15:userId="U80719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82"/>
    <w:rsid w:val="00001D21"/>
    <w:rsid w:val="00003553"/>
    <w:rsid w:val="0000384D"/>
    <w:rsid w:val="000069C8"/>
    <w:rsid w:val="0000750F"/>
    <w:rsid w:val="0001037B"/>
    <w:rsid w:val="000124D8"/>
    <w:rsid w:val="00014246"/>
    <w:rsid w:val="000235B8"/>
    <w:rsid w:val="00027D69"/>
    <w:rsid w:val="000353D4"/>
    <w:rsid w:val="00046837"/>
    <w:rsid w:val="00050819"/>
    <w:rsid w:val="00050896"/>
    <w:rsid w:val="00052739"/>
    <w:rsid w:val="00053E78"/>
    <w:rsid w:val="00056D96"/>
    <w:rsid w:val="000579DB"/>
    <w:rsid w:val="00060D4C"/>
    <w:rsid w:val="00060D85"/>
    <w:rsid w:val="00063D65"/>
    <w:rsid w:val="000663AA"/>
    <w:rsid w:val="00067737"/>
    <w:rsid w:val="0007091B"/>
    <w:rsid w:val="0007244E"/>
    <w:rsid w:val="00075E54"/>
    <w:rsid w:val="00076ADC"/>
    <w:rsid w:val="000770AA"/>
    <w:rsid w:val="000830D3"/>
    <w:rsid w:val="00087889"/>
    <w:rsid w:val="00094282"/>
    <w:rsid w:val="00097389"/>
    <w:rsid w:val="0009767A"/>
    <w:rsid w:val="000977C1"/>
    <w:rsid w:val="000A5ABC"/>
    <w:rsid w:val="000A6599"/>
    <w:rsid w:val="000B02A8"/>
    <w:rsid w:val="000B1D7C"/>
    <w:rsid w:val="000B5F02"/>
    <w:rsid w:val="000B68D8"/>
    <w:rsid w:val="000C379F"/>
    <w:rsid w:val="000C3C1C"/>
    <w:rsid w:val="000C7DCA"/>
    <w:rsid w:val="000D2B81"/>
    <w:rsid w:val="000D67FF"/>
    <w:rsid w:val="000D6E77"/>
    <w:rsid w:val="000D7281"/>
    <w:rsid w:val="000E1E15"/>
    <w:rsid w:val="000E3568"/>
    <w:rsid w:val="000E513F"/>
    <w:rsid w:val="000E58C6"/>
    <w:rsid w:val="000E59C8"/>
    <w:rsid w:val="000F79A8"/>
    <w:rsid w:val="00101143"/>
    <w:rsid w:val="001076CB"/>
    <w:rsid w:val="00110823"/>
    <w:rsid w:val="00110D55"/>
    <w:rsid w:val="00112C0A"/>
    <w:rsid w:val="001138FB"/>
    <w:rsid w:val="00114D7A"/>
    <w:rsid w:val="00125BF4"/>
    <w:rsid w:val="001270DD"/>
    <w:rsid w:val="00136234"/>
    <w:rsid w:val="00137B2B"/>
    <w:rsid w:val="001419E2"/>
    <w:rsid w:val="00142D1A"/>
    <w:rsid w:val="0014327D"/>
    <w:rsid w:val="00143725"/>
    <w:rsid w:val="00143A26"/>
    <w:rsid w:val="00144971"/>
    <w:rsid w:val="00144F95"/>
    <w:rsid w:val="00146C51"/>
    <w:rsid w:val="00147A57"/>
    <w:rsid w:val="00150045"/>
    <w:rsid w:val="001503B7"/>
    <w:rsid w:val="001545B6"/>
    <w:rsid w:val="00156F74"/>
    <w:rsid w:val="00157C0E"/>
    <w:rsid w:val="0016136C"/>
    <w:rsid w:val="0016258C"/>
    <w:rsid w:val="00163784"/>
    <w:rsid w:val="00163C3F"/>
    <w:rsid w:val="001722A4"/>
    <w:rsid w:val="001868FC"/>
    <w:rsid w:val="00190414"/>
    <w:rsid w:val="00190645"/>
    <w:rsid w:val="00192C9B"/>
    <w:rsid w:val="00192E51"/>
    <w:rsid w:val="001A05C2"/>
    <w:rsid w:val="001A4312"/>
    <w:rsid w:val="001A48BA"/>
    <w:rsid w:val="001A53FD"/>
    <w:rsid w:val="001A7506"/>
    <w:rsid w:val="001A77D8"/>
    <w:rsid w:val="001B0089"/>
    <w:rsid w:val="001B6765"/>
    <w:rsid w:val="001C26E7"/>
    <w:rsid w:val="001C7BDE"/>
    <w:rsid w:val="001D04CF"/>
    <w:rsid w:val="001D0FE3"/>
    <w:rsid w:val="001D1BDB"/>
    <w:rsid w:val="001D7E3E"/>
    <w:rsid w:val="001E23FF"/>
    <w:rsid w:val="001F0981"/>
    <w:rsid w:val="001F6329"/>
    <w:rsid w:val="00201091"/>
    <w:rsid w:val="00202645"/>
    <w:rsid w:val="00206300"/>
    <w:rsid w:val="00207375"/>
    <w:rsid w:val="00212A66"/>
    <w:rsid w:val="00213980"/>
    <w:rsid w:val="0021461C"/>
    <w:rsid w:val="002178CD"/>
    <w:rsid w:val="002200CB"/>
    <w:rsid w:val="002202C9"/>
    <w:rsid w:val="00220FC8"/>
    <w:rsid w:val="00226870"/>
    <w:rsid w:val="00235850"/>
    <w:rsid w:val="00236AC9"/>
    <w:rsid w:val="00241395"/>
    <w:rsid w:val="002432BD"/>
    <w:rsid w:val="00244179"/>
    <w:rsid w:val="002446F7"/>
    <w:rsid w:val="0024554B"/>
    <w:rsid w:val="00246BF2"/>
    <w:rsid w:val="00246F40"/>
    <w:rsid w:val="002573C5"/>
    <w:rsid w:val="00261943"/>
    <w:rsid w:val="002628B2"/>
    <w:rsid w:val="00263DCC"/>
    <w:rsid w:val="00265C8D"/>
    <w:rsid w:val="002660E2"/>
    <w:rsid w:val="002667FD"/>
    <w:rsid w:val="002749C5"/>
    <w:rsid w:val="0027572C"/>
    <w:rsid w:val="00281C11"/>
    <w:rsid w:val="00281EC0"/>
    <w:rsid w:val="00283FDD"/>
    <w:rsid w:val="0028733B"/>
    <w:rsid w:val="002A517A"/>
    <w:rsid w:val="002B1C1C"/>
    <w:rsid w:val="002B27C3"/>
    <w:rsid w:val="002B4C18"/>
    <w:rsid w:val="002B5AAC"/>
    <w:rsid w:val="002B7151"/>
    <w:rsid w:val="002C5098"/>
    <w:rsid w:val="002D0FC1"/>
    <w:rsid w:val="002D29D9"/>
    <w:rsid w:val="002D72F4"/>
    <w:rsid w:val="002F0088"/>
    <w:rsid w:val="002F2131"/>
    <w:rsid w:val="002F2DE5"/>
    <w:rsid w:val="002F36B4"/>
    <w:rsid w:val="002F3EB3"/>
    <w:rsid w:val="002F684A"/>
    <w:rsid w:val="002F6EFD"/>
    <w:rsid w:val="002F7660"/>
    <w:rsid w:val="002F77C1"/>
    <w:rsid w:val="003017DC"/>
    <w:rsid w:val="0030309D"/>
    <w:rsid w:val="00304831"/>
    <w:rsid w:val="00311907"/>
    <w:rsid w:val="003132A3"/>
    <w:rsid w:val="003146A5"/>
    <w:rsid w:val="00317B7B"/>
    <w:rsid w:val="003202C2"/>
    <w:rsid w:val="00322C3B"/>
    <w:rsid w:val="00322EC7"/>
    <w:rsid w:val="00330F50"/>
    <w:rsid w:val="00336F30"/>
    <w:rsid w:val="00342411"/>
    <w:rsid w:val="003426D8"/>
    <w:rsid w:val="00343BE3"/>
    <w:rsid w:val="00345274"/>
    <w:rsid w:val="00346FDF"/>
    <w:rsid w:val="003476B9"/>
    <w:rsid w:val="00350D9B"/>
    <w:rsid w:val="00350DE7"/>
    <w:rsid w:val="00352070"/>
    <w:rsid w:val="00354C84"/>
    <w:rsid w:val="00355BC2"/>
    <w:rsid w:val="00360584"/>
    <w:rsid w:val="00361440"/>
    <w:rsid w:val="00361CF9"/>
    <w:rsid w:val="00361DBC"/>
    <w:rsid w:val="003649A4"/>
    <w:rsid w:val="00364DAC"/>
    <w:rsid w:val="00364E08"/>
    <w:rsid w:val="00366451"/>
    <w:rsid w:val="00366BAF"/>
    <w:rsid w:val="003707C8"/>
    <w:rsid w:val="003712B5"/>
    <w:rsid w:val="00371C35"/>
    <w:rsid w:val="003739A9"/>
    <w:rsid w:val="00376783"/>
    <w:rsid w:val="00380282"/>
    <w:rsid w:val="003806BD"/>
    <w:rsid w:val="00383491"/>
    <w:rsid w:val="00385B0E"/>
    <w:rsid w:val="00387147"/>
    <w:rsid w:val="00391D53"/>
    <w:rsid w:val="00395190"/>
    <w:rsid w:val="00395280"/>
    <w:rsid w:val="003956A0"/>
    <w:rsid w:val="00395CBD"/>
    <w:rsid w:val="00396572"/>
    <w:rsid w:val="003A0B06"/>
    <w:rsid w:val="003A2E6A"/>
    <w:rsid w:val="003A4121"/>
    <w:rsid w:val="003A64FA"/>
    <w:rsid w:val="003B0AFB"/>
    <w:rsid w:val="003B241E"/>
    <w:rsid w:val="003B28EB"/>
    <w:rsid w:val="003B5999"/>
    <w:rsid w:val="003C5A3A"/>
    <w:rsid w:val="003C5EE5"/>
    <w:rsid w:val="003C7402"/>
    <w:rsid w:val="003C7D77"/>
    <w:rsid w:val="003D031F"/>
    <w:rsid w:val="003E393C"/>
    <w:rsid w:val="003F1F70"/>
    <w:rsid w:val="003F231B"/>
    <w:rsid w:val="003F2D81"/>
    <w:rsid w:val="003F3D5C"/>
    <w:rsid w:val="003F4F44"/>
    <w:rsid w:val="004112F5"/>
    <w:rsid w:val="00411929"/>
    <w:rsid w:val="0043190D"/>
    <w:rsid w:val="004356F0"/>
    <w:rsid w:val="00435ACB"/>
    <w:rsid w:val="0043652C"/>
    <w:rsid w:val="00436F0D"/>
    <w:rsid w:val="00451132"/>
    <w:rsid w:val="004535DF"/>
    <w:rsid w:val="00456CE6"/>
    <w:rsid w:val="0045724E"/>
    <w:rsid w:val="004600DA"/>
    <w:rsid w:val="00461B91"/>
    <w:rsid w:val="00463FDA"/>
    <w:rsid w:val="00464FFF"/>
    <w:rsid w:val="0046511A"/>
    <w:rsid w:val="0046613E"/>
    <w:rsid w:val="00475BFB"/>
    <w:rsid w:val="00475F97"/>
    <w:rsid w:val="00483C9F"/>
    <w:rsid w:val="00483FAE"/>
    <w:rsid w:val="0048569F"/>
    <w:rsid w:val="00490D54"/>
    <w:rsid w:val="004912B9"/>
    <w:rsid w:val="00493B06"/>
    <w:rsid w:val="004954D8"/>
    <w:rsid w:val="00497F94"/>
    <w:rsid w:val="004A004A"/>
    <w:rsid w:val="004A7891"/>
    <w:rsid w:val="004B2B85"/>
    <w:rsid w:val="004B442F"/>
    <w:rsid w:val="004C1786"/>
    <w:rsid w:val="004C59E0"/>
    <w:rsid w:val="004C5AD2"/>
    <w:rsid w:val="004C64C2"/>
    <w:rsid w:val="004D2857"/>
    <w:rsid w:val="004D3C5B"/>
    <w:rsid w:val="004E1E5C"/>
    <w:rsid w:val="004E2D88"/>
    <w:rsid w:val="004F1825"/>
    <w:rsid w:val="004F401A"/>
    <w:rsid w:val="004F4BCF"/>
    <w:rsid w:val="004F53F5"/>
    <w:rsid w:val="004F5E9B"/>
    <w:rsid w:val="004F5FA9"/>
    <w:rsid w:val="00503E5C"/>
    <w:rsid w:val="00504327"/>
    <w:rsid w:val="005066CB"/>
    <w:rsid w:val="00510475"/>
    <w:rsid w:val="005113A6"/>
    <w:rsid w:val="00512CEF"/>
    <w:rsid w:val="0051388E"/>
    <w:rsid w:val="005138AE"/>
    <w:rsid w:val="00515BE3"/>
    <w:rsid w:val="00516216"/>
    <w:rsid w:val="00516640"/>
    <w:rsid w:val="005246B3"/>
    <w:rsid w:val="00525B48"/>
    <w:rsid w:val="00525C41"/>
    <w:rsid w:val="00530319"/>
    <w:rsid w:val="00536BAE"/>
    <w:rsid w:val="00537D12"/>
    <w:rsid w:val="00537DC6"/>
    <w:rsid w:val="00540CC3"/>
    <w:rsid w:val="00541CC6"/>
    <w:rsid w:val="005466E0"/>
    <w:rsid w:val="00547A15"/>
    <w:rsid w:val="00550FD7"/>
    <w:rsid w:val="005576D1"/>
    <w:rsid w:val="00557BC1"/>
    <w:rsid w:val="00574425"/>
    <w:rsid w:val="00574ED4"/>
    <w:rsid w:val="00577594"/>
    <w:rsid w:val="00582687"/>
    <w:rsid w:val="00583517"/>
    <w:rsid w:val="0058592B"/>
    <w:rsid w:val="00590AA4"/>
    <w:rsid w:val="00594C09"/>
    <w:rsid w:val="00595B96"/>
    <w:rsid w:val="00597075"/>
    <w:rsid w:val="005A0872"/>
    <w:rsid w:val="005A197F"/>
    <w:rsid w:val="005A2AC0"/>
    <w:rsid w:val="005A3750"/>
    <w:rsid w:val="005A414F"/>
    <w:rsid w:val="005A4D5C"/>
    <w:rsid w:val="005B121A"/>
    <w:rsid w:val="005C1038"/>
    <w:rsid w:val="005C44C6"/>
    <w:rsid w:val="005C4E16"/>
    <w:rsid w:val="005C665D"/>
    <w:rsid w:val="005C6736"/>
    <w:rsid w:val="005C6A4E"/>
    <w:rsid w:val="005C7667"/>
    <w:rsid w:val="005D1656"/>
    <w:rsid w:val="005D466D"/>
    <w:rsid w:val="005D797E"/>
    <w:rsid w:val="005E3289"/>
    <w:rsid w:val="005E3EDE"/>
    <w:rsid w:val="005E787D"/>
    <w:rsid w:val="005F1123"/>
    <w:rsid w:val="005F4540"/>
    <w:rsid w:val="005F6741"/>
    <w:rsid w:val="005F7BB8"/>
    <w:rsid w:val="00600399"/>
    <w:rsid w:val="006063B3"/>
    <w:rsid w:val="00615FA5"/>
    <w:rsid w:val="00616296"/>
    <w:rsid w:val="006168AB"/>
    <w:rsid w:val="00617BE2"/>
    <w:rsid w:val="0062199D"/>
    <w:rsid w:val="006225CD"/>
    <w:rsid w:val="00622B17"/>
    <w:rsid w:val="00623FD0"/>
    <w:rsid w:val="00624A2E"/>
    <w:rsid w:val="0062611C"/>
    <w:rsid w:val="0063006C"/>
    <w:rsid w:val="00633061"/>
    <w:rsid w:val="0063428A"/>
    <w:rsid w:val="00635ABD"/>
    <w:rsid w:val="00642E69"/>
    <w:rsid w:val="00645769"/>
    <w:rsid w:val="00645E71"/>
    <w:rsid w:val="00651095"/>
    <w:rsid w:val="00653CC5"/>
    <w:rsid w:val="00656DCD"/>
    <w:rsid w:val="00660229"/>
    <w:rsid w:val="00660D2F"/>
    <w:rsid w:val="00663E8D"/>
    <w:rsid w:val="006641E8"/>
    <w:rsid w:val="00667F16"/>
    <w:rsid w:val="0068237C"/>
    <w:rsid w:val="00682D4D"/>
    <w:rsid w:val="00683078"/>
    <w:rsid w:val="0068340B"/>
    <w:rsid w:val="00684244"/>
    <w:rsid w:val="00685F80"/>
    <w:rsid w:val="0069319D"/>
    <w:rsid w:val="0069419F"/>
    <w:rsid w:val="006953FF"/>
    <w:rsid w:val="00697EA8"/>
    <w:rsid w:val="006A7644"/>
    <w:rsid w:val="006A77B2"/>
    <w:rsid w:val="006B36B7"/>
    <w:rsid w:val="006B6180"/>
    <w:rsid w:val="006B655D"/>
    <w:rsid w:val="006B72F2"/>
    <w:rsid w:val="006C46F3"/>
    <w:rsid w:val="006C651F"/>
    <w:rsid w:val="006C6A7C"/>
    <w:rsid w:val="006C76BD"/>
    <w:rsid w:val="006C7709"/>
    <w:rsid w:val="006D3EE1"/>
    <w:rsid w:val="006D41E2"/>
    <w:rsid w:val="006D505D"/>
    <w:rsid w:val="006D79B5"/>
    <w:rsid w:val="006E1648"/>
    <w:rsid w:val="006E5A1F"/>
    <w:rsid w:val="006E76B7"/>
    <w:rsid w:val="006F0E17"/>
    <w:rsid w:val="006F38F1"/>
    <w:rsid w:val="006F3E22"/>
    <w:rsid w:val="006F554B"/>
    <w:rsid w:val="006F5C42"/>
    <w:rsid w:val="00700C28"/>
    <w:rsid w:val="00701667"/>
    <w:rsid w:val="007057E8"/>
    <w:rsid w:val="00706EB7"/>
    <w:rsid w:val="00711798"/>
    <w:rsid w:val="00712626"/>
    <w:rsid w:val="007138F1"/>
    <w:rsid w:val="007150FA"/>
    <w:rsid w:val="00716415"/>
    <w:rsid w:val="00720DC9"/>
    <w:rsid w:val="00724D24"/>
    <w:rsid w:val="00726259"/>
    <w:rsid w:val="00730E1F"/>
    <w:rsid w:val="00731CD0"/>
    <w:rsid w:val="00733575"/>
    <w:rsid w:val="00734094"/>
    <w:rsid w:val="00735159"/>
    <w:rsid w:val="00736849"/>
    <w:rsid w:val="00737C62"/>
    <w:rsid w:val="00741AD5"/>
    <w:rsid w:val="00742CC0"/>
    <w:rsid w:val="00742E61"/>
    <w:rsid w:val="00750E0A"/>
    <w:rsid w:val="007552B7"/>
    <w:rsid w:val="00756D73"/>
    <w:rsid w:val="00760872"/>
    <w:rsid w:val="00760B09"/>
    <w:rsid w:val="007610BA"/>
    <w:rsid w:val="00761359"/>
    <w:rsid w:val="007629D0"/>
    <w:rsid w:val="007633F7"/>
    <w:rsid w:val="00770489"/>
    <w:rsid w:val="00774024"/>
    <w:rsid w:val="00774408"/>
    <w:rsid w:val="00775A40"/>
    <w:rsid w:val="00781177"/>
    <w:rsid w:val="0078290F"/>
    <w:rsid w:val="00782DC4"/>
    <w:rsid w:val="00783BCF"/>
    <w:rsid w:val="00784C47"/>
    <w:rsid w:val="00785DBB"/>
    <w:rsid w:val="007862CD"/>
    <w:rsid w:val="00787D71"/>
    <w:rsid w:val="00787E4C"/>
    <w:rsid w:val="00792CD7"/>
    <w:rsid w:val="00793285"/>
    <w:rsid w:val="007940BD"/>
    <w:rsid w:val="00795E1D"/>
    <w:rsid w:val="007968BA"/>
    <w:rsid w:val="00796B17"/>
    <w:rsid w:val="00796EC7"/>
    <w:rsid w:val="0079740F"/>
    <w:rsid w:val="007A49BC"/>
    <w:rsid w:val="007A6320"/>
    <w:rsid w:val="007B0B8B"/>
    <w:rsid w:val="007B4E3C"/>
    <w:rsid w:val="007B6835"/>
    <w:rsid w:val="007B6A51"/>
    <w:rsid w:val="007C253E"/>
    <w:rsid w:val="007C3362"/>
    <w:rsid w:val="007C41B9"/>
    <w:rsid w:val="007C679F"/>
    <w:rsid w:val="007D27EF"/>
    <w:rsid w:val="007D57E9"/>
    <w:rsid w:val="007E0625"/>
    <w:rsid w:val="007E1E03"/>
    <w:rsid w:val="007E22B6"/>
    <w:rsid w:val="007E279C"/>
    <w:rsid w:val="007E4EF2"/>
    <w:rsid w:val="007E4F9F"/>
    <w:rsid w:val="007F1950"/>
    <w:rsid w:val="0080125E"/>
    <w:rsid w:val="0080127A"/>
    <w:rsid w:val="008045A5"/>
    <w:rsid w:val="00805123"/>
    <w:rsid w:val="00811A0D"/>
    <w:rsid w:val="00812F3B"/>
    <w:rsid w:val="008161B9"/>
    <w:rsid w:val="008173F8"/>
    <w:rsid w:val="00820A7C"/>
    <w:rsid w:val="00821FA3"/>
    <w:rsid w:val="008231EA"/>
    <w:rsid w:val="0082328A"/>
    <w:rsid w:val="00824363"/>
    <w:rsid w:val="0083625E"/>
    <w:rsid w:val="0083778F"/>
    <w:rsid w:val="0084128B"/>
    <w:rsid w:val="008442AF"/>
    <w:rsid w:val="00845C41"/>
    <w:rsid w:val="00846323"/>
    <w:rsid w:val="00850DFF"/>
    <w:rsid w:val="00853CED"/>
    <w:rsid w:val="0085609F"/>
    <w:rsid w:val="00863A4B"/>
    <w:rsid w:val="008666EE"/>
    <w:rsid w:val="00870243"/>
    <w:rsid w:val="008742E9"/>
    <w:rsid w:val="00876817"/>
    <w:rsid w:val="008775D8"/>
    <w:rsid w:val="008834B8"/>
    <w:rsid w:val="0088680E"/>
    <w:rsid w:val="008876B2"/>
    <w:rsid w:val="00891259"/>
    <w:rsid w:val="00891BA5"/>
    <w:rsid w:val="00892756"/>
    <w:rsid w:val="00892D2C"/>
    <w:rsid w:val="00897D7A"/>
    <w:rsid w:val="008A2357"/>
    <w:rsid w:val="008B3A66"/>
    <w:rsid w:val="008C01C6"/>
    <w:rsid w:val="008C1B6E"/>
    <w:rsid w:val="008C7938"/>
    <w:rsid w:val="008D1601"/>
    <w:rsid w:val="008D5509"/>
    <w:rsid w:val="008D6498"/>
    <w:rsid w:val="008D6CC5"/>
    <w:rsid w:val="008E27E0"/>
    <w:rsid w:val="008E33FB"/>
    <w:rsid w:val="008E55C7"/>
    <w:rsid w:val="008E5C63"/>
    <w:rsid w:val="008E7AE1"/>
    <w:rsid w:val="008F0008"/>
    <w:rsid w:val="00901484"/>
    <w:rsid w:val="0090630D"/>
    <w:rsid w:val="0090716F"/>
    <w:rsid w:val="00911C0D"/>
    <w:rsid w:val="009143D6"/>
    <w:rsid w:val="009153C5"/>
    <w:rsid w:val="00916CC8"/>
    <w:rsid w:val="00917110"/>
    <w:rsid w:val="0091740A"/>
    <w:rsid w:val="009214A8"/>
    <w:rsid w:val="00921BA1"/>
    <w:rsid w:val="0092371A"/>
    <w:rsid w:val="009252F6"/>
    <w:rsid w:val="009267AB"/>
    <w:rsid w:val="00930106"/>
    <w:rsid w:val="009308C1"/>
    <w:rsid w:val="0093094F"/>
    <w:rsid w:val="00931C5A"/>
    <w:rsid w:val="0093535A"/>
    <w:rsid w:val="009375EF"/>
    <w:rsid w:val="00940ADD"/>
    <w:rsid w:val="00942B30"/>
    <w:rsid w:val="00945753"/>
    <w:rsid w:val="00947267"/>
    <w:rsid w:val="009500DE"/>
    <w:rsid w:val="00950993"/>
    <w:rsid w:val="00950B29"/>
    <w:rsid w:val="00951868"/>
    <w:rsid w:val="00957F93"/>
    <w:rsid w:val="009633A6"/>
    <w:rsid w:val="00966BBE"/>
    <w:rsid w:val="009704E5"/>
    <w:rsid w:val="00971128"/>
    <w:rsid w:val="009723EF"/>
    <w:rsid w:val="00974147"/>
    <w:rsid w:val="00974AB5"/>
    <w:rsid w:val="0097584B"/>
    <w:rsid w:val="0098030A"/>
    <w:rsid w:val="00982122"/>
    <w:rsid w:val="009829C8"/>
    <w:rsid w:val="0098441E"/>
    <w:rsid w:val="00985155"/>
    <w:rsid w:val="00986D97"/>
    <w:rsid w:val="0098754A"/>
    <w:rsid w:val="009878AC"/>
    <w:rsid w:val="00991559"/>
    <w:rsid w:val="00991D7F"/>
    <w:rsid w:val="009921AE"/>
    <w:rsid w:val="00995071"/>
    <w:rsid w:val="009A1953"/>
    <w:rsid w:val="009A3E73"/>
    <w:rsid w:val="009A4935"/>
    <w:rsid w:val="009A743C"/>
    <w:rsid w:val="009B207A"/>
    <w:rsid w:val="009B6F2A"/>
    <w:rsid w:val="009B785C"/>
    <w:rsid w:val="009C2A21"/>
    <w:rsid w:val="009C6AB7"/>
    <w:rsid w:val="009D06C4"/>
    <w:rsid w:val="009D7A8D"/>
    <w:rsid w:val="009E0206"/>
    <w:rsid w:val="009E0352"/>
    <w:rsid w:val="009E0632"/>
    <w:rsid w:val="009E24EE"/>
    <w:rsid w:val="009E505F"/>
    <w:rsid w:val="009F0041"/>
    <w:rsid w:val="009F2801"/>
    <w:rsid w:val="009F45AA"/>
    <w:rsid w:val="009F77E9"/>
    <w:rsid w:val="00A00049"/>
    <w:rsid w:val="00A0480B"/>
    <w:rsid w:val="00A13D7E"/>
    <w:rsid w:val="00A152D1"/>
    <w:rsid w:val="00A20175"/>
    <w:rsid w:val="00A3000A"/>
    <w:rsid w:val="00A315AF"/>
    <w:rsid w:val="00A340FD"/>
    <w:rsid w:val="00A4029A"/>
    <w:rsid w:val="00A419C2"/>
    <w:rsid w:val="00A4395B"/>
    <w:rsid w:val="00A4412A"/>
    <w:rsid w:val="00A443BA"/>
    <w:rsid w:val="00A44EEE"/>
    <w:rsid w:val="00A52A90"/>
    <w:rsid w:val="00A548B5"/>
    <w:rsid w:val="00A66EC7"/>
    <w:rsid w:val="00A67EDA"/>
    <w:rsid w:val="00A7183C"/>
    <w:rsid w:val="00A73D71"/>
    <w:rsid w:val="00A758EF"/>
    <w:rsid w:val="00A8010D"/>
    <w:rsid w:val="00A81473"/>
    <w:rsid w:val="00A82F66"/>
    <w:rsid w:val="00A82FF1"/>
    <w:rsid w:val="00A868EF"/>
    <w:rsid w:val="00A903D7"/>
    <w:rsid w:val="00A90BD5"/>
    <w:rsid w:val="00A927D7"/>
    <w:rsid w:val="00AA39DE"/>
    <w:rsid w:val="00AA40A6"/>
    <w:rsid w:val="00AA4626"/>
    <w:rsid w:val="00AA6B66"/>
    <w:rsid w:val="00AB1D93"/>
    <w:rsid w:val="00AB2B50"/>
    <w:rsid w:val="00AB3EAC"/>
    <w:rsid w:val="00AB5D32"/>
    <w:rsid w:val="00AC6CE5"/>
    <w:rsid w:val="00AC718A"/>
    <w:rsid w:val="00AC7B7C"/>
    <w:rsid w:val="00AD0492"/>
    <w:rsid w:val="00AD2C74"/>
    <w:rsid w:val="00AD2EC8"/>
    <w:rsid w:val="00AD5E90"/>
    <w:rsid w:val="00AE327A"/>
    <w:rsid w:val="00AE567E"/>
    <w:rsid w:val="00AF149C"/>
    <w:rsid w:val="00AF2176"/>
    <w:rsid w:val="00AF28A2"/>
    <w:rsid w:val="00AF39F8"/>
    <w:rsid w:val="00AF7B18"/>
    <w:rsid w:val="00AF7D5E"/>
    <w:rsid w:val="00B00213"/>
    <w:rsid w:val="00B032C6"/>
    <w:rsid w:val="00B0486C"/>
    <w:rsid w:val="00B055C3"/>
    <w:rsid w:val="00B07D98"/>
    <w:rsid w:val="00B112D5"/>
    <w:rsid w:val="00B11BD4"/>
    <w:rsid w:val="00B130EB"/>
    <w:rsid w:val="00B174AA"/>
    <w:rsid w:val="00B2199B"/>
    <w:rsid w:val="00B25D5E"/>
    <w:rsid w:val="00B26FDC"/>
    <w:rsid w:val="00B27FA5"/>
    <w:rsid w:val="00B31A2B"/>
    <w:rsid w:val="00B323AE"/>
    <w:rsid w:val="00B3461A"/>
    <w:rsid w:val="00B42421"/>
    <w:rsid w:val="00B47E35"/>
    <w:rsid w:val="00B50968"/>
    <w:rsid w:val="00B51BFA"/>
    <w:rsid w:val="00B5333A"/>
    <w:rsid w:val="00B60866"/>
    <w:rsid w:val="00B61DF1"/>
    <w:rsid w:val="00B63D5B"/>
    <w:rsid w:val="00B67839"/>
    <w:rsid w:val="00B73901"/>
    <w:rsid w:val="00B74B9A"/>
    <w:rsid w:val="00B74E53"/>
    <w:rsid w:val="00B8129E"/>
    <w:rsid w:val="00B84ACE"/>
    <w:rsid w:val="00B85F95"/>
    <w:rsid w:val="00B90EEC"/>
    <w:rsid w:val="00B95195"/>
    <w:rsid w:val="00BA2908"/>
    <w:rsid w:val="00BA2A7A"/>
    <w:rsid w:val="00BA65E0"/>
    <w:rsid w:val="00BB0D3A"/>
    <w:rsid w:val="00BB10FF"/>
    <w:rsid w:val="00BB16CC"/>
    <w:rsid w:val="00BB34EB"/>
    <w:rsid w:val="00BB5769"/>
    <w:rsid w:val="00BB7802"/>
    <w:rsid w:val="00BC157D"/>
    <w:rsid w:val="00BC27FC"/>
    <w:rsid w:val="00BC45CC"/>
    <w:rsid w:val="00BC53DF"/>
    <w:rsid w:val="00BD0A40"/>
    <w:rsid w:val="00BD0A63"/>
    <w:rsid w:val="00BD22DA"/>
    <w:rsid w:val="00BD2924"/>
    <w:rsid w:val="00BD5078"/>
    <w:rsid w:val="00BD52BF"/>
    <w:rsid w:val="00BE1971"/>
    <w:rsid w:val="00BE2D89"/>
    <w:rsid w:val="00BE391D"/>
    <w:rsid w:val="00BE3D17"/>
    <w:rsid w:val="00BE6655"/>
    <w:rsid w:val="00BE70E5"/>
    <w:rsid w:val="00BF0F91"/>
    <w:rsid w:val="00BF2D1B"/>
    <w:rsid w:val="00C02E9E"/>
    <w:rsid w:val="00C0405C"/>
    <w:rsid w:val="00C11E0D"/>
    <w:rsid w:val="00C12ED2"/>
    <w:rsid w:val="00C14945"/>
    <w:rsid w:val="00C21814"/>
    <w:rsid w:val="00C2305B"/>
    <w:rsid w:val="00C23196"/>
    <w:rsid w:val="00C2350D"/>
    <w:rsid w:val="00C352CA"/>
    <w:rsid w:val="00C40674"/>
    <w:rsid w:val="00C410AB"/>
    <w:rsid w:val="00C455DF"/>
    <w:rsid w:val="00C4655D"/>
    <w:rsid w:val="00C501C7"/>
    <w:rsid w:val="00C54AA6"/>
    <w:rsid w:val="00C56D3C"/>
    <w:rsid w:val="00C602D0"/>
    <w:rsid w:val="00C604A6"/>
    <w:rsid w:val="00C6185A"/>
    <w:rsid w:val="00C64C46"/>
    <w:rsid w:val="00C67DB2"/>
    <w:rsid w:val="00C71177"/>
    <w:rsid w:val="00C714FC"/>
    <w:rsid w:val="00C72636"/>
    <w:rsid w:val="00C809A2"/>
    <w:rsid w:val="00C81122"/>
    <w:rsid w:val="00C8185D"/>
    <w:rsid w:val="00C92B7F"/>
    <w:rsid w:val="00C95FF2"/>
    <w:rsid w:val="00CA2B8A"/>
    <w:rsid w:val="00CA41BC"/>
    <w:rsid w:val="00CA6338"/>
    <w:rsid w:val="00CB0B7E"/>
    <w:rsid w:val="00CB123D"/>
    <w:rsid w:val="00CB2288"/>
    <w:rsid w:val="00CB2986"/>
    <w:rsid w:val="00CC0A82"/>
    <w:rsid w:val="00CC5433"/>
    <w:rsid w:val="00CC6A33"/>
    <w:rsid w:val="00CC7F12"/>
    <w:rsid w:val="00CD1191"/>
    <w:rsid w:val="00CD1CF9"/>
    <w:rsid w:val="00CD2220"/>
    <w:rsid w:val="00CD6859"/>
    <w:rsid w:val="00CE3EF4"/>
    <w:rsid w:val="00CE5710"/>
    <w:rsid w:val="00CE592F"/>
    <w:rsid w:val="00CE648E"/>
    <w:rsid w:val="00CE6B0C"/>
    <w:rsid w:val="00CE6CD3"/>
    <w:rsid w:val="00CF48CA"/>
    <w:rsid w:val="00CF5118"/>
    <w:rsid w:val="00CF6978"/>
    <w:rsid w:val="00D014D2"/>
    <w:rsid w:val="00D05643"/>
    <w:rsid w:val="00D06DB7"/>
    <w:rsid w:val="00D06E60"/>
    <w:rsid w:val="00D10344"/>
    <w:rsid w:val="00D15654"/>
    <w:rsid w:val="00D176F3"/>
    <w:rsid w:val="00D20CDD"/>
    <w:rsid w:val="00D241F5"/>
    <w:rsid w:val="00D276A9"/>
    <w:rsid w:val="00D301C7"/>
    <w:rsid w:val="00D31995"/>
    <w:rsid w:val="00D31F3A"/>
    <w:rsid w:val="00D33CFD"/>
    <w:rsid w:val="00D3450E"/>
    <w:rsid w:val="00D3484F"/>
    <w:rsid w:val="00D378FC"/>
    <w:rsid w:val="00D415BB"/>
    <w:rsid w:val="00D46366"/>
    <w:rsid w:val="00D5009D"/>
    <w:rsid w:val="00D50A37"/>
    <w:rsid w:val="00D51C1F"/>
    <w:rsid w:val="00D51DF3"/>
    <w:rsid w:val="00D52EC2"/>
    <w:rsid w:val="00D53941"/>
    <w:rsid w:val="00D60184"/>
    <w:rsid w:val="00D632E3"/>
    <w:rsid w:val="00D64A01"/>
    <w:rsid w:val="00D64A2D"/>
    <w:rsid w:val="00D72DD6"/>
    <w:rsid w:val="00D8468E"/>
    <w:rsid w:val="00D86A4C"/>
    <w:rsid w:val="00D87037"/>
    <w:rsid w:val="00D90385"/>
    <w:rsid w:val="00D9307B"/>
    <w:rsid w:val="00D9559E"/>
    <w:rsid w:val="00DB0741"/>
    <w:rsid w:val="00DB1070"/>
    <w:rsid w:val="00DB10B3"/>
    <w:rsid w:val="00DB24A1"/>
    <w:rsid w:val="00DB29A6"/>
    <w:rsid w:val="00DB3F6A"/>
    <w:rsid w:val="00DB5DFE"/>
    <w:rsid w:val="00DB66E9"/>
    <w:rsid w:val="00DC25FE"/>
    <w:rsid w:val="00DC2AEC"/>
    <w:rsid w:val="00DC3CD1"/>
    <w:rsid w:val="00DC3F0D"/>
    <w:rsid w:val="00DC45E0"/>
    <w:rsid w:val="00DC621A"/>
    <w:rsid w:val="00DC7208"/>
    <w:rsid w:val="00DD5555"/>
    <w:rsid w:val="00DD5993"/>
    <w:rsid w:val="00DD6368"/>
    <w:rsid w:val="00DD7FD5"/>
    <w:rsid w:val="00DE21CF"/>
    <w:rsid w:val="00DE4BA5"/>
    <w:rsid w:val="00DE6552"/>
    <w:rsid w:val="00DE7A55"/>
    <w:rsid w:val="00DF6B81"/>
    <w:rsid w:val="00DF7271"/>
    <w:rsid w:val="00E05753"/>
    <w:rsid w:val="00E10CBA"/>
    <w:rsid w:val="00E1146C"/>
    <w:rsid w:val="00E13452"/>
    <w:rsid w:val="00E1453B"/>
    <w:rsid w:val="00E15A41"/>
    <w:rsid w:val="00E16A2C"/>
    <w:rsid w:val="00E21A19"/>
    <w:rsid w:val="00E21B71"/>
    <w:rsid w:val="00E2361E"/>
    <w:rsid w:val="00E349F4"/>
    <w:rsid w:val="00E40BA1"/>
    <w:rsid w:val="00E40F30"/>
    <w:rsid w:val="00E50070"/>
    <w:rsid w:val="00E51EA1"/>
    <w:rsid w:val="00E5570B"/>
    <w:rsid w:val="00E571CC"/>
    <w:rsid w:val="00E608C0"/>
    <w:rsid w:val="00E67309"/>
    <w:rsid w:val="00E70018"/>
    <w:rsid w:val="00E712D0"/>
    <w:rsid w:val="00E76D37"/>
    <w:rsid w:val="00E76FEE"/>
    <w:rsid w:val="00E805DA"/>
    <w:rsid w:val="00E85758"/>
    <w:rsid w:val="00E87ABD"/>
    <w:rsid w:val="00E90416"/>
    <w:rsid w:val="00E927C6"/>
    <w:rsid w:val="00E959BA"/>
    <w:rsid w:val="00E979E4"/>
    <w:rsid w:val="00E97D40"/>
    <w:rsid w:val="00EA0489"/>
    <w:rsid w:val="00EA1901"/>
    <w:rsid w:val="00EA21F7"/>
    <w:rsid w:val="00EA2921"/>
    <w:rsid w:val="00EA38FF"/>
    <w:rsid w:val="00EA3E8F"/>
    <w:rsid w:val="00EA637E"/>
    <w:rsid w:val="00EA68DF"/>
    <w:rsid w:val="00EB23A9"/>
    <w:rsid w:val="00EB3FFB"/>
    <w:rsid w:val="00EB4D42"/>
    <w:rsid w:val="00EB5D05"/>
    <w:rsid w:val="00EB5E95"/>
    <w:rsid w:val="00EC15F4"/>
    <w:rsid w:val="00EC25E7"/>
    <w:rsid w:val="00EC5632"/>
    <w:rsid w:val="00EC774A"/>
    <w:rsid w:val="00EC79AB"/>
    <w:rsid w:val="00ED185C"/>
    <w:rsid w:val="00ED4686"/>
    <w:rsid w:val="00ED51BA"/>
    <w:rsid w:val="00ED78BE"/>
    <w:rsid w:val="00EE5336"/>
    <w:rsid w:val="00EE5AE7"/>
    <w:rsid w:val="00EE6679"/>
    <w:rsid w:val="00EF17BD"/>
    <w:rsid w:val="00EF2109"/>
    <w:rsid w:val="00EF31A0"/>
    <w:rsid w:val="00F01AB1"/>
    <w:rsid w:val="00F05504"/>
    <w:rsid w:val="00F1006B"/>
    <w:rsid w:val="00F14DFB"/>
    <w:rsid w:val="00F152C2"/>
    <w:rsid w:val="00F156D0"/>
    <w:rsid w:val="00F165D4"/>
    <w:rsid w:val="00F17C5D"/>
    <w:rsid w:val="00F20F82"/>
    <w:rsid w:val="00F21F16"/>
    <w:rsid w:val="00F2386E"/>
    <w:rsid w:val="00F23CD3"/>
    <w:rsid w:val="00F27AC9"/>
    <w:rsid w:val="00F316FD"/>
    <w:rsid w:val="00F31DD4"/>
    <w:rsid w:val="00F32048"/>
    <w:rsid w:val="00F3693D"/>
    <w:rsid w:val="00F376B1"/>
    <w:rsid w:val="00F42BD8"/>
    <w:rsid w:val="00F437EC"/>
    <w:rsid w:val="00F4509C"/>
    <w:rsid w:val="00F450A2"/>
    <w:rsid w:val="00F45910"/>
    <w:rsid w:val="00F50DE9"/>
    <w:rsid w:val="00F52141"/>
    <w:rsid w:val="00F606B7"/>
    <w:rsid w:val="00F64AAD"/>
    <w:rsid w:val="00F67355"/>
    <w:rsid w:val="00F7251B"/>
    <w:rsid w:val="00F73EE0"/>
    <w:rsid w:val="00F746E2"/>
    <w:rsid w:val="00F747DD"/>
    <w:rsid w:val="00F749A9"/>
    <w:rsid w:val="00F753F1"/>
    <w:rsid w:val="00F82B69"/>
    <w:rsid w:val="00F830A6"/>
    <w:rsid w:val="00F874BB"/>
    <w:rsid w:val="00F90FD3"/>
    <w:rsid w:val="00F931C5"/>
    <w:rsid w:val="00FA0FDB"/>
    <w:rsid w:val="00FA28AA"/>
    <w:rsid w:val="00FA3C4F"/>
    <w:rsid w:val="00FA5DDC"/>
    <w:rsid w:val="00FA623B"/>
    <w:rsid w:val="00FA6381"/>
    <w:rsid w:val="00FA6932"/>
    <w:rsid w:val="00FB039A"/>
    <w:rsid w:val="00FB157D"/>
    <w:rsid w:val="00FB22E3"/>
    <w:rsid w:val="00FB422A"/>
    <w:rsid w:val="00FB5101"/>
    <w:rsid w:val="00FB6B48"/>
    <w:rsid w:val="00FB7A1D"/>
    <w:rsid w:val="00FC148B"/>
    <w:rsid w:val="00FC4995"/>
    <w:rsid w:val="00FC611F"/>
    <w:rsid w:val="00FD0F88"/>
    <w:rsid w:val="00FD21DE"/>
    <w:rsid w:val="00FD6A08"/>
    <w:rsid w:val="00FE1D00"/>
    <w:rsid w:val="00FE347A"/>
    <w:rsid w:val="00FE5800"/>
    <w:rsid w:val="00FF2B47"/>
    <w:rsid w:val="00FF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3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0282"/>
    <w:pPr>
      <w:ind w:left="284"/>
    </w:pPr>
    <w:rPr>
      <w:rFonts w:ascii="Arial" w:eastAsia="Times New Roman" w:hAnsi="Arial"/>
      <w:sz w:val="24"/>
      <w:lang w:val="de-DE"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table" w:styleId="TableGrid">
    <w:name w:val="Table Grid"/>
    <w:basedOn w:val="TableNormal"/>
    <w:rsid w:val="00380282"/>
    <w:rPr>
      <w:rFonts w:ascii="Arial" w:eastAsia="Times New Roman" w:hAnsi="Arial"/>
      <w:lang w:val="en-US"/>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282"/>
    <w:rPr>
      <w:rFonts w:ascii="Tahoma" w:hAnsi="Tahoma" w:cs="Tahoma"/>
      <w:sz w:val="16"/>
      <w:szCs w:val="16"/>
    </w:rPr>
  </w:style>
  <w:style w:type="character" w:customStyle="1" w:styleId="BalloonTextChar">
    <w:name w:val="Balloon Text Char"/>
    <w:basedOn w:val="DefaultParagraphFont"/>
    <w:link w:val="BalloonText"/>
    <w:uiPriority w:val="99"/>
    <w:semiHidden/>
    <w:rsid w:val="00380282"/>
    <w:rPr>
      <w:rFonts w:ascii="Tahoma" w:eastAsia="Times New Roman" w:hAnsi="Tahoma" w:cs="Tahoma"/>
      <w:sz w:val="16"/>
      <w:szCs w:val="16"/>
      <w:lang w:val="de-DE" w:eastAsia="de-CH"/>
    </w:rPr>
  </w:style>
  <w:style w:type="paragraph" w:customStyle="1" w:styleId="Default">
    <w:name w:val="Default"/>
    <w:rsid w:val="00525C41"/>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83FDD"/>
    <w:pPr>
      <w:ind w:left="720"/>
      <w:contextualSpacing/>
    </w:pPr>
    <w:rPr>
      <w:rFonts w:eastAsiaTheme="minorEastAsia"/>
      <w:sz w:val="20"/>
      <w:szCs w:val="24"/>
      <w:lang w:val="en-US" w:eastAsia="zh-CN"/>
    </w:rPr>
  </w:style>
  <w:style w:type="character" w:styleId="Strong">
    <w:name w:val="Strong"/>
    <w:basedOn w:val="DefaultParagraphFont"/>
    <w:uiPriority w:val="22"/>
    <w:qFormat/>
    <w:rsid w:val="00283FDD"/>
    <w:rPr>
      <w:b/>
      <w:bCs/>
    </w:rPr>
  </w:style>
  <w:style w:type="character" w:styleId="CommentReference">
    <w:name w:val="annotation reference"/>
    <w:basedOn w:val="DefaultParagraphFont"/>
    <w:uiPriority w:val="99"/>
    <w:semiHidden/>
    <w:unhideWhenUsed/>
    <w:rsid w:val="00C604A6"/>
    <w:rPr>
      <w:sz w:val="16"/>
      <w:szCs w:val="16"/>
    </w:rPr>
  </w:style>
  <w:style w:type="paragraph" w:styleId="CommentText">
    <w:name w:val="annotation text"/>
    <w:basedOn w:val="Normal"/>
    <w:link w:val="CommentTextChar"/>
    <w:uiPriority w:val="99"/>
    <w:semiHidden/>
    <w:unhideWhenUsed/>
    <w:rsid w:val="00C604A6"/>
    <w:rPr>
      <w:sz w:val="20"/>
    </w:rPr>
  </w:style>
  <w:style w:type="character" w:customStyle="1" w:styleId="CommentTextChar">
    <w:name w:val="Comment Text Char"/>
    <w:basedOn w:val="DefaultParagraphFont"/>
    <w:link w:val="CommentText"/>
    <w:uiPriority w:val="99"/>
    <w:semiHidden/>
    <w:rsid w:val="00C604A6"/>
    <w:rPr>
      <w:rFonts w:ascii="Arial" w:eastAsia="Times New Roman" w:hAnsi="Arial"/>
      <w:lang w:val="de-DE" w:eastAsia="de-CH"/>
    </w:rPr>
  </w:style>
  <w:style w:type="paragraph" w:styleId="CommentSubject">
    <w:name w:val="annotation subject"/>
    <w:basedOn w:val="CommentText"/>
    <w:next w:val="CommentText"/>
    <w:link w:val="CommentSubjectChar"/>
    <w:uiPriority w:val="99"/>
    <w:semiHidden/>
    <w:unhideWhenUsed/>
    <w:rsid w:val="00C604A6"/>
    <w:rPr>
      <w:b/>
      <w:bCs/>
    </w:rPr>
  </w:style>
  <w:style w:type="character" w:customStyle="1" w:styleId="CommentSubjectChar">
    <w:name w:val="Comment Subject Char"/>
    <w:basedOn w:val="CommentTextChar"/>
    <w:link w:val="CommentSubject"/>
    <w:uiPriority w:val="99"/>
    <w:semiHidden/>
    <w:rsid w:val="00C604A6"/>
    <w:rPr>
      <w:rFonts w:ascii="Arial" w:eastAsia="Times New Roman" w:hAnsi="Arial"/>
      <w:b/>
      <w:bCs/>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0282"/>
    <w:pPr>
      <w:ind w:left="284"/>
    </w:pPr>
    <w:rPr>
      <w:rFonts w:ascii="Arial" w:eastAsia="Times New Roman" w:hAnsi="Arial"/>
      <w:sz w:val="24"/>
      <w:lang w:val="de-DE"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table" w:styleId="TableGrid">
    <w:name w:val="Table Grid"/>
    <w:basedOn w:val="TableNormal"/>
    <w:rsid w:val="00380282"/>
    <w:rPr>
      <w:rFonts w:ascii="Arial" w:eastAsia="Times New Roman" w:hAnsi="Arial"/>
      <w:lang w:val="en-US"/>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282"/>
    <w:rPr>
      <w:rFonts w:ascii="Tahoma" w:hAnsi="Tahoma" w:cs="Tahoma"/>
      <w:sz w:val="16"/>
      <w:szCs w:val="16"/>
    </w:rPr>
  </w:style>
  <w:style w:type="character" w:customStyle="1" w:styleId="BalloonTextChar">
    <w:name w:val="Balloon Text Char"/>
    <w:basedOn w:val="DefaultParagraphFont"/>
    <w:link w:val="BalloonText"/>
    <w:uiPriority w:val="99"/>
    <w:semiHidden/>
    <w:rsid w:val="00380282"/>
    <w:rPr>
      <w:rFonts w:ascii="Tahoma" w:eastAsia="Times New Roman" w:hAnsi="Tahoma" w:cs="Tahoma"/>
      <w:sz w:val="16"/>
      <w:szCs w:val="16"/>
      <w:lang w:val="de-DE" w:eastAsia="de-CH"/>
    </w:rPr>
  </w:style>
  <w:style w:type="paragraph" w:customStyle="1" w:styleId="Default">
    <w:name w:val="Default"/>
    <w:rsid w:val="00525C41"/>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83FDD"/>
    <w:pPr>
      <w:ind w:left="720"/>
      <w:contextualSpacing/>
    </w:pPr>
    <w:rPr>
      <w:rFonts w:eastAsiaTheme="minorEastAsia"/>
      <w:sz w:val="20"/>
      <w:szCs w:val="24"/>
      <w:lang w:val="en-US" w:eastAsia="zh-CN"/>
    </w:rPr>
  </w:style>
  <w:style w:type="character" w:styleId="Strong">
    <w:name w:val="Strong"/>
    <w:basedOn w:val="DefaultParagraphFont"/>
    <w:uiPriority w:val="22"/>
    <w:qFormat/>
    <w:rsid w:val="00283FDD"/>
    <w:rPr>
      <w:b/>
      <w:bCs/>
    </w:rPr>
  </w:style>
  <w:style w:type="character" w:styleId="CommentReference">
    <w:name w:val="annotation reference"/>
    <w:basedOn w:val="DefaultParagraphFont"/>
    <w:uiPriority w:val="99"/>
    <w:semiHidden/>
    <w:unhideWhenUsed/>
    <w:rsid w:val="00C604A6"/>
    <w:rPr>
      <w:sz w:val="16"/>
      <w:szCs w:val="16"/>
    </w:rPr>
  </w:style>
  <w:style w:type="paragraph" w:styleId="CommentText">
    <w:name w:val="annotation text"/>
    <w:basedOn w:val="Normal"/>
    <w:link w:val="CommentTextChar"/>
    <w:uiPriority w:val="99"/>
    <w:semiHidden/>
    <w:unhideWhenUsed/>
    <w:rsid w:val="00C604A6"/>
    <w:rPr>
      <w:sz w:val="20"/>
    </w:rPr>
  </w:style>
  <w:style w:type="character" w:customStyle="1" w:styleId="CommentTextChar">
    <w:name w:val="Comment Text Char"/>
    <w:basedOn w:val="DefaultParagraphFont"/>
    <w:link w:val="CommentText"/>
    <w:uiPriority w:val="99"/>
    <w:semiHidden/>
    <w:rsid w:val="00C604A6"/>
    <w:rPr>
      <w:rFonts w:ascii="Arial" w:eastAsia="Times New Roman" w:hAnsi="Arial"/>
      <w:lang w:val="de-DE" w:eastAsia="de-CH"/>
    </w:rPr>
  </w:style>
  <w:style w:type="paragraph" w:styleId="CommentSubject">
    <w:name w:val="annotation subject"/>
    <w:basedOn w:val="CommentText"/>
    <w:next w:val="CommentText"/>
    <w:link w:val="CommentSubjectChar"/>
    <w:uiPriority w:val="99"/>
    <w:semiHidden/>
    <w:unhideWhenUsed/>
    <w:rsid w:val="00C604A6"/>
    <w:rPr>
      <w:b/>
      <w:bCs/>
    </w:rPr>
  </w:style>
  <w:style w:type="character" w:customStyle="1" w:styleId="CommentSubjectChar">
    <w:name w:val="Comment Subject Char"/>
    <w:basedOn w:val="CommentTextChar"/>
    <w:link w:val="CommentSubject"/>
    <w:uiPriority w:val="99"/>
    <w:semiHidden/>
    <w:rsid w:val="00C604A6"/>
    <w:rPr>
      <w:rFonts w:ascii="Arial" w:eastAsia="Times New Roman" w:hAnsi="Arial"/>
      <w:b/>
      <w:bCs/>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5980">
      <w:bodyDiv w:val="1"/>
      <w:marLeft w:val="0"/>
      <w:marRight w:val="0"/>
      <w:marTop w:val="0"/>
      <w:marBottom w:val="0"/>
      <w:divBdr>
        <w:top w:val="none" w:sz="0" w:space="0" w:color="auto"/>
        <w:left w:val="none" w:sz="0" w:space="0" w:color="auto"/>
        <w:bottom w:val="none" w:sz="0" w:space="0" w:color="auto"/>
        <w:right w:val="none" w:sz="0" w:space="0" w:color="auto"/>
      </w:divBdr>
    </w:div>
    <w:div w:id="1059670517">
      <w:bodyDiv w:val="1"/>
      <w:marLeft w:val="0"/>
      <w:marRight w:val="0"/>
      <w:marTop w:val="0"/>
      <w:marBottom w:val="0"/>
      <w:divBdr>
        <w:top w:val="none" w:sz="0" w:space="0" w:color="auto"/>
        <w:left w:val="none" w:sz="0" w:space="0" w:color="auto"/>
        <w:bottom w:val="none" w:sz="0" w:space="0" w:color="auto"/>
        <w:right w:val="none" w:sz="0" w:space="0" w:color="auto"/>
      </w:divBdr>
    </w:div>
    <w:div w:id="1269582664">
      <w:bodyDiv w:val="1"/>
      <w:marLeft w:val="0"/>
      <w:marRight w:val="0"/>
      <w:marTop w:val="0"/>
      <w:marBottom w:val="0"/>
      <w:divBdr>
        <w:top w:val="none" w:sz="0" w:space="0" w:color="auto"/>
        <w:left w:val="none" w:sz="0" w:space="0" w:color="auto"/>
        <w:bottom w:val="none" w:sz="0" w:space="0" w:color="auto"/>
        <w:right w:val="none" w:sz="0" w:space="0" w:color="auto"/>
      </w:divBdr>
    </w:div>
    <w:div w:id="19614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39C7F-45E2-47D4-A643-5030B215A777}"/>
</file>

<file path=customXml/itemProps2.xml><?xml version="1.0" encoding="utf-8"?>
<ds:datastoreItem xmlns:ds="http://schemas.openxmlformats.org/officeDocument/2006/customXml" ds:itemID="{F87F04F8-4E53-4522-9ABD-DC1C9AB4E016}"/>
</file>

<file path=customXml/itemProps3.xml><?xml version="1.0" encoding="utf-8"?>
<ds:datastoreItem xmlns:ds="http://schemas.openxmlformats.org/officeDocument/2006/customXml" ds:itemID="{5E13D062-50E2-4245-8DE8-4F973AB0EE02}"/>
</file>

<file path=customXml/itemProps4.xml><?xml version="1.0" encoding="utf-8"?>
<ds:datastoreItem xmlns:ds="http://schemas.openxmlformats.org/officeDocument/2006/customXml" ds:itemID="{F332CB7A-00BE-402E-8C25-C6C388AA6E37}"/>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11378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dc:creator>
  <cp:lastModifiedBy>Ian Lanel</cp:lastModifiedBy>
  <cp:revision>2</cp:revision>
  <cp:lastPrinted>2015-06-25T10:05:00Z</cp:lastPrinted>
  <dcterms:created xsi:type="dcterms:W3CDTF">2015-08-05T13:15:00Z</dcterms:created>
  <dcterms:modified xsi:type="dcterms:W3CDTF">2015-08-05T13:15:00Z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