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EA" w:rsidRPr="009059EE" w:rsidRDefault="00A87EE2">
      <w:pPr>
        <w:rPr>
          <w:lang w:val="fr-FR"/>
        </w:rPr>
      </w:pPr>
      <w:bookmarkStart w:id="0" w:name="_GoBack"/>
      <w:bookmarkEnd w:id="0"/>
      <w:r>
        <w:rPr>
          <w:lang w:val="fr-FR"/>
        </w:rPr>
        <w:t xml:space="preserve">                     </w:t>
      </w:r>
      <w:r w:rsidR="005B4BF2">
        <w:rPr>
          <w:lang w:val="fr-FR"/>
        </w:rPr>
        <w:t xml:space="preserve"> </w:t>
      </w:r>
      <w:r w:rsidR="00F230EA" w:rsidRPr="009059EE">
        <w:rPr>
          <w:lang w:val="fr-FR"/>
        </w:rPr>
        <w:t xml:space="preserve">FORUM </w:t>
      </w:r>
      <w:r w:rsidR="005B4BF2">
        <w:rPr>
          <w:lang w:val="fr-FR"/>
        </w:rPr>
        <w:t xml:space="preserve"> </w:t>
      </w:r>
      <w:r w:rsidR="00F230EA" w:rsidRPr="009059EE">
        <w:rPr>
          <w:lang w:val="fr-FR"/>
        </w:rPr>
        <w:t xml:space="preserve">ON </w:t>
      </w:r>
      <w:r w:rsidR="005B4BF2">
        <w:rPr>
          <w:lang w:val="fr-FR"/>
        </w:rPr>
        <w:t xml:space="preserve"> </w:t>
      </w:r>
      <w:r w:rsidR="00F230EA" w:rsidRPr="009059EE">
        <w:rPr>
          <w:lang w:val="fr-FR"/>
        </w:rPr>
        <w:t>MINORITY</w:t>
      </w:r>
      <w:r w:rsidR="005B4BF2">
        <w:rPr>
          <w:lang w:val="fr-FR"/>
        </w:rPr>
        <w:t xml:space="preserve"> </w:t>
      </w:r>
      <w:r w:rsidR="00F230EA" w:rsidRPr="009059EE">
        <w:rPr>
          <w:lang w:val="fr-FR"/>
        </w:rPr>
        <w:t xml:space="preserve"> ISSUES</w:t>
      </w:r>
    </w:p>
    <w:p w:rsidR="00F230EA" w:rsidRPr="009059EE" w:rsidRDefault="00F230EA">
      <w:pPr>
        <w:rPr>
          <w:lang w:val="fr-FR"/>
        </w:rPr>
      </w:pPr>
      <w:r w:rsidRPr="009059EE">
        <w:rPr>
          <w:lang w:val="fr-FR"/>
        </w:rPr>
        <w:t xml:space="preserve">       </w:t>
      </w:r>
    </w:p>
    <w:p w:rsidR="00F230EA" w:rsidRPr="009059EE" w:rsidRDefault="00F230EA">
      <w:pPr>
        <w:rPr>
          <w:lang w:val="fr-FR"/>
        </w:rPr>
      </w:pPr>
      <w:r w:rsidRPr="009059EE">
        <w:rPr>
          <w:lang w:val="fr-FR"/>
        </w:rPr>
        <w:t xml:space="preserve">                            </w:t>
      </w:r>
      <w:r w:rsidR="009059EE" w:rsidRPr="009059EE">
        <w:rPr>
          <w:lang w:val="fr-FR"/>
        </w:rPr>
        <w:t xml:space="preserve"> </w:t>
      </w:r>
      <w:r w:rsidRPr="009059EE">
        <w:rPr>
          <w:lang w:val="fr-FR"/>
        </w:rPr>
        <w:t>Palais des Nations-Genève-</w:t>
      </w:r>
    </w:p>
    <w:p w:rsidR="00F230EA" w:rsidRDefault="00F230EA">
      <w:r w:rsidRPr="002951A9">
        <w:rPr>
          <w:lang w:val="fr-FR"/>
        </w:rPr>
        <w:t xml:space="preserve">                             </w:t>
      </w:r>
      <w:r w:rsidR="009059EE" w:rsidRPr="002951A9">
        <w:rPr>
          <w:lang w:val="fr-FR"/>
        </w:rPr>
        <w:t xml:space="preserve"> </w:t>
      </w:r>
      <w:r w:rsidR="005B4BF2">
        <w:rPr>
          <w:lang w:val="fr-FR"/>
        </w:rPr>
        <w:t xml:space="preserve"> </w:t>
      </w:r>
      <w:r w:rsidR="00A87EE2">
        <w:t>24-25 N</w:t>
      </w:r>
      <w:r>
        <w:t>ovembre 2015</w:t>
      </w:r>
    </w:p>
    <w:p w:rsidR="00F230EA" w:rsidRDefault="00F230EA"/>
    <w:p w:rsidR="00F230EA" w:rsidRDefault="009059EE">
      <w:r>
        <w:t xml:space="preserve">               </w:t>
      </w:r>
      <w:r w:rsidR="00F230EA">
        <w:t>“MINORITIES IN THE CRIMINAL JUSTICE SYSTEM”</w:t>
      </w:r>
    </w:p>
    <w:p w:rsidR="00F230EA" w:rsidRDefault="00F230EA"/>
    <w:p w:rsidR="00F230EA" w:rsidRDefault="00F230EA"/>
    <w:p w:rsidR="00F230EA" w:rsidRDefault="00F230EA"/>
    <w:tbl>
      <w:tblPr>
        <w:tblW w:w="0" w:type="auto"/>
        <w:jc w:val="center"/>
        <w:tblLayout w:type="fixed"/>
        <w:tblCellMar>
          <w:left w:w="120" w:type="dxa"/>
          <w:right w:w="120" w:type="dxa"/>
        </w:tblCellMar>
        <w:tblLook w:val="0000" w:firstRow="0" w:lastRow="0" w:firstColumn="0" w:lastColumn="0" w:noHBand="0" w:noVBand="0"/>
      </w:tblPr>
      <w:tblGrid>
        <w:gridCol w:w="9025"/>
      </w:tblGrid>
      <w:tr w:rsidR="00D101EE" w:rsidRPr="00453AA4">
        <w:trPr>
          <w:jc w:val="center"/>
        </w:trPr>
        <w:tc>
          <w:tcPr>
            <w:tcW w:w="9025" w:type="dxa"/>
            <w:tcBorders>
              <w:top w:val="single" w:sz="7" w:space="0" w:color="000000"/>
              <w:left w:val="single" w:sz="7" w:space="0" w:color="000000"/>
              <w:bottom w:val="single" w:sz="7" w:space="0" w:color="000000"/>
              <w:right w:val="single" w:sz="7" w:space="0" w:color="000000"/>
            </w:tcBorders>
            <w:shd w:val="pct10" w:color="000000" w:fill="FFFFFF"/>
          </w:tcPr>
          <w:p w:rsidR="00D101EE" w:rsidRPr="00F230EA" w:rsidRDefault="00D101EE">
            <w:pPr>
              <w:spacing w:line="120" w:lineRule="exact"/>
              <w:rPr>
                <w:lang w:val="en-GB"/>
              </w:rPr>
            </w:pPr>
          </w:p>
          <w:p w:rsidR="00D101EE" w:rsidRDefault="00D101EE">
            <w:pPr>
              <w:widowControl/>
              <w:jc w:val="center"/>
              <w:rPr>
                <w:b/>
                <w:bCs/>
                <w:sz w:val="26"/>
                <w:szCs w:val="26"/>
                <w:lang w:val="fr-FR"/>
              </w:rPr>
            </w:pPr>
            <w:r>
              <w:rPr>
                <w:b/>
                <w:bCs/>
                <w:sz w:val="26"/>
                <w:szCs w:val="26"/>
                <w:lang w:val="fr-FR"/>
              </w:rPr>
              <w:t>PRÉSENTATION DE LA RECOMMANDATION GÉNÉRALE DU CERD</w:t>
            </w:r>
          </w:p>
          <w:p w:rsidR="00D101EE" w:rsidRDefault="00D101EE">
            <w:pPr>
              <w:widowControl/>
              <w:jc w:val="center"/>
              <w:rPr>
                <w:b/>
                <w:bCs/>
                <w:sz w:val="26"/>
                <w:szCs w:val="26"/>
                <w:lang w:val="fr-FR"/>
              </w:rPr>
            </w:pPr>
            <w:r>
              <w:rPr>
                <w:b/>
                <w:bCs/>
                <w:sz w:val="26"/>
                <w:szCs w:val="26"/>
                <w:lang w:val="fr-FR"/>
              </w:rPr>
              <w:t>SUR LA PRÉVENTION DE LA DISCRIMINATION RACIALE</w:t>
            </w:r>
          </w:p>
          <w:p w:rsidR="00D101EE" w:rsidRDefault="00D101EE">
            <w:pPr>
              <w:widowControl/>
              <w:jc w:val="center"/>
              <w:rPr>
                <w:b/>
                <w:bCs/>
                <w:sz w:val="26"/>
                <w:szCs w:val="26"/>
                <w:lang w:val="fr-FR"/>
              </w:rPr>
            </w:pPr>
            <w:r>
              <w:rPr>
                <w:b/>
                <w:bCs/>
                <w:sz w:val="26"/>
                <w:szCs w:val="26"/>
                <w:lang w:val="fr-FR"/>
              </w:rPr>
              <w:t>DANS L’ADMINISTRATION ET LE FONCTIONNEMENT</w:t>
            </w:r>
          </w:p>
          <w:p w:rsidR="00D101EE" w:rsidRDefault="00D101EE">
            <w:pPr>
              <w:widowControl/>
              <w:spacing w:after="58"/>
              <w:jc w:val="center"/>
              <w:rPr>
                <w:sz w:val="26"/>
                <w:szCs w:val="26"/>
                <w:lang w:val="fr-FR"/>
              </w:rPr>
            </w:pPr>
            <w:r>
              <w:rPr>
                <w:b/>
                <w:bCs/>
                <w:sz w:val="26"/>
                <w:szCs w:val="26"/>
                <w:lang w:val="fr-FR"/>
              </w:rPr>
              <w:t xml:space="preserve"> DE LA JUSTICE PÉNALE</w:t>
            </w:r>
          </w:p>
        </w:tc>
      </w:tr>
    </w:tbl>
    <w:p w:rsidR="00D101EE" w:rsidRDefault="00D101EE">
      <w:pPr>
        <w:widowControl/>
        <w:ind w:firstLine="2160"/>
        <w:rPr>
          <w:sz w:val="26"/>
          <w:szCs w:val="26"/>
          <w:lang w:val="fr-FR"/>
        </w:rPr>
      </w:pPr>
    </w:p>
    <w:p w:rsidR="00D101EE" w:rsidRDefault="00D101EE">
      <w:pPr>
        <w:widowControl/>
        <w:jc w:val="center"/>
        <w:rPr>
          <w:sz w:val="26"/>
          <w:szCs w:val="26"/>
          <w:lang w:val="fr-FR"/>
        </w:rPr>
      </w:pPr>
    </w:p>
    <w:p w:rsidR="00D101EE" w:rsidRDefault="00F230EA" w:rsidP="00F230EA">
      <w:pPr>
        <w:widowControl/>
        <w:rPr>
          <w:sz w:val="26"/>
          <w:szCs w:val="26"/>
          <w:lang w:val="fr-FR"/>
        </w:rPr>
      </w:pPr>
      <w:r>
        <w:rPr>
          <w:sz w:val="26"/>
          <w:szCs w:val="26"/>
          <w:lang w:val="fr-FR"/>
        </w:rPr>
        <w:t xml:space="preserve">                           Par</w:t>
      </w:r>
      <w:r w:rsidR="00D101EE">
        <w:rPr>
          <w:sz w:val="26"/>
          <w:szCs w:val="26"/>
          <w:lang w:val="fr-FR"/>
        </w:rPr>
        <w:t xml:space="preserve"> M. Régis de Gouttes</w:t>
      </w:r>
    </w:p>
    <w:p w:rsidR="00D101EE" w:rsidRDefault="00045E28" w:rsidP="00045E28">
      <w:pPr>
        <w:widowControl/>
        <w:rPr>
          <w:sz w:val="26"/>
          <w:szCs w:val="26"/>
          <w:lang w:val="fr-FR"/>
        </w:rPr>
      </w:pPr>
      <w:r>
        <w:rPr>
          <w:sz w:val="26"/>
          <w:szCs w:val="26"/>
          <w:lang w:val="fr-FR"/>
        </w:rPr>
        <w:t xml:space="preserve">        </w:t>
      </w:r>
      <w:r w:rsidR="00117617">
        <w:rPr>
          <w:sz w:val="26"/>
          <w:szCs w:val="26"/>
          <w:lang w:val="fr-FR"/>
        </w:rPr>
        <w:t xml:space="preserve"> </w:t>
      </w:r>
      <w:r w:rsidR="00D101EE">
        <w:rPr>
          <w:sz w:val="26"/>
          <w:szCs w:val="26"/>
          <w:lang w:val="fr-FR"/>
        </w:rPr>
        <w:t xml:space="preserve">Premier Avocat Général </w:t>
      </w:r>
      <w:r w:rsidR="00A42748">
        <w:rPr>
          <w:sz w:val="26"/>
          <w:szCs w:val="26"/>
          <w:lang w:val="fr-FR"/>
        </w:rPr>
        <w:t xml:space="preserve">honoraire </w:t>
      </w:r>
      <w:r w:rsidR="00D101EE">
        <w:rPr>
          <w:sz w:val="26"/>
          <w:szCs w:val="26"/>
          <w:lang w:val="fr-FR"/>
        </w:rPr>
        <w:t>à la Cour de cassation (France)</w:t>
      </w:r>
    </w:p>
    <w:p w:rsidR="00F229A4" w:rsidRDefault="00045E28" w:rsidP="00F229A4">
      <w:pPr>
        <w:widowControl/>
        <w:rPr>
          <w:sz w:val="26"/>
          <w:szCs w:val="26"/>
          <w:lang w:val="fr-FR"/>
        </w:rPr>
      </w:pPr>
      <w:r>
        <w:rPr>
          <w:sz w:val="26"/>
          <w:szCs w:val="26"/>
          <w:lang w:val="fr-FR"/>
        </w:rPr>
        <w:t xml:space="preserve">                </w:t>
      </w:r>
      <w:r w:rsidR="00913DF1">
        <w:rPr>
          <w:sz w:val="26"/>
          <w:szCs w:val="26"/>
          <w:lang w:val="fr-FR"/>
        </w:rPr>
        <w:t xml:space="preserve">Ancien </w:t>
      </w:r>
      <w:r w:rsidR="00D101EE">
        <w:rPr>
          <w:sz w:val="26"/>
          <w:szCs w:val="26"/>
          <w:lang w:val="fr-FR"/>
        </w:rPr>
        <w:t>Président du Comité des Nations Unies</w:t>
      </w:r>
    </w:p>
    <w:p w:rsidR="00D101EE" w:rsidRDefault="002951A9" w:rsidP="00F229A4">
      <w:pPr>
        <w:widowControl/>
        <w:rPr>
          <w:sz w:val="26"/>
          <w:szCs w:val="26"/>
          <w:lang w:val="fr-FR"/>
        </w:rPr>
      </w:pPr>
      <w:r>
        <w:rPr>
          <w:sz w:val="26"/>
          <w:szCs w:val="26"/>
          <w:lang w:val="fr-FR"/>
        </w:rPr>
        <w:t xml:space="preserve">                 </w:t>
      </w:r>
      <w:r w:rsidR="00D101EE">
        <w:rPr>
          <w:sz w:val="26"/>
          <w:szCs w:val="26"/>
          <w:lang w:val="fr-FR"/>
        </w:rPr>
        <w:t>pour l’é</w:t>
      </w:r>
      <w:r w:rsidR="00F229A4">
        <w:rPr>
          <w:sz w:val="26"/>
          <w:szCs w:val="26"/>
          <w:lang w:val="fr-FR"/>
        </w:rPr>
        <w:t xml:space="preserve">limination de la discrimination </w:t>
      </w:r>
      <w:r w:rsidR="00D101EE">
        <w:rPr>
          <w:sz w:val="26"/>
          <w:szCs w:val="26"/>
          <w:lang w:val="fr-FR"/>
        </w:rPr>
        <w:t>raciale.</w:t>
      </w:r>
    </w:p>
    <w:p w:rsidR="00D101EE" w:rsidRDefault="00D101EE">
      <w:pPr>
        <w:widowControl/>
        <w:jc w:val="center"/>
        <w:rPr>
          <w:sz w:val="26"/>
          <w:szCs w:val="26"/>
          <w:lang w:val="fr-FR"/>
        </w:rPr>
      </w:pPr>
    </w:p>
    <w:p w:rsidR="00D101EE" w:rsidRDefault="00D101EE">
      <w:pPr>
        <w:widowControl/>
        <w:jc w:val="center"/>
        <w:rPr>
          <w:sz w:val="26"/>
          <w:szCs w:val="26"/>
          <w:lang w:val="fr-FR"/>
        </w:rPr>
      </w:pPr>
    </w:p>
    <w:p w:rsidR="00024923" w:rsidRDefault="00024923" w:rsidP="00024923">
      <w:pPr>
        <w:widowControl/>
        <w:jc w:val="center"/>
        <w:rPr>
          <w:sz w:val="26"/>
          <w:szCs w:val="26"/>
          <w:lang w:val="fr-FR"/>
        </w:rPr>
      </w:pPr>
      <w:r>
        <w:rPr>
          <w:sz w:val="26"/>
          <w:szCs w:val="26"/>
          <w:lang w:val="fr-FR"/>
        </w:rPr>
        <w:t>*    *    *</w:t>
      </w:r>
    </w:p>
    <w:p w:rsidR="00D101EE" w:rsidRPr="00024923" w:rsidRDefault="00D101EE" w:rsidP="00024923">
      <w:pPr>
        <w:widowControl/>
        <w:rPr>
          <w:sz w:val="26"/>
          <w:szCs w:val="26"/>
          <w:lang w:val="fr-FR"/>
        </w:rPr>
      </w:pPr>
    </w:p>
    <w:p w:rsidR="00024923" w:rsidRDefault="00024923" w:rsidP="00024923">
      <w:pPr>
        <w:widowControl/>
        <w:rPr>
          <w:color w:val="000000" w:themeColor="text1"/>
          <w:sz w:val="26"/>
          <w:szCs w:val="26"/>
          <w:lang w:val="fr-FR"/>
        </w:rPr>
      </w:pPr>
      <w:r>
        <w:rPr>
          <w:color w:val="000000" w:themeColor="text1"/>
          <w:sz w:val="26"/>
          <w:szCs w:val="26"/>
          <w:lang w:val="fr-FR"/>
        </w:rPr>
        <w:t xml:space="preserve">    </w:t>
      </w:r>
      <w:r w:rsidRPr="00024923">
        <w:rPr>
          <w:color w:val="000000" w:themeColor="text1"/>
          <w:sz w:val="26"/>
          <w:szCs w:val="26"/>
          <w:lang w:val="fr-FR"/>
        </w:rPr>
        <w:t>Pourq</w:t>
      </w:r>
      <w:r>
        <w:rPr>
          <w:color w:val="000000" w:themeColor="text1"/>
          <w:sz w:val="26"/>
          <w:szCs w:val="26"/>
          <w:lang w:val="fr-FR"/>
        </w:rPr>
        <w:t xml:space="preserve">uoi ai-je choisi, dans le cadre de notre Forum sur les Minorités, de vous parler du Comité des Nations Unies pour l’élimination de la discrimination raciale (le « CERD ») et plus précisément de </w:t>
      </w:r>
      <w:r w:rsidR="003E4940">
        <w:rPr>
          <w:color w:val="000000" w:themeColor="text1"/>
          <w:sz w:val="26"/>
          <w:szCs w:val="26"/>
          <w:lang w:val="fr-FR"/>
        </w:rPr>
        <w:t xml:space="preserve">sa Recommandation Générale N°31 de </w:t>
      </w:r>
      <w:r>
        <w:rPr>
          <w:color w:val="000000" w:themeColor="text1"/>
          <w:sz w:val="26"/>
          <w:szCs w:val="26"/>
          <w:lang w:val="fr-FR"/>
        </w:rPr>
        <w:t>2005 sur la prévention de la discrimination raciale dans l’administration et le fonctionnement de la justice pénale ?</w:t>
      </w:r>
    </w:p>
    <w:p w:rsidR="003E4940" w:rsidRDefault="003E4940" w:rsidP="00024923">
      <w:pPr>
        <w:widowControl/>
        <w:rPr>
          <w:color w:val="000000" w:themeColor="text1"/>
          <w:sz w:val="26"/>
          <w:szCs w:val="26"/>
          <w:lang w:val="fr-FR"/>
        </w:rPr>
      </w:pPr>
    </w:p>
    <w:p w:rsidR="00D101EE" w:rsidRDefault="00024923" w:rsidP="00F877D7">
      <w:pPr>
        <w:widowControl/>
        <w:rPr>
          <w:color w:val="000000" w:themeColor="text1"/>
          <w:sz w:val="26"/>
          <w:szCs w:val="26"/>
          <w:lang w:val="fr-FR"/>
        </w:rPr>
      </w:pPr>
      <w:r>
        <w:rPr>
          <w:color w:val="000000" w:themeColor="text1"/>
          <w:sz w:val="26"/>
          <w:szCs w:val="26"/>
          <w:lang w:val="fr-FR"/>
        </w:rPr>
        <w:t xml:space="preserve">    Je commencerai par vous exposer brièvement les raisons de ce choix, avant de vous présenter ensuite</w:t>
      </w:r>
      <w:r w:rsidR="00F877D7">
        <w:rPr>
          <w:color w:val="000000" w:themeColor="text1"/>
          <w:sz w:val="26"/>
          <w:szCs w:val="26"/>
          <w:lang w:val="fr-FR"/>
        </w:rPr>
        <w:t xml:space="preserve"> le contenu de la Recommandation N°31/2005.</w:t>
      </w:r>
    </w:p>
    <w:p w:rsidR="003E4940" w:rsidRDefault="003E4940" w:rsidP="00F877D7">
      <w:pPr>
        <w:widowControl/>
        <w:rPr>
          <w:color w:val="000000" w:themeColor="text1"/>
          <w:sz w:val="26"/>
          <w:szCs w:val="26"/>
          <w:lang w:val="fr-FR"/>
        </w:rPr>
      </w:pPr>
    </w:p>
    <w:p w:rsidR="00A87EE2" w:rsidRDefault="003E4940" w:rsidP="00F877D7">
      <w:pPr>
        <w:widowControl/>
        <w:rPr>
          <w:color w:val="000000" w:themeColor="text1"/>
          <w:sz w:val="26"/>
          <w:szCs w:val="26"/>
          <w:lang w:val="fr-FR"/>
        </w:rPr>
      </w:pPr>
      <w:r>
        <w:rPr>
          <w:color w:val="000000" w:themeColor="text1"/>
          <w:sz w:val="26"/>
          <w:szCs w:val="26"/>
          <w:lang w:val="fr-FR"/>
        </w:rPr>
        <w:t xml:space="preserve">        </w:t>
      </w:r>
    </w:p>
    <w:p w:rsidR="00F877D7" w:rsidRPr="00A87EE2" w:rsidRDefault="00A87EE2" w:rsidP="00F877D7">
      <w:pPr>
        <w:widowControl/>
        <w:rPr>
          <w:color w:val="000000" w:themeColor="text1"/>
          <w:sz w:val="26"/>
          <w:szCs w:val="26"/>
          <w:lang w:val="fr-FR"/>
        </w:rPr>
      </w:pPr>
      <w:r>
        <w:rPr>
          <w:color w:val="000000" w:themeColor="text1"/>
          <w:sz w:val="26"/>
          <w:szCs w:val="26"/>
          <w:lang w:val="fr-FR"/>
        </w:rPr>
        <w:t xml:space="preserve">     </w:t>
      </w:r>
      <w:r w:rsidR="00F877D7">
        <w:rPr>
          <w:color w:val="000000" w:themeColor="text1"/>
          <w:sz w:val="26"/>
          <w:szCs w:val="26"/>
          <w:lang w:val="fr-FR"/>
        </w:rPr>
        <w:t xml:space="preserve">= I = </w:t>
      </w:r>
      <w:r w:rsidR="00F877D7" w:rsidRPr="00F877D7">
        <w:rPr>
          <w:color w:val="000000" w:themeColor="text1"/>
          <w:sz w:val="26"/>
          <w:szCs w:val="26"/>
          <w:u w:val="single"/>
          <w:lang w:val="fr-FR"/>
        </w:rPr>
        <w:t>Les raisons du choix de la Recommandation Générale N°31/2005 du CERD</w:t>
      </w:r>
      <w:r w:rsidR="00F877D7">
        <w:rPr>
          <w:color w:val="000000" w:themeColor="text1"/>
          <w:sz w:val="26"/>
          <w:szCs w:val="26"/>
          <w:u w:val="single"/>
          <w:lang w:val="fr-FR"/>
        </w:rPr>
        <w:t> :</w:t>
      </w:r>
    </w:p>
    <w:p w:rsidR="00312C42" w:rsidRDefault="00312C42" w:rsidP="00F877D7">
      <w:pPr>
        <w:widowControl/>
        <w:rPr>
          <w:color w:val="000000" w:themeColor="text1"/>
          <w:sz w:val="26"/>
          <w:szCs w:val="26"/>
          <w:u w:val="single"/>
          <w:lang w:val="fr-FR"/>
        </w:rPr>
      </w:pPr>
    </w:p>
    <w:p w:rsidR="003E4940" w:rsidRDefault="00A87EE2" w:rsidP="002005B5">
      <w:pPr>
        <w:widowControl/>
        <w:rPr>
          <w:color w:val="000000" w:themeColor="text1"/>
          <w:sz w:val="26"/>
          <w:szCs w:val="26"/>
          <w:lang w:val="fr-FR"/>
        </w:rPr>
      </w:pPr>
      <w:r w:rsidRPr="00A87EE2">
        <w:rPr>
          <w:color w:val="000000" w:themeColor="text1"/>
          <w:sz w:val="26"/>
          <w:szCs w:val="26"/>
          <w:lang w:val="fr-FR"/>
        </w:rPr>
        <w:t xml:space="preserve">      </w:t>
      </w:r>
      <w:r w:rsidR="002005B5">
        <w:rPr>
          <w:color w:val="000000" w:themeColor="text1"/>
          <w:sz w:val="26"/>
          <w:szCs w:val="26"/>
          <w:lang w:val="fr-FR"/>
        </w:rPr>
        <w:t xml:space="preserve">1 </w:t>
      </w:r>
      <w:r w:rsidR="00D40F42">
        <w:rPr>
          <w:color w:val="000000" w:themeColor="text1"/>
          <w:sz w:val="26"/>
          <w:szCs w:val="26"/>
          <w:lang w:val="fr-FR"/>
        </w:rPr>
        <w:t>-</w:t>
      </w:r>
      <w:r w:rsidR="002005B5">
        <w:rPr>
          <w:color w:val="000000" w:themeColor="text1"/>
          <w:sz w:val="26"/>
          <w:szCs w:val="26"/>
          <w:lang w:val="fr-FR"/>
        </w:rPr>
        <w:t xml:space="preserve"> La première raison tient au fait que, dans sa Recommandation N°31/2005, le CERD fait apparaître clairement que ce sont certains groupes de la société ou </w:t>
      </w:r>
      <w:r w:rsidR="002005B5" w:rsidRPr="002005B5">
        <w:rPr>
          <w:color w:val="000000" w:themeColor="text1"/>
          <w:sz w:val="26"/>
          <w:szCs w:val="26"/>
          <w:lang w:val="fr-FR"/>
        </w:rPr>
        <w:t xml:space="preserve">certaines minorités qui sont particulièrement exposés à des discriminations raciales ou ethniques dans le fonctionnement de la justice pénale. Parmi ces groupes, le CERD a identifié en particulier les immigrés, les réfugiés, les demandeurs d’asile, les apatrides, les personnes déplacées, les non-ressortissants, les peuples autochtones ou indigènes, les Roms et Tziganes, les personnes discriminées à raison de leur ascendance ou de leur appartenance à une caste, les personnes d’ascendance africaine. Des Recommandations </w:t>
      </w:r>
      <w:r w:rsidR="002005B5" w:rsidRPr="002005B5">
        <w:rPr>
          <w:color w:val="000000" w:themeColor="text1"/>
          <w:sz w:val="26"/>
          <w:szCs w:val="26"/>
          <w:lang w:val="fr-FR"/>
        </w:rPr>
        <w:lastRenderedPageBreak/>
        <w:t>générales du CERD ont été d’ailleurs consacrées à certains de ces groupes ou minorités</w:t>
      </w:r>
      <w:r w:rsidR="002005B5">
        <w:rPr>
          <w:color w:val="000000" w:themeColor="text1"/>
          <w:sz w:val="26"/>
          <w:szCs w:val="26"/>
          <w:lang w:val="fr-FR"/>
        </w:rPr>
        <w:t xml:space="preserve"> </w:t>
      </w:r>
      <w:r w:rsidR="002005B5" w:rsidRPr="002005B5">
        <w:rPr>
          <w:color w:val="000000" w:themeColor="text1"/>
          <w:sz w:val="26"/>
          <w:szCs w:val="26"/>
          <w:lang w:val="fr-FR"/>
        </w:rPr>
        <w:t xml:space="preserve"> en particulier.</w:t>
      </w:r>
    </w:p>
    <w:p w:rsidR="002005B5" w:rsidRDefault="00823208" w:rsidP="002005B5">
      <w:pPr>
        <w:widowControl/>
        <w:rPr>
          <w:color w:val="000000" w:themeColor="text1"/>
          <w:sz w:val="26"/>
          <w:szCs w:val="26"/>
          <w:lang w:val="fr-FR"/>
        </w:rPr>
      </w:pPr>
      <w:r>
        <w:rPr>
          <w:color w:val="000000" w:themeColor="text1"/>
          <w:sz w:val="26"/>
          <w:szCs w:val="26"/>
          <w:lang w:val="fr-FR"/>
        </w:rPr>
        <w:t xml:space="preserve">   </w:t>
      </w:r>
      <w:r w:rsidR="002005B5">
        <w:rPr>
          <w:color w:val="000000" w:themeColor="text1"/>
          <w:sz w:val="26"/>
          <w:szCs w:val="26"/>
          <w:lang w:val="fr-FR"/>
        </w:rPr>
        <w:t>Certes, la Recommandation Générale N°31/2005 vise spécialement les discriminations de caractère racial ou ethnique</w:t>
      </w:r>
      <w:r w:rsidR="00BA05BA">
        <w:rPr>
          <w:color w:val="000000" w:themeColor="text1"/>
          <w:sz w:val="26"/>
          <w:szCs w:val="26"/>
          <w:lang w:val="fr-FR"/>
        </w:rPr>
        <w:t xml:space="preserve"> identifiables dans le fonctionnement de la justice.</w:t>
      </w:r>
    </w:p>
    <w:p w:rsidR="00BA05BA" w:rsidRDefault="00823208" w:rsidP="002005B5">
      <w:pPr>
        <w:widowControl/>
        <w:rPr>
          <w:color w:val="000000" w:themeColor="text1"/>
          <w:sz w:val="26"/>
          <w:szCs w:val="26"/>
          <w:lang w:val="fr-FR"/>
        </w:rPr>
      </w:pPr>
      <w:r>
        <w:rPr>
          <w:color w:val="000000" w:themeColor="text1"/>
          <w:sz w:val="26"/>
          <w:szCs w:val="26"/>
          <w:lang w:val="fr-FR"/>
        </w:rPr>
        <w:t xml:space="preserve">   </w:t>
      </w:r>
      <w:r w:rsidR="00BA05BA">
        <w:rPr>
          <w:color w:val="000000" w:themeColor="text1"/>
          <w:sz w:val="26"/>
          <w:szCs w:val="26"/>
          <w:lang w:val="fr-FR"/>
        </w:rPr>
        <w:t>Mais vous pourrez constater qu’au-delà des discriminations raciales ou ethniques, ce sont toutes les sortes de discriminations dans le fonctionnement de la justice pénale qui sont en m</w:t>
      </w:r>
      <w:r w:rsidR="00CF0751">
        <w:rPr>
          <w:color w:val="000000" w:themeColor="text1"/>
          <w:sz w:val="26"/>
          <w:szCs w:val="26"/>
          <w:lang w:val="fr-FR"/>
        </w:rPr>
        <w:t>ême temps concernées</w:t>
      </w:r>
      <w:r w:rsidR="00BA05BA">
        <w:rPr>
          <w:color w:val="000000" w:themeColor="text1"/>
          <w:sz w:val="26"/>
          <w:szCs w:val="26"/>
          <w:lang w:val="fr-FR"/>
        </w:rPr>
        <w:t>. De là la portée plus générale de cette Recommandation</w:t>
      </w:r>
      <w:r w:rsidR="00D40F42">
        <w:rPr>
          <w:color w:val="000000" w:themeColor="text1"/>
          <w:sz w:val="26"/>
          <w:szCs w:val="26"/>
          <w:lang w:val="fr-FR"/>
        </w:rPr>
        <w:t xml:space="preserve"> qui nous intéresse tous.</w:t>
      </w:r>
    </w:p>
    <w:p w:rsidR="00BA05BA" w:rsidRPr="002005B5" w:rsidRDefault="00BA05BA" w:rsidP="002005B5">
      <w:pPr>
        <w:widowControl/>
        <w:rPr>
          <w:color w:val="000000" w:themeColor="text1"/>
          <w:sz w:val="26"/>
          <w:szCs w:val="26"/>
          <w:u w:val="single"/>
          <w:lang w:val="fr-FR"/>
        </w:rPr>
      </w:pPr>
    </w:p>
    <w:p w:rsidR="003E4940" w:rsidRPr="00D40F42" w:rsidRDefault="00D40F42" w:rsidP="00D40F42">
      <w:pPr>
        <w:pStyle w:val="ListParagraph"/>
        <w:widowControl/>
        <w:rPr>
          <w:color w:val="000000" w:themeColor="text1"/>
          <w:sz w:val="26"/>
          <w:szCs w:val="26"/>
          <w:lang w:val="fr-FR"/>
        </w:rPr>
      </w:pPr>
      <w:r>
        <w:rPr>
          <w:color w:val="000000" w:themeColor="text1"/>
          <w:sz w:val="26"/>
          <w:szCs w:val="26"/>
          <w:lang w:val="fr-FR"/>
        </w:rPr>
        <w:t xml:space="preserve">2 - </w:t>
      </w:r>
      <w:r w:rsidRPr="00D40F42">
        <w:rPr>
          <w:color w:val="000000" w:themeColor="text1"/>
          <w:sz w:val="26"/>
          <w:szCs w:val="26"/>
          <w:lang w:val="fr-FR"/>
        </w:rPr>
        <w:t xml:space="preserve">La deuxième raison est </w:t>
      </w:r>
      <w:r w:rsidR="000B6DE3" w:rsidRPr="00D40F42">
        <w:rPr>
          <w:color w:val="000000" w:themeColor="text1"/>
          <w:sz w:val="26"/>
          <w:szCs w:val="26"/>
          <w:lang w:val="fr-FR"/>
        </w:rPr>
        <w:t xml:space="preserve">que le CERD est le plus ancien </w:t>
      </w:r>
      <w:r>
        <w:rPr>
          <w:color w:val="000000" w:themeColor="text1"/>
          <w:sz w:val="26"/>
          <w:szCs w:val="26"/>
          <w:lang w:val="fr-FR"/>
        </w:rPr>
        <w:t>parmi l</w:t>
      </w:r>
      <w:r w:rsidR="000B6DE3" w:rsidRPr="00D40F42">
        <w:rPr>
          <w:color w:val="000000" w:themeColor="text1"/>
          <w:sz w:val="26"/>
          <w:szCs w:val="26"/>
          <w:lang w:val="fr-FR"/>
        </w:rPr>
        <w:t xml:space="preserve">es </w:t>
      </w:r>
      <w:r>
        <w:rPr>
          <w:color w:val="000000" w:themeColor="text1"/>
          <w:sz w:val="26"/>
          <w:szCs w:val="26"/>
          <w:lang w:val="fr-FR"/>
        </w:rPr>
        <w:t xml:space="preserve">dix </w:t>
      </w:r>
      <w:r w:rsidR="000B6DE3" w:rsidRPr="00D40F42">
        <w:rPr>
          <w:color w:val="000000" w:themeColor="text1"/>
          <w:sz w:val="26"/>
          <w:szCs w:val="26"/>
          <w:lang w:val="fr-FR"/>
        </w:rPr>
        <w:t>Comités</w:t>
      </w:r>
      <w:r w:rsidR="00B51974">
        <w:rPr>
          <w:color w:val="000000" w:themeColor="text1"/>
          <w:sz w:val="26"/>
          <w:szCs w:val="26"/>
          <w:lang w:val="fr-FR"/>
        </w:rPr>
        <w:t xml:space="preserve">  </w:t>
      </w:r>
      <w:r>
        <w:rPr>
          <w:color w:val="000000" w:themeColor="text1"/>
          <w:sz w:val="26"/>
          <w:szCs w:val="26"/>
          <w:lang w:val="fr-FR"/>
        </w:rPr>
        <w:t xml:space="preserve"> </w:t>
      </w:r>
      <w:r w:rsidR="002951A9" w:rsidRPr="00D40F42">
        <w:rPr>
          <w:color w:val="000000" w:themeColor="text1"/>
          <w:sz w:val="26"/>
          <w:szCs w:val="26"/>
          <w:lang w:val="fr-FR"/>
        </w:rPr>
        <w:t xml:space="preserve"> </w:t>
      </w:r>
      <w:r w:rsidR="00EC7FB1" w:rsidRPr="00D40F42">
        <w:rPr>
          <w:color w:val="000000" w:themeColor="text1"/>
          <w:sz w:val="26"/>
          <w:szCs w:val="26"/>
          <w:lang w:val="fr-FR"/>
        </w:rPr>
        <w:t xml:space="preserve"> </w:t>
      </w:r>
      <w:r w:rsidR="000B6DE3" w:rsidRPr="00D40F42">
        <w:rPr>
          <w:color w:val="000000" w:themeColor="text1"/>
          <w:sz w:val="26"/>
          <w:szCs w:val="26"/>
          <w:lang w:val="fr-FR"/>
        </w:rPr>
        <w:t xml:space="preserve"> </w:t>
      </w:r>
    </w:p>
    <w:p w:rsidR="00D40F42" w:rsidRDefault="00B51974" w:rsidP="000B6DE3">
      <w:pPr>
        <w:widowControl/>
        <w:rPr>
          <w:color w:val="000000" w:themeColor="text1"/>
          <w:sz w:val="26"/>
          <w:szCs w:val="26"/>
          <w:lang w:val="fr-FR"/>
        </w:rPr>
      </w:pPr>
      <w:r>
        <w:rPr>
          <w:color w:val="000000" w:themeColor="text1"/>
          <w:sz w:val="26"/>
          <w:szCs w:val="26"/>
          <w:lang w:val="fr-FR"/>
        </w:rPr>
        <w:t>d’</w:t>
      </w:r>
      <w:r w:rsidR="000B6DE3" w:rsidRPr="000B6DE3">
        <w:rPr>
          <w:color w:val="000000" w:themeColor="text1"/>
          <w:sz w:val="26"/>
          <w:szCs w:val="26"/>
          <w:lang w:val="fr-FR"/>
        </w:rPr>
        <w:t>experts indépendants ou « </w:t>
      </w:r>
      <w:r w:rsidR="000B6DE3">
        <w:rPr>
          <w:color w:val="000000" w:themeColor="text1"/>
          <w:sz w:val="26"/>
          <w:szCs w:val="26"/>
          <w:lang w:val="fr-FR"/>
        </w:rPr>
        <w:t xml:space="preserve">organes conventionnels » </w:t>
      </w:r>
      <w:r w:rsidR="00D40F42">
        <w:rPr>
          <w:color w:val="000000" w:themeColor="text1"/>
          <w:sz w:val="26"/>
          <w:szCs w:val="26"/>
          <w:lang w:val="fr-FR"/>
        </w:rPr>
        <w:t xml:space="preserve">des droits de l’homme </w:t>
      </w:r>
      <w:r w:rsidR="000B6DE3">
        <w:rPr>
          <w:color w:val="000000" w:themeColor="text1"/>
          <w:sz w:val="26"/>
          <w:szCs w:val="26"/>
          <w:lang w:val="fr-FR"/>
        </w:rPr>
        <w:t xml:space="preserve">(Treaty bodies) </w:t>
      </w:r>
      <w:r w:rsidR="00D40F42">
        <w:rPr>
          <w:color w:val="000000" w:themeColor="text1"/>
          <w:sz w:val="26"/>
          <w:szCs w:val="26"/>
          <w:lang w:val="fr-FR"/>
        </w:rPr>
        <w:t>qui existent actuellement aux Nations Unies. S</w:t>
      </w:r>
      <w:r w:rsidR="000B6DE3">
        <w:rPr>
          <w:color w:val="000000" w:themeColor="text1"/>
          <w:sz w:val="26"/>
          <w:szCs w:val="26"/>
          <w:lang w:val="fr-FR"/>
        </w:rPr>
        <w:t>on expérience est</w:t>
      </w:r>
      <w:r w:rsidR="00D40F42">
        <w:rPr>
          <w:color w:val="000000" w:themeColor="text1"/>
          <w:sz w:val="26"/>
          <w:szCs w:val="26"/>
          <w:lang w:val="fr-FR"/>
        </w:rPr>
        <w:t xml:space="preserve"> donc </w:t>
      </w:r>
      <w:r w:rsidR="000B6DE3">
        <w:rPr>
          <w:color w:val="000000" w:themeColor="text1"/>
          <w:sz w:val="26"/>
          <w:szCs w:val="26"/>
          <w:lang w:val="fr-FR"/>
        </w:rPr>
        <w:t xml:space="preserve"> particulièrement utile à évoquer</w:t>
      </w:r>
      <w:r w:rsidR="00D40F42">
        <w:rPr>
          <w:color w:val="000000" w:themeColor="text1"/>
          <w:sz w:val="26"/>
          <w:szCs w:val="26"/>
          <w:lang w:val="fr-FR"/>
        </w:rPr>
        <w:t>.</w:t>
      </w:r>
    </w:p>
    <w:p w:rsidR="00F41467" w:rsidRDefault="0080410C" w:rsidP="000B6DE3">
      <w:pPr>
        <w:widowControl/>
        <w:rPr>
          <w:color w:val="000000" w:themeColor="text1"/>
          <w:sz w:val="26"/>
          <w:szCs w:val="26"/>
          <w:lang w:val="fr-FR"/>
        </w:rPr>
      </w:pPr>
      <w:r>
        <w:rPr>
          <w:color w:val="000000" w:themeColor="text1"/>
          <w:sz w:val="26"/>
          <w:szCs w:val="26"/>
          <w:lang w:val="fr-FR"/>
        </w:rPr>
        <w:t xml:space="preserve">      </w:t>
      </w:r>
      <w:r w:rsidR="00D40F42">
        <w:rPr>
          <w:color w:val="000000" w:themeColor="text1"/>
          <w:sz w:val="26"/>
          <w:szCs w:val="26"/>
          <w:lang w:val="fr-FR"/>
        </w:rPr>
        <w:t>Le CERD est</w:t>
      </w:r>
      <w:r w:rsidR="00281197">
        <w:rPr>
          <w:color w:val="000000" w:themeColor="text1"/>
          <w:sz w:val="26"/>
          <w:szCs w:val="26"/>
          <w:lang w:val="fr-FR"/>
        </w:rPr>
        <w:t xml:space="preserve">, </w:t>
      </w:r>
      <w:r w:rsidR="00F41467">
        <w:rPr>
          <w:color w:val="000000" w:themeColor="text1"/>
          <w:sz w:val="26"/>
          <w:szCs w:val="26"/>
          <w:lang w:val="fr-FR"/>
        </w:rPr>
        <w:t>de plus</w:t>
      </w:r>
      <w:r w:rsidR="00281197">
        <w:rPr>
          <w:color w:val="000000" w:themeColor="text1"/>
          <w:sz w:val="26"/>
          <w:szCs w:val="26"/>
          <w:lang w:val="fr-FR"/>
        </w:rPr>
        <w:t>,</w:t>
      </w:r>
      <w:r w:rsidR="00D40F42">
        <w:rPr>
          <w:color w:val="000000" w:themeColor="text1"/>
          <w:sz w:val="26"/>
          <w:szCs w:val="26"/>
          <w:lang w:val="fr-FR"/>
        </w:rPr>
        <w:t xml:space="preserve"> chargé spécialement de veiller à l’application de la Convention internationale sur l’élimination de toutes les formes de discrimination</w:t>
      </w:r>
      <w:r w:rsidR="00E76397">
        <w:rPr>
          <w:color w:val="000000" w:themeColor="text1"/>
          <w:sz w:val="26"/>
          <w:szCs w:val="26"/>
          <w:lang w:val="fr-FR"/>
        </w:rPr>
        <w:t xml:space="preserve"> raciale, adoptée dès le 21 Décembre 1965 et ratifiée à ce jour par 177 Etats</w:t>
      </w:r>
      <w:r w:rsidR="00F41467">
        <w:rPr>
          <w:color w:val="000000" w:themeColor="text1"/>
          <w:sz w:val="26"/>
          <w:szCs w:val="26"/>
          <w:lang w:val="fr-FR"/>
        </w:rPr>
        <w:t>.</w:t>
      </w:r>
    </w:p>
    <w:p w:rsidR="000B6DE3" w:rsidRDefault="000B6DE3" w:rsidP="000B6DE3">
      <w:pPr>
        <w:widowControl/>
        <w:rPr>
          <w:color w:val="000000" w:themeColor="text1"/>
          <w:sz w:val="26"/>
          <w:szCs w:val="26"/>
          <w:lang w:val="fr-FR"/>
        </w:rPr>
      </w:pPr>
      <w:r>
        <w:rPr>
          <w:color w:val="000000" w:themeColor="text1"/>
          <w:sz w:val="26"/>
          <w:szCs w:val="26"/>
          <w:lang w:val="fr-FR"/>
        </w:rPr>
        <w:t xml:space="preserve"> </w:t>
      </w:r>
      <w:r w:rsidR="00392A50">
        <w:rPr>
          <w:color w:val="000000" w:themeColor="text1"/>
          <w:sz w:val="26"/>
          <w:szCs w:val="26"/>
          <w:lang w:val="fr-FR"/>
        </w:rPr>
        <w:t xml:space="preserve">    </w:t>
      </w:r>
      <w:r w:rsidR="00F41467">
        <w:rPr>
          <w:color w:val="000000" w:themeColor="text1"/>
          <w:sz w:val="26"/>
          <w:szCs w:val="26"/>
          <w:lang w:val="fr-FR"/>
        </w:rPr>
        <w:t xml:space="preserve">Cela </w:t>
      </w:r>
      <w:r w:rsidR="00E76397">
        <w:rPr>
          <w:color w:val="000000" w:themeColor="text1"/>
          <w:sz w:val="26"/>
          <w:szCs w:val="26"/>
          <w:lang w:val="fr-FR"/>
        </w:rPr>
        <w:t>lui permet de jouer le rôle</w:t>
      </w:r>
      <w:r>
        <w:rPr>
          <w:color w:val="000000" w:themeColor="text1"/>
          <w:sz w:val="26"/>
          <w:szCs w:val="26"/>
          <w:lang w:val="fr-FR"/>
        </w:rPr>
        <w:t xml:space="preserve"> d’un véritable « observatoire mondial des discrimi</w:t>
      </w:r>
      <w:r w:rsidR="00E76397">
        <w:rPr>
          <w:color w:val="000000" w:themeColor="text1"/>
          <w:sz w:val="26"/>
          <w:szCs w:val="26"/>
          <w:lang w:val="fr-FR"/>
        </w:rPr>
        <w:t>nations raciales et ethniques » dans l’ensemble de nos sociétés.</w:t>
      </w:r>
      <w:r w:rsidR="00F41467">
        <w:rPr>
          <w:color w:val="000000" w:themeColor="text1"/>
          <w:sz w:val="26"/>
          <w:szCs w:val="26"/>
          <w:lang w:val="fr-FR"/>
        </w:rPr>
        <w:t xml:space="preserve"> Or l’on sait combien cette</w:t>
      </w:r>
      <w:r w:rsidR="00281197">
        <w:rPr>
          <w:color w:val="000000" w:themeColor="text1"/>
          <w:sz w:val="26"/>
          <w:szCs w:val="26"/>
          <w:lang w:val="fr-FR"/>
        </w:rPr>
        <w:t xml:space="preserve"> mission est importante,</w:t>
      </w:r>
      <w:r w:rsidR="00F41467">
        <w:rPr>
          <w:color w:val="000000" w:themeColor="text1"/>
          <w:sz w:val="26"/>
          <w:szCs w:val="26"/>
          <w:lang w:val="fr-FR"/>
        </w:rPr>
        <w:t xml:space="preserve"> la lutte cont</w:t>
      </w:r>
      <w:r w:rsidR="00281197">
        <w:rPr>
          <w:color w:val="000000" w:themeColor="text1"/>
          <w:sz w:val="26"/>
          <w:szCs w:val="26"/>
          <w:lang w:val="fr-FR"/>
        </w:rPr>
        <w:t xml:space="preserve">re ces discriminations constituant </w:t>
      </w:r>
      <w:r w:rsidR="00F41467">
        <w:rPr>
          <w:color w:val="000000" w:themeColor="text1"/>
          <w:sz w:val="26"/>
          <w:szCs w:val="26"/>
          <w:lang w:val="fr-FR"/>
        </w:rPr>
        <w:t xml:space="preserve"> l’un des grands défis</w:t>
      </w:r>
      <w:r w:rsidR="00392A50">
        <w:rPr>
          <w:color w:val="000000" w:themeColor="text1"/>
          <w:sz w:val="26"/>
          <w:szCs w:val="26"/>
          <w:lang w:val="fr-FR"/>
        </w:rPr>
        <w:t xml:space="preserve"> pour la sauvegarde de la cohésion sociale dans nos sociétés contemporaines devenues pluriraciales, pluriethniques et multiculturelles.</w:t>
      </w:r>
    </w:p>
    <w:p w:rsidR="000B6DE3" w:rsidRDefault="000B6DE3" w:rsidP="000B6DE3">
      <w:pPr>
        <w:widowControl/>
        <w:rPr>
          <w:color w:val="000000" w:themeColor="text1"/>
          <w:sz w:val="26"/>
          <w:szCs w:val="26"/>
          <w:lang w:val="fr-FR"/>
        </w:rPr>
      </w:pPr>
    </w:p>
    <w:p w:rsidR="00B46FC7" w:rsidRDefault="00E76397" w:rsidP="00C029D0">
      <w:pPr>
        <w:widowControl/>
        <w:rPr>
          <w:color w:val="000000" w:themeColor="text1"/>
          <w:sz w:val="26"/>
          <w:szCs w:val="26"/>
          <w:lang w:val="fr-FR"/>
        </w:rPr>
      </w:pPr>
      <w:r>
        <w:rPr>
          <w:color w:val="000000" w:themeColor="text1"/>
          <w:sz w:val="26"/>
          <w:szCs w:val="26"/>
          <w:lang w:val="fr-FR"/>
        </w:rPr>
        <w:t xml:space="preserve">       3 - La troisième</w:t>
      </w:r>
      <w:r w:rsidR="00187D58" w:rsidRPr="00355D62">
        <w:rPr>
          <w:color w:val="000000" w:themeColor="text1"/>
          <w:sz w:val="26"/>
          <w:szCs w:val="26"/>
          <w:lang w:val="fr-FR"/>
        </w:rPr>
        <w:t xml:space="preserve"> raison de l’intérêt que revêt</w:t>
      </w:r>
      <w:r w:rsidR="00C029D0" w:rsidRPr="00355D62">
        <w:rPr>
          <w:color w:val="000000" w:themeColor="text1"/>
          <w:sz w:val="26"/>
          <w:szCs w:val="26"/>
          <w:lang w:val="fr-FR"/>
        </w:rPr>
        <w:t xml:space="preserve"> la Recommandation Générale N°31/2005</w:t>
      </w:r>
      <w:r w:rsidR="00187D58" w:rsidRPr="00355D62">
        <w:rPr>
          <w:color w:val="000000" w:themeColor="text1"/>
          <w:sz w:val="26"/>
          <w:szCs w:val="26"/>
          <w:lang w:val="fr-FR"/>
        </w:rPr>
        <w:t xml:space="preserve"> du</w:t>
      </w:r>
      <w:r w:rsidR="00C029D0" w:rsidRPr="00355D62">
        <w:rPr>
          <w:color w:val="000000" w:themeColor="text1"/>
          <w:sz w:val="26"/>
          <w:szCs w:val="26"/>
          <w:lang w:val="fr-FR"/>
        </w:rPr>
        <w:t xml:space="preserve"> CERD </w:t>
      </w:r>
      <w:r w:rsidR="00187D58" w:rsidRPr="00355D62">
        <w:rPr>
          <w:color w:val="000000" w:themeColor="text1"/>
          <w:sz w:val="26"/>
          <w:szCs w:val="26"/>
          <w:lang w:val="fr-FR"/>
        </w:rPr>
        <w:t>est qu’elle à été élaborée en se fondant</w:t>
      </w:r>
      <w:r w:rsidR="006F4093">
        <w:rPr>
          <w:color w:val="000000" w:themeColor="text1"/>
          <w:sz w:val="26"/>
          <w:szCs w:val="26"/>
          <w:lang w:val="fr-FR"/>
        </w:rPr>
        <w:t xml:space="preserve"> sur un éventail très large d’</w:t>
      </w:r>
      <w:r w:rsidR="00355D62" w:rsidRPr="00355D62">
        <w:rPr>
          <w:color w:val="000000" w:themeColor="text1"/>
          <w:sz w:val="26"/>
          <w:szCs w:val="26"/>
          <w:lang w:val="fr-FR"/>
        </w:rPr>
        <w:t xml:space="preserve"> informations</w:t>
      </w:r>
      <w:r w:rsidR="00C029D0" w:rsidRPr="00355D62">
        <w:rPr>
          <w:color w:val="000000" w:themeColor="text1"/>
          <w:sz w:val="26"/>
          <w:szCs w:val="26"/>
          <w:lang w:val="fr-FR"/>
        </w:rPr>
        <w:t xml:space="preserve"> recueillies</w:t>
      </w:r>
      <w:r w:rsidR="00355D62" w:rsidRPr="00355D62">
        <w:rPr>
          <w:color w:val="000000" w:themeColor="text1"/>
          <w:sz w:val="26"/>
          <w:szCs w:val="26"/>
          <w:lang w:val="fr-FR"/>
        </w:rPr>
        <w:t xml:space="preserve"> par le Comité</w:t>
      </w:r>
      <w:r w:rsidR="00C029D0" w:rsidRPr="00355D62">
        <w:rPr>
          <w:color w:val="000000" w:themeColor="text1"/>
          <w:sz w:val="26"/>
          <w:szCs w:val="26"/>
          <w:lang w:val="fr-FR"/>
        </w:rPr>
        <w:t xml:space="preserve"> au sujet du fonctionnement de la ju</w:t>
      </w:r>
      <w:r w:rsidR="0080410C">
        <w:rPr>
          <w:color w:val="000000" w:themeColor="text1"/>
          <w:sz w:val="26"/>
          <w:szCs w:val="26"/>
          <w:lang w:val="fr-FR"/>
        </w:rPr>
        <w:t xml:space="preserve">stice pénale dans tous les </w:t>
      </w:r>
      <w:r w:rsidR="00355D62" w:rsidRPr="00355D62">
        <w:rPr>
          <w:color w:val="000000" w:themeColor="text1"/>
          <w:sz w:val="26"/>
          <w:szCs w:val="26"/>
          <w:lang w:val="fr-FR"/>
        </w:rPr>
        <w:t>Etats parties à la Convention</w:t>
      </w:r>
      <w:r w:rsidR="0080410C">
        <w:rPr>
          <w:color w:val="000000" w:themeColor="text1"/>
          <w:sz w:val="26"/>
          <w:szCs w:val="26"/>
          <w:lang w:val="fr-FR"/>
        </w:rPr>
        <w:t xml:space="preserve"> internationale </w:t>
      </w:r>
      <w:r w:rsidR="00187D58" w:rsidRPr="00355D62">
        <w:rPr>
          <w:color w:val="000000" w:themeColor="text1"/>
          <w:sz w:val="26"/>
          <w:szCs w:val="26"/>
          <w:lang w:val="fr-FR"/>
        </w:rPr>
        <w:t>que le CERD est chargé de faire appliquer</w:t>
      </w:r>
      <w:r w:rsidR="0080410C">
        <w:rPr>
          <w:color w:val="000000" w:themeColor="text1"/>
          <w:sz w:val="26"/>
          <w:szCs w:val="26"/>
          <w:lang w:val="fr-FR"/>
        </w:rPr>
        <w:t>.</w:t>
      </w:r>
    </w:p>
    <w:p w:rsidR="001657EE" w:rsidRPr="00C029D0" w:rsidRDefault="001657EE" w:rsidP="00C029D0">
      <w:pPr>
        <w:widowControl/>
        <w:rPr>
          <w:color w:val="000000" w:themeColor="text1"/>
          <w:sz w:val="26"/>
          <w:szCs w:val="26"/>
          <w:lang w:val="fr-FR"/>
        </w:rPr>
        <w:sectPr w:rsidR="001657EE" w:rsidRPr="00C029D0">
          <w:headerReference w:type="default" r:id="rId8"/>
          <w:pgSz w:w="11905" w:h="16837"/>
          <w:pgMar w:top="1440" w:right="1440" w:bottom="1440" w:left="1440" w:header="1440" w:footer="1440" w:gutter="0"/>
          <w:cols w:space="720"/>
          <w:noEndnote/>
        </w:sectPr>
      </w:pPr>
    </w:p>
    <w:p w:rsidR="00F877D7" w:rsidRDefault="001657EE" w:rsidP="006B470D">
      <w:pPr>
        <w:widowControl/>
        <w:jc w:val="both"/>
        <w:rPr>
          <w:sz w:val="26"/>
          <w:szCs w:val="26"/>
          <w:lang w:val="fr-FR"/>
        </w:rPr>
        <w:sectPr w:rsidR="00F877D7">
          <w:type w:val="continuous"/>
          <w:pgSz w:w="11905" w:h="16837"/>
          <w:pgMar w:top="1440" w:right="1440" w:bottom="1440" w:left="1440" w:header="1440" w:footer="1440" w:gutter="0"/>
          <w:cols w:space="720"/>
          <w:noEndnote/>
        </w:sectPr>
      </w:pPr>
      <w:r>
        <w:rPr>
          <w:sz w:val="26"/>
          <w:szCs w:val="26"/>
          <w:lang w:val="fr-FR"/>
        </w:rPr>
        <w:t xml:space="preserve">       </w:t>
      </w:r>
      <w:r w:rsidR="00E76397">
        <w:rPr>
          <w:sz w:val="26"/>
          <w:szCs w:val="26"/>
          <w:lang w:val="fr-FR"/>
        </w:rPr>
        <w:t xml:space="preserve"> </w:t>
      </w:r>
      <w:r w:rsidR="00B46FC7">
        <w:rPr>
          <w:sz w:val="26"/>
          <w:szCs w:val="26"/>
          <w:lang w:val="fr-FR"/>
        </w:rPr>
        <w:t>Ces</w:t>
      </w:r>
      <w:r w:rsidR="0080410C">
        <w:rPr>
          <w:sz w:val="26"/>
          <w:szCs w:val="26"/>
          <w:lang w:val="fr-FR"/>
        </w:rPr>
        <w:t xml:space="preserve"> informations ont pour origine :</w:t>
      </w:r>
    </w:p>
    <w:p w:rsidR="00D101EE" w:rsidRDefault="00D101EE">
      <w:pPr>
        <w:widowControl/>
        <w:jc w:val="both"/>
        <w:rPr>
          <w:sz w:val="26"/>
          <w:szCs w:val="26"/>
          <w:lang w:val="fr-FR"/>
        </w:rPr>
        <w:sectPr w:rsidR="00D101EE">
          <w:type w:val="continuous"/>
          <w:pgSz w:w="11905" w:h="16837"/>
          <w:pgMar w:top="1440" w:right="1440" w:bottom="1440" w:left="1440" w:header="1440" w:footer="1440" w:gutter="0"/>
          <w:cols w:space="720"/>
          <w:noEndnote/>
        </w:sectPr>
      </w:pPr>
    </w:p>
    <w:p w:rsidR="00D101EE" w:rsidRDefault="0080410C" w:rsidP="00630D9D">
      <w:pPr>
        <w:widowControl/>
        <w:jc w:val="both"/>
        <w:rPr>
          <w:sz w:val="26"/>
          <w:szCs w:val="26"/>
          <w:lang w:val="fr-FR"/>
        </w:rPr>
      </w:pPr>
      <w:r>
        <w:rPr>
          <w:sz w:val="26"/>
          <w:szCs w:val="26"/>
          <w:lang w:val="fr-FR"/>
        </w:rPr>
        <w:t xml:space="preserve">   </w:t>
      </w:r>
      <w:r w:rsidR="00630D9D">
        <w:rPr>
          <w:sz w:val="26"/>
          <w:szCs w:val="26"/>
          <w:lang w:val="fr-FR"/>
        </w:rPr>
        <w:t xml:space="preserve">-d’une part, </w:t>
      </w:r>
      <w:r w:rsidR="006B6CE6">
        <w:rPr>
          <w:sz w:val="26"/>
          <w:szCs w:val="26"/>
          <w:lang w:val="fr-FR"/>
        </w:rPr>
        <w:t>les</w:t>
      </w:r>
      <w:r w:rsidR="00D101EE" w:rsidRPr="00630D9D">
        <w:rPr>
          <w:sz w:val="26"/>
          <w:szCs w:val="26"/>
          <w:lang w:val="fr-FR"/>
        </w:rPr>
        <w:t xml:space="preserve"> rapports gouvernementaux soumis</w:t>
      </w:r>
      <w:r w:rsidR="006B6CE6">
        <w:rPr>
          <w:sz w:val="26"/>
          <w:szCs w:val="26"/>
          <w:lang w:val="fr-FR"/>
        </w:rPr>
        <w:t xml:space="preserve"> périodiquement au Comité et les </w:t>
      </w:r>
      <w:r w:rsidR="00630D9D">
        <w:rPr>
          <w:sz w:val="26"/>
          <w:szCs w:val="26"/>
          <w:lang w:val="fr-FR"/>
        </w:rPr>
        <w:t xml:space="preserve"> plaintes ou communications</w:t>
      </w:r>
      <w:r w:rsidR="00D101EE" w:rsidRPr="00630D9D">
        <w:rPr>
          <w:sz w:val="26"/>
          <w:szCs w:val="26"/>
          <w:lang w:val="fr-FR"/>
        </w:rPr>
        <w:t xml:space="preserve"> individuelles reçues par ce Comité</w:t>
      </w:r>
      <w:r w:rsidR="00630D9D">
        <w:rPr>
          <w:sz w:val="26"/>
          <w:szCs w:val="26"/>
          <w:lang w:val="fr-FR"/>
        </w:rPr>
        <w:t>, permettant d’identifier</w:t>
      </w:r>
      <w:r w:rsidR="0069756D">
        <w:rPr>
          <w:sz w:val="26"/>
          <w:szCs w:val="26"/>
          <w:lang w:val="fr-FR"/>
        </w:rPr>
        <w:t xml:space="preserve"> divers dysfonctionnements ou</w:t>
      </w:r>
      <w:r w:rsidR="00D101EE">
        <w:rPr>
          <w:sz w:val="26"/>
          <w:szCs w:val="26"/>
          <w:lang w:val="fr-FR"/>
        </w:rPr>
        <w:t xml:space="preserve"> mauvaises pratiques dans l’administration de</w:t>
      </w:r>
      <w:r w:rsidR="00630D9D">
        <w:rPr>
          <w:sz w:val="26"/>
          <w:szCs w:val="26"/>
          <w:lang w:val="fr-FR"/>
        </w:rPr>
        <w:t xml:space="preserve"> la justice pénale ;</w:t>
      </w:r>
    </w:p>
    <w:p w:rsidR="00D101EE" w:rsidRDefault="0080410C">
      <w:pPr>
        <w:widowControl/>
        <w:jc w:val="both"/>
        <w:rPr>
          <w:sz w:val="26"/>
          <w:szCs w:val="26"/>
          <w:lang w:val="fr-FR"/>
        </w:rPr>
      </w:pPr>
      <w:r>
        <w:rPr>
          <w:sz w:val="26"/>
          <w:szCs w:val="26"/>
          <w:lang w:val="fr-FR"/>
        </w:rPr>
        <w:t xml:space="preserve">   </w:t>
      </w:r>
      <w:r w:rsidR="00630D9D">
        <w:rPr>
          <w:sz w:val="26"/>
          <w:szCs w:val="26"/>
          <w:lang w:val="fr-FR"/>
        </w:rPr>
        <w:t>-d’autre part, les renseignements fournis par d’autres instances des Nations Unies (en particulier l’ancienne Sous-Commission des droits de l’homme et les Rapporteurs spéciaux sur les formes contemporaines du racisme), mais aussi des organes régionaux de protection des droits de l’homme (tels le Conseil de l’Europe, son Commissaire aux droits de l’homme et la Commission européenne contre le racisme et l’intolérance</w:t>
      </w:r>
      <w:r w:rsidR="00B46FC7">
        <w:rPr>
          <w:sz w:val="26"/>
          <w:szCs w:val="26"/>
          <w:lang w:val="fr-FR"/>
        </w:rPr>
        <w:t xml:space="preserve"> ou « ECRI ») ;</w:t>
      </w:r>
    </w:p>
    <w:p w:rsidR="00D101EE" w:rsidRDefault="00B46FC7" w:rsidP="00B46FC7">
      <w:pPr>
        <w:widowControl/>
        <w:jc w:val="both"/>
        <w:rPr>
          <w:sz w:val="26"/>
          <w:szCs w:val="26"/>
          <w:lang w:val="fr-FR"/>
        </w:rPr>
      </w:pPr>
      <w:r>
        <w:rPr>
          <w:sz w:val="26"/>
          <w:szCs w:val="26"/>
          <w:lang w:val="fr-FR"/>
        </w:rPr>
        <w:t xml:space="preserve">  </w:t>
      </w:r>
      <w:r w:rsidR="0080410C">
        <w:rPr>
          <w:sz w:val="26"/>
          <w:szCs w:val="26"/>
          <w:lang w:val="fr-FR"/>
        </w:rPr>
        <w:t xml:space="preserve"> </w:t>
      </w:r>
      <w:r>
        <w:rPr>
          <w:sz w:val="26"/>
          <w:szCs w:val="26"/>
          <w:lang w:val="fr-FR"/>
        </w:rPr>
        <w:t>-enfin</w:t>
      </w:r>
      <w:r w:rsidR="00D101EE">
        <w:rPr>
          <w:sz w:val="26"/>
          <w:szCs w:val="26"/>
          <w:lang w:val="fr-FR"/>
        </w:rPr>
        <w:t>, les contributions très importantes apportées</w:t>
      </w:r>
      <w:r>
        <w:rPr>
          <w:sz w:val="26"/>
          <w:szCs w:val="26"/>
          <w:lang w:val="fr-FR"/>
        </w:rPr>
        <w:t xml:space="preserve"> au CERD en 2005 </w:t>
      </w:r>
      <w:r w:rsidR="00D101EE">
        <w:rPr>
          <w:sz w:val="26"/>
          <w:szCs w:val="26"/>
          <w:lang w:val="fr-FR"/>
        </w:rPr>
        <w:t>par plusieurs organisations non gou</w:t>
      </w:r>
      <w:r>
        <w:rPr>
          <w:sz w:val="26"/>
          <w:szCs w:val="26"/>
          <w:lang w:val="fr-FR"/>
        </w:rPr>
        <w:t>vernementales, parmi l</w:t>
      </w:r>
      <w:r w:rsidR="00D101EE">
        <w:rPr>
          <w:sz w:val="26"/>
          <w:szCs w:val="26"/>
          <w:lang w:val="fr-FR"/>
        </w:rPr>
        <w:t xml:space="preserve">esquelles il faut citer </w:t>
      </w:r>
      <w:r>
        <w:rPr>
          <w:sz w:val="26"/>
          <w:szCs w:val="26"/>
          <w:lang w:val="fr-FR"/>
        </w:rPr>
        <w:t xml:space="preserve">notamment </w:t>
      </w:r>
      <w:r w:rsidR="00D101EE">
        <w:rPr>
          <w:sz w:val="26"/>
          <w:szCs w:val="26"/>
          <w:lang w:val="fr-FR"/>
        </w:rPr>
        <w:t>“l’Open Society Justice Initiative”, la “Commission</w:t>
      </w:r>
      <w:r>
        <w:rPr>
          <w:sz w:val="26"/>
          <w:szCs w:val="26"/>
          <w:lang w:val="fr-FR"/>
        </w:rPr>
        <w:t xml:space="preserve"> Internationale des Juristes”, “Amnesty International”,</w:t>
      </w:r>
      <w:r w:rsidR="00816A14">
        <w:rPr>
          <w:sz w:val="26"/>
          <w:szCs w:val="26"/>
          <w:lang w:val="fr-FR"/>
        </w:rPr>
        <w:t xml:space="preserve"> “Human Rig</w:t>
      </w:r>
      <w:r w:rsidR="00DD29E6">
        <w:rPr>
          <w:sz w:val="26"/>
          <w:szCs w:val="26"/>
          <w:lang w:val="fr-FR"/>
        </w:rPr>
        <w:t>hts Watch”, “Quaker U.N Office”, la « FIDH ».</w:t>
      </w:r>
    </w:p>
    <w:p w:rsidR="0043275C" w:rsidRDefault="0043275C" w:rsidP="00B46FC7">
      <w:pPr>
        <w:widowControl/>
        <w:jc w:val="both"/>
        <w:rPr>
          <w:sz w:val="26"/>
          <w:szCs w:val="26"/>
          <w:lang w:val="fr-FR"/>
        </w:rPr>
      </w:pPr>
    </w:p>
    <w:p w:rsidR="0043275C" w:rsidRDefault="0043275C" w:rsidP="00B46FC7">
      <w:pPr>
        <w:widowControl/>
        <w:jc w:val="both"/>
        <w:rPr>
          <w:sz w:val="26"/>
          <w:szCs w:val="26"/>
          <w:lang w:val="fr-FR"/>
        </w:rPr>
      </w:pPr>
    </w:p>
    <w:p w:rsidR="0043275C" w:rsidRDefault="004A7B1E" w:rsidP="00B46FC7">
      <w:pPr>
        <w:widowControl/>
        <w:jc w:val="both"/>
        <w:rPr>
          <w:sz w:val="26"/>
          <w:szCs w:val="26"/>
          <w:lang w:val="fr-FR"/>
        </w:rPr>
      </w:pPr>
      <w:r>
        <w:rPr>
          <w:sz w:val="26"/>
          <w:szCs w:val="26"/>
          <w:lang w:val="fr-FR"/>
        </w:rPr>
        <w:t xml:space="preserve">      4 </w:t>
      </w:r>
      <w:r w:rsidR="0043275C">
        <w:rPr>
          <w:sz w:val="26"/>
          <w:szCs w:val="26"/>
          <w:lang w:val="fr-FR"/>
        </w:rPr>
        <w:t>-</w:t>
      </w:r>
      <w:r>
        <w:rPr>
          <w:sz w:val="26"/>
          <w:szCs w:val="26"/>
          <w:lang w:val="fr-FR"/>
        </w:rPr>
        <w:t xml:space="preserve"> Une quatrième</w:t>
      </w:r>
      <w:r w:rsidR="0043275C">
        <w:rPr>
          <w:sz w:val="26"/>
          <w:szCs w:val="26"/>
          <w:lang w:val="fr-FR"/>
        </w:rPr>
        <w:t xml:space="preserve"> raison du choix de la Recommandation N°31/2005 du CERD tient par ailleurs à deux</w:t>
      </w:r>
      <w:r w:rsidR="00816A14">
        <w:rPr>
          <w:sz w:val="26"/>
          <w:szCs w:val="26"/>
          <w:lang w:val="fr-FR"/>
        </w:rPr>
        <w:t xml:space="preserve"> autres</w:t>
      </w:r>
      <w:r w:rsidR="0043275C">
        <w:rPr>
          <w:sz w:val="26"/>
          <w:szCs w:val="26"/>
          <w:lang w:val="fr-FR"/>
        </w:rPr>
        <w:t xml:space="preserve"> motifs</w:t>
      </w:r>
      <w:r w:rsidR="009930BB">
        <w:rPr>
          <w:sz w:val="26"/>
          <w:szCs w:val="26"/>
          <w:lang w:val="fr-FR"/>
        </w:rPr>
        <w:t xml:space="preserve"> déterminants</w:t>
      </w:r>
      <w:r w:rsidR="0043275C">
        <w:rPr>
          <w:sz w:val="26"/>
          <w:szCs w:val="26"/>
          <w:lang w:val="fr-FR"/>
        </w:rPr>
        <w:t>:</w:t>
      </w:r>
    </w:p>
    <w:p w:rsidR="00D101EE" w:rsidRDefault="00D101EE" w:rsidP="00816A14">
      <w:pPr>
        <w:widowControl/>
        <w:jc w:val="both"/>
        <w:rPr>
          <w:sz w:val="26"/>
          <w:szCs w:val="26"/>
          <w:lang w:val="fr-FR"/>
        </w:rPr>
      </w:pPr>
    </w:p>
    <w:p w:rsidR="00816A14" w:rsidRPr="00816A14" w:rsidRDefault="00816A14" w:rsidP="00816A14">
      <w:pPr>
        <w:widowControl/>
        <w:jc w:val="both"/>
        <w:rPr>
          <w:sz w:val="26"/>
          <w:szCs w:val="26"/>
          <w:lang w:val="fr-FR"/>
        </w:rPr>
        <w:sectPr w:rsidR="00816A14" w:rsidRPr="00816A14">
          <w:type w:val="continuous"/>
          <w:pgSz w:w="11905" w:h="16837"/>
          <w:pgMar w:top="1440" w:right="1440" w:bottom="1440" w:left="1440" w:header="1440" w:footer="1440" w:gutter="0"/>
          <w:cols w:space="720"/>
          <w:noEndnote/>
        </w:sectPr>
      </w:pPr>
    </w:p>
    <w:p w:rsidR="003A5A47" w:rsidRDefault="00816A14" w:rsidP="00816A14">
      <w:pPr>
        <w:widowControl/>
        <w:jc w:val="both"/>
        <w:rPr>
          <w:sz w:val="26"/>
          <w:szCs w:val="26"/>
          <w:lang w:val="fr-FR"/>
        </w:rPr>
      </w:pPr>
      <w:r>
        <w:rPr>
          <w:sz w:val="26"/>
          <w:szCs w:val="26"/>
          <w:lang w:val="fr-FR"/>
        </w:rPr>
        <w:t xml:space="preserve">          </w:t>
      </w:r>
      <w:r w:rsidR="000E5D79">
        <w:rPr>
          <w:sz w:val="26"/>
          <w:szCs w:val="26"/>
          <w:lang w:val="fr-FR"/>
        </w:rPr>
        <w:t>-Un motif de fond : l</w:t>
      </w:r>
      <w:r w:rsidR="00D101EE" w:rsidRPr="00816A14">
        <w:rPr>
          <w:sz w:val="26"/>
          <w:szCs w:val="26"/>
          <w:lang w:val="fr-FR"/>
        </w:rPr>
        <w:t>es discriminations raciales</w:t>
      </w:r>
      <w:r w:rsidRPr="00816A14">
        <w:rPr>
          <w:sz w:val="26"/>
          <w:szCs w:val="26"/>
          <w:lang w:val="fr-FR"/>
        </w:rPr>
        <w:t xml:space="preserve"> ou ethniques visant certains groupes ou minorités</w:t>
      </w:r>
      <w:r w:rsidR="00D101EE" w:rsidRPr="00816A14">
        <w:rPr>
          <w:sz w:val="26"/>
          <w:szCs w:val="26"/>
          <w:lang w:val="fr-FR"/>
        </w:rPr>
        <w:t>, lorsqu’elles se manifestent dans l’administration et le fonctionnement de la justice elle-même, représentent une atteinte particulière</w:t>
      </w:r>
      <w:r w:rsidRPr="00816A14">
        <w:rPr>
          <w:sz w:val="26"/>
          <w:szCs w:val="26"/>
          <w:lang w:val="fr-FR"/>
        </w:rPr>
        <w:t xml:space="preserve">ment grave à la règle de droit, </w:t>
      </w:r>
      <w:r w:rsidR="00D101EE" w:rsidRPr="00816A14">
        <w:rPr>
          <w:sz w:val="26"/>
          <w:szCs w:val="26"/>
          <w:lang w:val="fr-FR"/>
        </w:rPr>
        <w:t>au prin</w:t>
      </w:r>
      <w:r w:rsidRPr="00816A14">
        <w:rPr>
          <w:sz w:val="26"/>
          <w:szCs w:val="26"/>
          <w:lang w:val="fr-FR"/>
        </w:rPr>
        <w:t>cipe de l’égalité devant la loi et</w:t>
      </w:r>
      <w:r w:rsidR="00D101EE" w:rsidRPr="00816A14">
        <w:rPr>
          <w:sz w:val="26"/>
          <w:szCs w:val="26"/>
          <w:lang w:val="fr-FR"/>
        </w:rPr>
        <w:t xml:space="preserve"> à l’équité du p</w:t>
      </w:r>
      <w:r w:rsidRPr="00816A14">
        <w:rPr>
          <w:sz w:val="26"/>
          <w:szCs w:val="26"/>
          <w:lang w:val="fr-FR"/>
        </w:rPr>
        <w:t>rocès</w:t>
      </w:r>
      <w:r w:rsidR="00D101EE" w:rsidRPr="00816A14">
        <w:rPr>
          <w:sz w:val="26"/>
          <w:szCs w:val="26"/>
          <w:lang w:val="fr-FR"/>
        </w:rPr>
        <w:t>, en affectant directement des personnes appartenant à des groupes que la justice a précisément pour mission de protéger.</w:t>
      </w:r>
      <w:r w:rsidR="003A5A47">
        <w:rPr>
          <w:sz w:val="26"/>
          <w:szCs w:val="26"/>
          <w:lang w:val="fr-FR"/>
        </w:rPr>
        <w:t xml:space="preserve"> La gravité de cette atteinte est encore accrue lorsqu’il s’agit de la justice pénale, qui touche directement à la liberté des personnes, à leur intégrité, à leur dignité et leur réputation.</w:t>
      </w:r>
    </w:p>
    <w:p w:rsidR="003A5A47" w:rsidRDefault="003A5A47" w:rsidP="00816A14">
      <w:pPr>
        <w:widowControl/>
        <w:jc w:val="both"/>
        <w:rPr>
          <w:sz w:val="26"/>
          <w:szCs w:val="26"/>
          <w:lang w:val="fr-FR"/>
        </w:rPr>
      </w:pPr>
    </w:p>
    <w:p w:rsidR="00D101EE" w:rsidRDefault="003A5A47" w:rsidP="003A5A47">
      <w:pPr>
        <w:widowControl/>
        <w:jc w:val="both"/>
        <w:rPr>
          <w:sz w:val="26"/>
          <w:szCs w:val="26"/>
          <w:lang w:val="fr-FR"/>
        </w:rPr>
      </w:pPr>
      <w:r>
        <w:rPr>
          <w:sz w:val="26"/>
          <w:szCs w:val="26"/>
          <w:lang w:val="fr-FR"/>
        </w:rPr>
        <w:t xml:space="preserve">          -Un motif conjoncturel ou circonstanciel : les risques de</w:t>
      </w:r>
      <w:r w:rsidR="00D101EE">
        <w:rPr>
          <w:sz w:val="26"/>
          <w:szCs w:val="26"/>
          <w:lang w:val="fr-FR"/>
        </w:rPr>
        <w:t xml:space="preserve"> discrimination raciale dans l’administration et le fonctionnement de la justice se so</w:t>
      </w:r>
      <w:r>
        <w:rPr>
          <w:sz w:val="26"/>
          <w:szCs w:val="26"/>
          <w:lang w:val="fr-FR"/>
        </w:rPr>
        <w:t xml:space="preserve">nt accrus ces dernières années : </w:t>
      </w:r>
    </w:p>
    <w:p w:rsidR="00D101EE" w:rsidRDefault="003A5A47" w:rsidP="003A5A47">
      <w:pPr>
        <w:widowControl/>
        <w:jc w:val="both"/>
        <w:rPr>
          <w:sz w:val="26"/>
          <w:szCs w:val="26"/>
          <w:lang w:val="fr-FR"/>
        </w:rPr>
      </w:pPr>
      <w:r>
        <w:rPr>
          <w:sz w:val="26"/>
          <w:szCs w:val="26"/>
          <w:lang w:val="fr-FR"/>
        </w:rPr>
        <w:t xml:space="preserve">   . d’une part sous les </w:t>
      </w:r>
      <w:r w:rsidR="00D101EE">
        <w:rPr>
          <w:sz w:val="26"/>
          <w:szCs w:val="26"/>
          <w:lang w:val="fr-FR"/>
        </w:rPr>
        <w:t>effet</w:t>
      </w:r>
      <w:r>
        <w:rPr>
          <w:sz w:val="26"/>
          <w:szCs w:val="26"/>
          <w:lang w:val="fr-FR"/>
        </w:rPr>
        <w:t>s</w:t>
      </w:r>
      <w:r w:rsidR="00D101EE">
        <w:rPr>
          <w:sz w:val="26"/>
          <w:szCs w:val="26"/>
          <w:lang w:val="fr-FR"/>
        </w:rPr>
        <w:t xml:space="preserve"> de l’augmentation de l’immigration et des mouvements de  population,</w:t>
      </w:r>
      <w:r>
        <w:rPr>
          <w:sz w:val="26"/>
          <w:szCs w:val="26"/>
          <w:lang w:val="fr-FR"/>
        </w:rPr>
        <w:t xml:space="preserve"> amplifiés par les situations de conflits</w:t>
      </w:r>
      <w:r w:rsidR="00736E66">
        <w:rPr>
          <w:sz w:val="26"/>
          <w:szCs w:val="26"/>
          <w:lang w:val="fr-FR"/>
        </w:rPr>
        <w:t xml:space="preserve"> ou de guerre</w:t>
      </w:r>
      <w:r>
        <w:rPr>
          <w:sz w:val="26"/>
          <w:szCs w:val="26"/>
          <w:lang w:val="fr-FR"/>
        </w:rPr>
        <w:t xml:space="preserve"> et la crise éco</w:t>
      </w:r>
      <w:r w:rsidR="00114B41">
        <w:rPr>
          <w:sz w:val="26"/>
          <w:szCs w:val="26"/>
          <w:lang w:val="fr-FR"/>
        </w:rPr>
        <w:t>nomique mondiale,</w:t>
      </w:r>
      <w:r w:rsidR="00D101EE">
        <w:rPr>
          <w:sz w:val="26"/>
          <w:szCs w:val="26"/>
          <w:lang w:val="fr-FR"/>
        </w:rPr>
        <w:t xml:space="preserve"> qui ont suscité dans certaines couches de la population et chez certains agents chargés de l’application des lois, des préjugés et des sentiments de xénophobie ou d’intolérance </w:t>
      </w:r>
      <w:r w:rsidR="00114B41">
        <w:rPr>
          <w:sz w:val="26"/>
          <w:szCs w:val="26"/>
          <w:lang w:val="fr-FR"/>
        </w:rPr>
        <w:t>à l’encontre de certains groupes minoritaires désignés comme « boucs émissaires » des difficultés rencontrées dans les pays d’accueil</w:t>
      </w:r>
      <w:r w:rsidR="00D101EE">
        <w:rPr>
          <w:sz w:val="26"/>
          <w:szCs w:val="26"/>
          <w:lang w:val="fr-FR"/>
        </w:rPr>
        <w:t>;</w:t>
      </w:r>
    </w:p>
    <w:p w:rsidR="00D101EE" w:rsidRDefault="00114B41" w:rsidP="00CD50F3">
      <w:pPr>
        <w:widowControl/>
        <w:jc w:val="both"/>
        <w:rPr>
          <w:sz w:val="26"/>
          <w:szCs w:val="26"/>
          <w:lang w:val="fr-FR"/>
        </w:rPr>
      </w:pPr>
      <w:r>
        <w:rPr>
          <w:sz w:val="26"/>
          <w:szCs w:val="26"/>
          <w:lang w:val="fr-FR"/>
        </w:rPr>
        <w:t xml:space="preserve">   . </w:t>
      </w:r>
      <w:r w:rsidR="00D101EE">
        <w:rPr>
          <w:sz w:val="26"/>
          <w:szCs w:val="26"/>
          <w:lang w:val="fr-FR"/>
        </w:rPr>
        <w:t>d’autre par</w:t>
      </w:r>
      <w:r>
        <w:rPr>
          <w:sz w:val="26"/>
          <w:szCs w:val="26"/>
          <w:lang w:val="fr-FR"/>
        </w:rPr>
        <w:t>t sous les effets des politiques sécuritaires</w:t>
      </w:r>
      <w:r w:rsidR="00D101EE">
        <w:rPr>
          <w:sz w:val="26"/>
          <w:szCs w:val="26"/>
          <w:lang w:val="fr-FR"/>
        </w:rPr>
        <w:t xml:space="preserve"> et des législations ou mesures </w:t>
      </w:r>
      <w:r>
        <w:rPr>
          <w:sz w:val="26"/>
          <w:szCs w:val="26"/>
          <w:lang w:val="fr-FR"/>
        </w:rPr>
        <w:t xml:space="preserve">d’exception adoptées par de nombreux Etats pour lutter </w:t>
      </w:r>
      <w:r w:rsidR="00D101EE">
        <w:rPr>
          <w:sz w:val="26"/>
          <w:szCs w:val="26"/>
          <w:lang w:val="fr-FR"/>
        </w:rPr>
        <w:t>contre le</w:t>
      </w:r>
      <w:r>
        <w:rPr>
          <w:sz w:val="26"/>
          <w:szCs w:val="26"/>
          <w:lang w:val="fr-FR"/>
        </w:rPr>
        <w:t xml:space="preserve"> terrorisme sous ses différentes formes,</w:t>
      </w:r>
      <w:r w:rsidR="00D101EE">
        <w:rPr>
          <w:sz w:val="26"/>
          <w:szCs w:val="26"/>
          <w:lang w:val="fr-FR"/>
        </w:rPr>
        <w:t xml:space="preserve"> qui</w:t>
      </w:r>
      <w:r w:rsidR="009F642B">
        <w:rPr>
          <w:sz w:val="26"/>
          <w:szCs w:val="26"/>
          <w:lang w:val="fr-FR"/>
        </w:rPr>
        <w:t>, lorsqu’elles sont devenues disproportionnées et n’ont plus respecté les droits fondamentaux,</w:t>
      </w:r>
      <w:r w:rsidR="00D101EE">
        <w:rPr>
          <w:sz w:val="26"/>
          <w:szCs w:val="26"/>
          <w:lang w:val="fr-FR"/>
        </w:rPr>
        <w:t xml:space="preserve"> </w:t>
      </w:r>
      <w:r w:rsidR="009624A5">
        <w:rPr>
          <w:sz w:val="26"/>
          <w:szCs w:val="26"/>
          <w:lang w:val="fr-FR"/>
        </w:rPr>
        <w:t>ont favorisé</w:t>
      </w:r>
      <w:r w:rsidR="00D101EE">
        <w:rPr>
          <w:sz w:val="26"/>
          <w:szCs w:val="26"/>
          <w:lang w:val="fr-FR"/>
        </w:rPr>
        <w:t xml:space="preserve"> l’apparition d’attitudes </w:t>
      </w:r>
      <w:r w:rsidR="00736E66">
        <w:rPr>
          <w:sz w:val="26"/>
          <w:szCs w:val="26"/>
          <w:lang w:val="fr-FR"/>
        </w:rPr>
        <w:t>ou</w:t>
      </w:r>
      <w:r>
        <w:rPr>
          <w:sz w:val="26"/>
          <w:szCs w:val="26"/>
          <w:lang w:val="fr-FR"/>
        </w:rPr>
        <w:t xml:space="preserve"> de stéréotypes xénophobes et de </w:t>
      </w:r>
      <w:r w:rsidR="00736E66">
        <w:rPr>
          <w:sz w:val="26"/>
          <w:szCs w:val="26"/>
          <w:lang w:val="fr-FR"/>
        </w:rPr>
        <w:t>pratiques de « profilage racial »</w:t>
      </w:r>
      <w:r w:rsidR="00CA2E4C">
        <w:rPr>
          <w:sz w:val="26"/>
          <w:szCs w:val="26"/>
          <w:lang w:val="fr-FR"/>
        </w:rPr>
        <w:t xml:space="preserve">, telles les réactions anti-arabes, </w:t>
      </w:r>
      <w:r w:rsidR="007810B0">
        <w:rPr>
          <w:sz w:val="26"/>
          <w:szCs w:val="26"/>
          <w:lang w:val="fr-FR"/>
        </w:rPr>
        <w:t xml:space="preserve">anti-musulmanes, et, à contrario, </w:t>
      </w:r>
      <w:r w:rsidR="00CA2E4C">
        <w:rPr>
          <w:sz w:val="26"/>
          <w:szCs w:val="26"/>
          <w:lang w:val="fr-FR"/>
        </w:rPr>
        <w:t>anti-sémites.</w:t>
      </w:r>
    </w:p>
    <w:p w:rsidR="00D101EE" w:rsidRDefault="00D101EE">
      <w:pPr>
        <w:widowControl/>
        <w:jc w:val="both"/>
        <w:rPr>
          <w:sz w:val="26"/>
          <w:szCs w:val="26"/>
          <w:lang w:val="fr-FR"/>
        </w:rPr>
      </w:pPr>
    </w:p>
    <w:p w:rsidR="00D101EE" w:rsidRDefault="00A87EE2" w:rsidP="00A87EE2">
      <w:pPr>
        <w:widowControl/>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w:t>
      </w:r>
      <w:r w:rsidR="00D101EE">
        <w:rPr>
          <w:sz w:val="26"/>
          <w:szCs w:val="26"/>
          <w:lang w:val="fr-FR"/>
        </w:rPr>
        <w:t xml:space="preserve">*   *   * </w:t>
      </w:r>
    </w:p>
    <w:p w:rsidR="00D101EE" w:rsidRDefault="00D101EE" w:rsidP="00ED1B1A">
      <w:pPr>
        <w:widowControl/>
        <w:rPr>
          <w:sz w:val="26"/>
          <w:szCs w:val="26"/>
          <w:lang w:val="fr-FR"/>
        </w:rPr>
      </w:pPr>
    </w:p>
    <w:p w:rsidR="00D101EE" w:rsidRDefault="00A87EE2">
      <w:pPr>
        <w:widowControl/>
        <w:jc w:val="both"/>
        <w:rPr>
          <w:sz w:val="26"/>
          <w:szCs w:val="26"/>
          <w:lang w:val="fr-FR"/>
        </w:rPr>
      </w:pPr>
      <w:r>
        <w:rPr>
          <w:sz w:val="26"/>
          <w:szCs w:val="26"/>
          <w:lang w:val="fr-FR"/>
        </w:rPr>
        <w:t xml:space="preserve">      </w:t>
      </w:r>
      <w:r w:rsidR="00647C24">
        <w:rPr>
          <w:sz w:val="26"/>
          <w:szCs w:val="26"/>
          <w:lang w:val="fr-FR"/>
        </w:rPr>
        <w:t xml:space="preserve">=II= </w:t>
      </w:r>
      <w:r w:rsidR="00647C24" w:rsidRPr="00647C24">
        <w:rPr>
          <w:sz w:val="26"/>
          <w:szCs w:val="26"/>
          <w:u w:val="single"/>
          <w:lang w:val="fr-FR"/>
        </w:rPr>
        <w:t>Le contenu de la Recommandation Générale N°31/2005 du CERD</w:t>
      </w:r>
      <w:r w:rsidR="00647C24">
        <w:rPr>
          <w:sz w:val="26"/>
          <w:szCs w:val="26"/>
          <w:lang w:val="fr-FR"/>
        </w:rPr>
        <w:t> :</w:t>
      </w:r>
    </w:p>
    <w:p w:rsidR="00647C24" w:rsidRDefault="00647C24">
      <w:pPr>
        <w:widowControl/>
        <w:jc w:val="both"/>
        <w:rPr>
          <w:sz w:val="26"/>
          <w:szCs w:val="26"/>
          <w:lang w:val="fr-FR"/>
        </w:rPr>
      </w:pPr>
    </w:p>
    <w:p w:rsidR="00D101EE" w:rsidRDefault="00D101EE">
      <w:pPr>
        <w:widowControl/>
        <w:jc w:val="both"/>
        <w:rPr>
          <w:sz w:val="26"/>
          <w:szCs w:val="26"/>
          <w:lang w:val="fr-FR"/>
        </w:rPr>
      </w:pPr>
    </w:p>
    <w:p w:rsidR="00156E65" w:rsidRDefault="00D101EE" w:rsidP="00647C24">
      <w:pPr>
        <w:widowControl/>
        <w:jc w:val="both"/>
        <w:rPr>
          <w:sz w:val="26"/>
          <w:szCs w:val="26"/>
          <w:lang w:val="fr-FR"/>
        </w:rPr>
      </w:pPr>
      <w:r>
        <w:rPr>
          <w:sz w:val="26"/>
          <w:szCs w:val="26"/>
          <w:lang w:val="fr-FR"/>
        </w:rPr>
        <w:t xml:space="preserve"> </w:t>
      </w:r>
      <w:r w:rsidR="00156E65">
        <w:rPr>
          <w:sz w:val="26"/>
          <w:szCs w:val="26"/>
          <w:lang w:val="fr-FR"/>
        </w:rPr>
        <w:t xml:space="preserve">    La Recommandation Générale rappelle d’abord dans son</w:t>
      </w:r>
      <w:r w:rsidR="00647C24">
        <w:rPr>
          <w:sz w:val="26"/>
          <w:szCs w:val="26"/>
          <w:lang w:val="fr-FR"/>
        </w:rPr>
        <w:t xml:space="preserve"> Préambule</w:t>
      </w:r>
      <w:r w:rsidR="00156E65">
        <w:rPr>
          <w:sz w:val="26"/>
          <w:szCs w:val="26"/>
          <w:lang w:val="fr-FR"/>
        </w:rPr>
        <w:t xml:space="preserve"> que, même si la justice peut être regardée en général comme impartiale et non suspecte de racisme, </w:t>
      </w:r>
      <w:r w:rsidR="00647C24">
        <w:rPr>
          <w:sz w:val="26"/>
          <w:szCs w:val="26"/>
          <w:lang w:val="fr-FR"/>
        </w:rPr>
        <w:t xml:space="preserve"> </w:t>
      </w:r>
      <w:r w:rsidR="00156E65">
        <w:rPr>
          <w:sz w:val="26"/>
          <w:szCs w:val="26"/>
          <w:lang w:val="fr-FR"/>
        </w:rPr>
        <w:t>aucun pays n’est cependant à l’abri</w:t>
      </w:r>
      <w:r>
        <w:rPr>
          <w:sz w:val="26"/>
          <w:szCs w:val="26"/>
          <w:lang w:val="fr-FR"/>
        </w:rPr>
        <w:t xml:space="preserve"> de phénomènes de discrimination </w:t>
      </w:r>
      <w:r w:rsidR="00647C24">
        <w:rPr>
          <w:sz w:val="26"/>
          <w:szCs w:val="26"/>
          <w:lang w:val="fr-FR"/>
        </w:rPr>
        <w:t>raciale dans</w:t>
      </w:r>
      <w:r>
        <w:rPr>
          <w:sz w:val="26"/>
          <w:szCs w:val="26"/>
          <w:lang w:val="fr-FR"/>
        </w:rPr>
        <w:t xml:space="preserve"> le fonctionnement de sa justice pénale, quel que soit le système de droit appliqué et la procédure pénale en vigueur</w:t>
      </w:r>
      <w:r w:rsidR="00647C24">
        <w:rPr>
          <w:sz w:val="26"/>
          <w:szCs w:val="26"/>
          <w:lang w:val="fr-FR"/>
        </w:rPr>
        <w:t xml:space="preserve"> (</w:t>
      </w:r>
      <w:r>
        <w:rPr>
          <w:sz w:val="26"/>
          <w:szCs w:val="26"/>
          <w:lang w:val="fr-FR"/>
        </w:rPr>
        <w:t>de type accusatoire, inquisitoire ou mixte</w:t>
      </w:r>
      <w:r w:rsidR="00156E65">
        <w:rPr>
          <w:sz w:val="26"/>
          <w:szCs w:val="26"/>
          <w:lang w:val="fr-FR"/>
        </w:rPr>
        <w:t>).</w:t>
      </w:r>
    </w:p>
    <w:p w:rsidR="0024579D" w:rsidRDefault="00156E65">
      <w:pPr>
        <w:widowControl/>
        <w:jc w:val="both"/>
        <w:rPr>
          <w:sz w:val="26"/>
          <w:szCs w:val="26"/>
          <w:lang w:val="fr-FR"/>
        </w:rPr>
      </w:pPr>
      <w:r>
        <w:rPr>
          <w:sz w:val="26"/>
          <w:szCs w:val="26"/>
          <w:lang w:val="fr-FR"/>
        </w:rPr>
        <w:t xml:space="preserve">     La </w:t>
      </w:r>
      <w:r w:rsidR="00647C24">
        <w:rPr>
          <w:sz w:val="26"/>
          <w:szCs w:val="26"/>
          <w:lang w:val="fr-FR"/>
        </w:rPr>
        <w:t>Recommandation G</w:t>
      </w:r>
      <w:r>
        <w:rPr>
          <w:sz w:val="26"/>
          <w:szCs w:val="26"/>
          <w:lang w:val="fr-FR"/>
        </w:rPr>
        <w:t>énérale identifie ensuite</w:t>
      </w:r>
      <w:r w:rsidR="00647C24">
        <w:rPr>
          <w:sz w:val="26"/>
          <w:szCs w:val="26"/>
          <w:lang w:val="fr-FR"/>
        </w:rPr>
        <w:t xml:space="preserve"> trois types de mesures à mettre en œuvre</w:t>
      </w:r>
      <w:r w:rsidR="0024579D">
        <w:rPr>
          <w:sz w:val="26"/>
          <w:szCs w:val="26"/>
          <w:lang w:val="fr-FR"/>
        </w:rPr>
        <w:t> :</w:t>
      </w:r>
    </w:p>
    <w:p w:rsidR="0024579D" w:rsidRDefault="0024579D">
      <w:pPr>
        <w:widowControl/>
        <w:jc w:val="both"/>
        <w:rPr>
          <w:sz w:val="26"/>
          <w:szCs w:val="26"/>
          <w:lang w:val="fr-FR"/>
        </w:rPr>
      </w:pPr>
      <w:r>
        <w:rPr>
          <w:sz w:val="26"/>
          <w:szCs w:val="26"/>
          <w:lang w:val="fr-FR"/>
        </w:rPr>
        <w:t xml:space="preserve">    </w:t>
      </w:r>
      <w:r w:rsidR="00340265">
        <w:rPr>
          <w:sz w:val="26"/>
          <w:szCs w:val="26"/>
          <w:lang w:val="fr-FR"/>
        </w:rPr>
        <w:t>.des mesures d’ordre général ;</w:t>
      </w:r>
    </w:p>
    <w:p w:rsidR="00340265" w:rsidRDefault="0024579D">
      <w:pPr>
        <w:widowControl/>
        <w:jc w:val="both"/>
        <w:rPr>
          <w:sz w:val="26"/>
          <w:szCs w:val="26"/>
          <w:lang w:val="fr-FR"/>
        </w:rPr>
      </w:pPr>
      <w:r>
        <w:rPr>
          <w:sz w:val="26"/>
          <w:szCs w:val="26"/>
          <w:lang w:val="fr-FR"/>
        </w:rPr>
        <w:t xml:space="preserve">    </w:t>
      </w:r>
      <w:r w:rsidR="00340265">
        <w:rPr>
          <w:sz w:val="26"/>
          <w:szCs w:val="26"/>
          <w:lang w:val="fr-FR"/>
        </w:rPr>
        <w:t>.des mesures destinées à la protection des « victimes » du racisme, afin de prévenir les discriminations raciales qu’elles peuvent rencontrer lorsqu’elles saisissent la justice ;</w:t>
      </w:r>
    </w:p>
    <w:p w:rsidR="00340265" w:rsidRDefault="00340265">
      <w:pPr>
        <w:widowControl/>
        <w:jc w:val="both"/>
        <w:rPr>
          <w:sz w:val="26"/>
          <w:szCs w:val="26"/>
          <w:lang w:val="fr-FR"/>
        </w:rPr>
      </w:pPr>
      <w:r>
        <w:rPr>
          <w:sz w:val="26"/>
          <w:szCs w:val="26"/>
          <w:lang w:val="fr-FR"/>
        </w:rPr>
        <w:t xml:space="preserve">    .des mesures destinées aux « personnes poursuivies en justice », afin de prévenir les discriminations raciales dont elles peuvent souffrir elles-mêmes dans le fonctionnement de la justice pénale.</w:t>
      </w:r>
      <w:r w:rsidR="00432BD6">
        <w:rPr>
          <w:sz w:val="26"/>
          <w:szCs w:val="26"/>
          <w:lang w:val="fr-FR"/>
        </w:rPr>
        <w:t xml:space="preserve"> </w:t>
      </w:r>
    </w:p>
    <w:p w:rsidR="00432BD6" w:rsidRDefault="00432BD6">
      <w:pPr>
        <w:widowControl/>
        <w:jc w:val="both"/>
        <w:rPr>
          <w:sz w:val="26"/>
          <w:szCs w:val="26"/>
          <w:lang w:val="fr-FR"/>
        </w:rPr>
      </w:pPr>
    </w:p>
    <w:p w:rsidR="00432BD6" w:rsidRDefault="00432BD6">
      <w:pPr>
        <w:widowControl/>
        <w:jc w:val="both"/>
        <w:rPr>
          <w:sz w:val="26"/>
          <w:szCs w:val="26"/>
          <w:lang w:val="fr-FR"/>
        </w:rPr>
      </w:pPr>
      <w:r>
        <w:rPr>
          <w:sz w:val="26"/>
          <w:szCs w:val="26"/>
          <w:lang w:val="fr-FR"/>
        </w:rPr>
        <w:t xml:space="preserve">     Toutes ces mesures sont exposées</w:t>
      </w:r>
      <w:r w:rsidR="002E56B5">
        <w:rPr>
          <w:sz w:val="26"/>
          <w:szCs w:val="26"/>
          <w:lang w:val="fr-FR"/>
        </w:rPr>
        <w:t xml:space="preserve"> longuement</w:t>
      </w:r>
      <w:r>
        <w:rPr>
          <w:sz w:val="26"/>
          <w:szCs w:val="26"/>
          <w:lang w:val="fr-FR"/>
        </w:rPr>
        <w:t xml:space="preserve"> dans le texte de la Recommanda</w:t>
      </w:r>
      <w:r w:rsidR="00984A01">
        <w:rPr>
          <w:sz w:val="26"/>
          <w:szCs w:val="26"/>
          <w:lang w:val="fr-FR"/>
        </w:rPr>
        <w:t>tion Générale, et il ne m’est pas possible</w:t>
      </w:r>
      <w:r w:rsidR="00381A55">
        <w:rPr>
          <w:sz w:val="26"/>
          <w:szCs w:val="26"/>
          <w:lang w:val="fr-FR"/>
        </w:rPr>
        <w:t xml:space="preserve"> </w:t>
      </w:r>
      <w:r w:rsidR="00984A01">
        <w:rPr>
          <w:sz w:val="26"/>
          <w:szCs w:val="26"/>
          <w:lang w:val="fr-FR"/>
        </w:rPr>
        <w:t>de</w:t>
      </w:r>
      <w:r>
        <w:rPr>
          <w:sz w:val="26"/>
          <w:szCs w:val="26"/>
          <w:lang w:val="fr-FR"/>
        </w:rPr>
        <w:t xml:space="preserve"> vous l</w:t>
      </w:r>
      <w:r w:rsidR="002E56B5">
        <w:rPr>
          <w:sz w:val="26"/>
          <w:szCs w:val="26"/>
          <w:lang w:val="fr-FR"/>
        </w:rPr>
        <w:t>es présenter de façon détaillée. Vous pouvez les retrouver intégralement dans la liste des Recommandations Générales du CERD qui figure sur le site du Haut Commissariat aux droits de l’homme des Nations Unies (</w:t>
      </w:r>
      <w:hyperlink r:id="rId9" w:history="1">
        <w:r w:rsidR="005418C9" w:rsidRPr="009D1B0A">
          <w:rPr>
            <w:rStyle w:val="Hyperlink"/>
            <w:sz w:val="26"/>
            <w:szCs w:val="26"/>
            <w:lang w:val="fr-FR"/>
          </w:rPr>
          <w:t>http://uhri.ohchr.org/en</w:t>
        </w:r>
      </w:hyperlink>
      <w:r w:rsidR="005418C9">
        <w:rPr>
          <w:sz w:val="26"/>
          <w:szCs w:val="26"/>
          <w:lang w:val="fr-FR"/>
        </w:rPr>
        <w:t xml:space="preserve"> , rubrique « Treaty bodies, CERD).</w:t>
      </w:r>
    </w:p>
    <w:p w:rsidR="005418C9" w:rsidRDefault="005418C9">
      <w:pPr>
        <w:widowControl/>
        <w:jc w:val="both"/>
        <w:rPr>
          <w:sz w:val="26"/>
          <w:szCs w:val="26"/>
          <w:lang w:val="fr-FR"/>
        </w:rPr>
      </w:pPr>
    </w:p>
    <w:p w:rsidR="005418C9" w:rsidRDefault="005418C9">
      <w:pPr>
        <w:widowControl/>
        <w:jc w:val="both"/>
        <w:rPr>
          <w:sz w:val="26"/>
          <w:szCs w:val="26"/>
          <w:lang w:val="fr-FR"/>
        </w:rPr>
      </w:pPr>
      <w:r>
        <w:rPr>
          <w:sz w:val="26"/>
          <w:szCs w:val="26"/>
          <w:lang w:val="fr-FR"/>
        </w:rPr>
        <w:t xml:space="preserve"> </w:t>
      </w:r>
      <w:r w:rsidR="00381A55">
        <w:rPr>
          <w:sz w:val="26"/>
          <w:szCs w:val="26"/>
          <w:lang w:val="fr-FR"/>
        </w:rPr>
        <w:t xml:space="preserve">   Je me bornerai ici</w:t>
      </w:r>
      <w:r>
        <w:rPr>
          <w:sz w:val="26"/>
          <w:szCs w:val="26"/>
          <w:lang w:val="fr-FR"/>
        </w:rPr>
        <w:t xml:space="preserve"> à vous présenter quelques unes de ces mesures qui me paraissent les plus importantes :</w:t>
      </w:r>
    </w:p>
    <w:p w:rsidR="002F0A86" w:rsidRDefault="002F0A86">
      <w:pPr>
        <w:widowControl/>
        <w:jc w:val="both"/>
        <w:rPr>
          <w:sz w:val="26"/>
          <w:szCs w:val="26"/>
          <w:lang w:val="fr-FR"/>
        </w:rPr>
      </w:pPr>
    </w:p>
    <w:p w:rsidR="00D9211D" w:rsidRDefault="002F0A86" w:rsidP="002F0A86">
      <w:pPr>
        <w:pStyle w:val="ListParagraph"/>
        <w:widowControl/>
        <w:numPr>
          <w:ilvl w:val="0"/>
          <w:numId w:val="11"/>
        </w:numPr>
        <w:jc w:val="both"/>
        <w:rPr>
          <w:sz w:val="26"/>
          <w:szCs w:val="26"/>
          <w:lang w:val="fr-FR"/>
        </w:rPr>
      </w:pPr>
      <w:r w:rsidRPr="002F0A86">
        <w:rPr>
          <w:sz w:val="26"/>
          <w:szCs w:val="26"/>
          <w:u w:val="single"/>
          <w:lang w:val="fr-FR"/>
        </w:rPr>
        <w:t>Les mesures générales</w:t>
      </w:r>
      <w:r>
        <w:rPr>
          <w:sz w:val="26"/>
          <w:szCs w:val="26"/>
          <w:lang w:val="fr-FR"/>
        </w:rPr>
        <w:t> :</w:t>
      </w:r>
    </w:p>
    <w:p w:rsidR="00D9211D" w:rsidRPr="00D9211D" w:rsidRDefault="00D9211D" w:rsidP="00D9211D">
      <w:pPr>
        <w:widowControl/>
        <w:jc w:val="both"/>
        <w:rPr>
          <w:sz w:val="26"/>
          <w:szCs w:val="26"/>
          <w:lang w:val="fr-FR"/>
        </w:rPr>
      </w:pPr>
    </w:p>
    <w:p w:rsidR="002F0A86" w:rsidRPr="00D9211D" w:rsidRDefault="002F0A86" w:rsidP="00D9211D">
      <w:pPr>
        <w:widowControl/>
        <w:jc w:val="both"/>
        <w:rPr>
          <w:sz w:val="26"/>
          <w:szCs w:val="26"/>
          <w:lang w:val="fr-FR"/>
        </w:rPr>
      </w:pPr>
      <w:r w:rsidRPr="00D9211D">
        <w:rPr>
          <w:sz w:val="26"/>
          <w:szCs w:val="26"/>
          <w:lang w:val="fr-FR"/>
        </w:rPr>
        <w:t>Elles comprennent des mesures évaluatives et des mesures stratégiques :</w:t>
      </w:r>
    </w:p>
    <w:p w:rsidR="00BB3302" w:rsidRDefault="00BB3302" w:rsidP="002F0A86">
      <w:pPr>
        <w:widowControl/>
        <w:jc w:val="both"/>
        <w:rPr>
          <w:sz w:val="26"/>
          <w:szCs w:val="26"/>
          <w:lang w:val="fr-FR"/>
        </w:rPr>
      </w:pPr>
    </w:p>
    <w:p w:rsidR="00BB3302" w:rsidRDefault="00853D9E" w:rsidP="00BB3302">
      <w:pPr>
        <w:widowControl/>
        <w:jc w:val="both"/>
        <w:rPr>
          <w:sz w:val="26"/>
          <w:szCs w:val="26"/>
          <w:lang w:val="fr-FR"/>
        </w:rPr>
      </w:pPr>
      <w:r>
        <w:rPr>
          <w:sz w:val="26"/>
          <w:szCs w:val="26"/>
          <w:lang w:val="fr-FR"/>
        </w:rPr>
        <w:t xml:space="preserve">     -a- </w:t>
      </w:r>
      <w:r w:rsidR="002144D6">
        <w:rPr>
          <w:sz w:val="26"/>
          <w:szCs w:val="26"/>
          <w:lang w:val="fr-FR"/>
        </w:rPr>
        <w:t xml:space="preserve">Les mesures </w:t>
      </w:r>
      <w:r w:rsidR="0061763B">
        <w:rPr>
          <w:sz w:val="26"/>
          <w:szCs w:val="26"/>
          <w:lang w:val="fr-FR"/>
        </w:rPr>
        <w:t>« </w:t>
      </w:r>
      <w:r w:rsidR="002144D6">
        <w:rPr>
          <w:sz w:val="26"/>
          <w:szCs w:val="26"/>
          <w:lang w:val="fr-FR"/>
        </w:rPr>
        <w:t>évaluatives</w:t>
      </w:r>
      <w:r w:rsidR="0061763B">
        <w:rPr>
          <w:sz w:val="26"/>
          <w:szCs w:val="26"/>
          <w:lang w:val="fr-FR"/>
        </w:rPr>
        <w:t> »</w:t>
      </w:r>
      <w:r w:rsidR="00BB3302" w:rsidRPr="00BB3302">
        <w:rPr>
          <w:sz w:val="26"/>
          <w:szCs w:val="26"/>
          <w:lang w:val="fr-FR"/>
        </w:rPr>
        <w:t xml:space="preserve"> ont pour objet d’identifi</w:t>
      </w:r>
      <w:r w:rsidR="002144D6">
        <w:rPr>
          <w:sz w:val="26"/>
          <w:szCs w:val="26"/>
          <w:lang w:val="fr-FR"/>
        </w:rPr>
        <w:t xml:space="preserve">er les « indicateurs » de </w:t>
      </w:r>
      <w:r w:rsidR="00BB3302" w:rsidRPr="00BB3302">
        <w:rPr>
          <w:sz w:val="26"/>
          <w:szCs w:val="26"/>
          <w:lang w:val="fr-FR"/>
        </w:rPr>
        <w:t>discrimination</w:t>
      </w:r>
      <w:r w:rsidR="002144D6">
        <w:rPr>
          <w:sz w:val="26"/>
          <w:szCs w:val="26"/>
          <w:lang w:val="fr-FR"/>
        </w:rPr>
        <w:t xml:space="preserve"> raciale dans le fonctionnement de la justice pénale</w:t>
      </w:r>
      <w:r w:rsidR="00BB3302">
        <w:rPr>
          <w:sz w:val="26"/>
          <w:szCs w:val="26"/>
          <w:lang w:val="fr-FR"/>
        </w:rPr>
        <w:t>, qui peuvent être des indicateurs « factuels » ou des indicateurs « législatifs ».</w:t>
      </w:r>
    </w:p>
    <w:p w:rsidR="00BB3302" w:rsidRDefault="00BB3302" w:rsidP="00BB3302">
      <w:pPr>
        <w:widowControl/>
        <w:jc w:val="both"/>
        <w:rPr>
          <w:sz w:val="26"/>
          <w:szCs w:val="26"/>
          <w:lang w:val="fr-FR"/>
        </w:rPr>
      </w:pPr>
    </w:p>
    <w:p w:rsidR="00D101EE" w:rsidRDefault="00853D9E" w:rsidP="00853D9E">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w:t>
      </w:r>
      <w:r w:rsidR="00251F0F">
        <w:rPr>
          <w:sz w:val="26"/>
          <w:szCs w:val="26"/>
          <w:lang w:val="fr-FR"/>
        </w:rPr>
        <w:t xml:space="preserve">= </w:t>
      </w:r>
      <w:r w:rsidR="00BB3302" w:rsidRPr="00BB3302">
        <w:rPr>
          <w:sz w:val="26"/>
          <w:szCs w:val="26"/>
          <w:lang w:val="fr-FR"/>
        </w:rPr>
        <w:t>Parmi les « indicateurs « factuels », il est demandé aux Etats de prêter la plus grande attention</w:t>
      </w:r>
      <w:r>
        <w:rPr>
          <w:sz w:val="26"/>
          <w:szCs w:val="26"/>
          <w:lang w:val="fr-FR"/>
        </w:rPr>
        <w:t xml:space="preserve"> notamment</w:t>
      </w:r>
      <w:r w:rsidR="00BB3302" w:rsidRPr="00BB3302">
        <w:rPr>
          <w:sz w:val="26"/>
          <w:szCs w:val="26"/>
          <w:lang w:val="fr-FR"/>
        </w:rPr>
        <w:t xml:space="preserve"> aux éléments suivant</w:t>
      </w:r>
      <w:r>
        <w:rPr>
          <w:sz w:val="26"/>
          <w:szCs w:val="26"/>
          <w:lang w:val="fr-FR"/>
        </w:rPr>
        <w:t>s :</w:t>
      </w:r>
    </w:p>
    <w:p w:rsidR="00D101EE" w:rsidRDefault="00D9211D" w:rsidP="00853D9E">
      <w:pPr>
        <w:widowControl/>
        <w:jc w:val="both"/>
        <w:rPr>
          <w:sz w:val="26"/>
          <w:szCs w:val="26"/>
          <w:lang w:val="fr-FR"/>
        </w:rPr>
      </w:pPr>
      <w:r>
        <w:rPr>
          <w:sz w:val="26"/>
          <w:szCs w:val="26"/>
          <w:lang w:val="fr-FR"/>
        </w:rPr>
        <w:t xml:space="preserve">       </w:t>
      </w:r>
      <w:r w:rsidR="00251F0F">
        <w:rPr>
          <w:sz w:val="26"/>
          <w:szCs w:val="26"/>
          <w:lang w:val="fr-FR"/>
        </w:rPr>
        <w:t>-</w:t>
      </w:r>
      <w:r w:rsidR="00D101EE">
        <w:rPr>
          <w:sz w:val="26"/>
          <w:szCs w:val="26"/>
          <w:lang w:val="fr-FR"/>
        </w:rPr>
        <w:t xml:space="preserve"> le nombre et le pourcentage de personne</w:t>
      </w:r>
      <w:r w:rsidR="002144D6">
        <w:rPr>
          <w:sz w:val="26"/>
          <w:szCs w:val="26"/>
          <w:lang w:val="fr-FR"/>
        </w:rPr>
        <w:t>s</w:t>
      </w:r>
      <w:r w:rsidR="00D101EE">
        <w:rPr>
          <w:sz w:val="26"/>
          <w:szCs w:val="26"/>
          <w:lang w:val="fr-FR"/>
        </w:rPr>
        <w:t xml:space="preserve"> appartenant à certains groupes raciaux ou ethniqu</w:t>
      </w:r>
      <w:r w:rsidR="002144D6">
        <w:rPr>
          <w:sz w:val="26"/>
          <w:szCs w:val="26"/>
          <w:lang w:val="fr-FR"/>
        </w:rPr>
        <w:t>es</w:t>
      </w:r>
      <w:r w:rsidR="00D101EE">
        <w:rPr>
          <w:sz w:val="26"/>
          <w:szCs w:val="26"/>
          <w:lang w:val="fr-FR"/>
        </w:rPr>
        <w:t xml:space="preserve"> qui sont victimes d’agressions ou d’autres infractions, notamment lorsqu’elles sont commises par des agents de l’Etat ;</w:t>
      </w:r>
    </w:p>
    <w:p w:rsidR="00D101EE" w:rsidRDefault="00D9211D" w:rsidP="00D9211D">
      <w:pPr>
        <w:widowControl/>
        <w:jc w:val="both"/>
        <w:rPr>
          <w:sz w:val="26"/>
          <w:szCs w:val="26"/>
          <w:lang w:val="fr-FR"/>
        </w:rPr>
      </w:pPr>
      <w:r>
        <w:rPr>
          <w:sz w:val="26"/>
          <w:szCs w:val="26"/>
          <w:lang w:val="fr-FR"/>
        </w:rPr>
        <w:t xml:space="preserve">        </w:t>
      </w:r>
      <w:r w:rsidR="00251F0F">
        <w:rPr>
          <w:sz w:val="26"/>
          <w:szCs w:val="26"/>
          <w:lang w:val="fr-FR"/>
        </w:rPr>
        <w:t>-</w:t>
      </w:r>
      <w:r w:rsidR="00D101EE">
        <w:rPr>
          <w:sz w:val="26"/>
          <w:szCs w:val="26"/>
          <w:lang w:val="fr-FR"/>
        </w:rPr>
        <w:t xml:space="preserve"> l’absence ou la rareté des plaintes, des poursuites et des jugements concernant des actes de discrimination raciale dans </w:t>
      </w:r>
      <w:r w:rsidR="00ED771C">
        <w:rPr>
          <w:sz w:val="26"/>
          <w:szCs w:val="26"/>
          <w:lang w:val="fr-FR"/>
        </w:rPr>
        <w:t>le pays, qui</w:t>
      </w:r>
      <w:r w:rsidR="00D101EE">
        <w:rPr>
          <w:sz w:val="26"/>
          <w:szCs w:val="26"/>
          <w:lang w:val="fr-FR"/>
        </w:rPr>
        <w:t xml:space="preserve"> ne doit pas être regardée comme nécessairement positive, contrairement à ce que pe</w:t>
      </w:r>
      <w:r w:rsidR="00853D9E">
        <w:rPr>
          <w:sz w:val="26"/>
          <w:szCs w:val="26"/>
          <w:lang w:val="fr-FR"/>
        </w:rPr>
        <w:t xml:space="preserve">nsent </w:t>
      </w:r>
      <w:r w:rsidR="00ED771C">
        <w:rPr>
          <w:sz w:val="26"/>
          <w:szCs w:val="26"/>
          <w:lang w:val="fr-FR"/>
        </w:rPr>
        <w:t>certains Etats ;</w:t>
      </w:r>
    </w:p>
    <w:p w:rsidR="00D101EE" w:rsidRDefault="00D9211D" w:rsidP="00D9211D">
      <w:pPr>
        <w:widowControl/>
        <w:jc w:val="both"/>
        <w:rPr>
          <w:sz w:val="26"/>
          <w:szCs w:val="26"/>
          <w:lang w:val="fr-FR"/>
        </w:rPr>
      </w:pPr>
      <w:r>
        <w:rPr>
          <w:sz w:val="26"/>
          <w:szCs w:val="26"/>
          <w:lang w:val="fr-FR"/>
        </w:rPr>
        <w:t xml:space="preserve">        - </w:t>
      </w:r>
      <w:r w:rsidR="00D101EE">
        <w:rPr>
          <w:sz w:val="26"/>
          <w:szCs w:val="26"/>
          <w:lang w:val="fr-FR"/>
        </w:rPr>
        <w:t>les taux proportionnellement plus élevés de délinquance imputés aux personnes appartenant à des minorités raciales ou ethniques ou à des groupes margi</w:t>
      </w:r>
      <w:r w:rsidR="00AB0DEF">
        <w:rPr>
          <w:sz w:val="26"/>
          <w:szCs w:val="26"/>
          <w:lang w:val="fr-FR"/>
        </w:rPr>
        <w:t>nalisés</w:t>
      </w:r>
      <w:r w:rsidR="00D101EE">
        <w:rPr>
          <w:sz w:val="26"/>
          <w:szCs w:val="26"/>
          <w:lang w:val="fr-FR"/>
        </w:rPr>
        <w:t xml:space="preserve"> ;</w:t>
      </w:r>
    </w:p>
    <w:p w:rsidR="00D101EE" w:rsidRDefault="00D9211D" w:rsidP="00D9211D">
      <w:pPr>
        <w:widowControl/>
        <w:jc w:val="both"/>
        <w:rPr>
          <w:sz w:val="26"/>
          <w:szCs w:val="26"/>
          <w:lang w:val="fr-FR"/>
        </w:rPr>
      </w:pPr>
      <w:r>
        <w:rPr>
          <w:sz w:val="26"/>
          <w:szCs w:val="26"/>
          <w:lang w:val="fr-FR"/>
        </w:rPr>
        <w:t xml:space="preserve">        </w:t>
      </w:r>
      <w:r w:rsidR="00251F0F">
        <w:rPr>
          <w:sz w:val="26"/>
          <w:szCs w:val="26"/>
          <w:lang w:val="fr-FR"/>
        </w:rPr>
        <w:t>-</w:t>
      </w:r>
      <w:r w:rsidR="00853D9E">
        <w:rPr>
          <w:sz w:val="26"/>
          <w:szCs w:val="26"/>
          <w:lang w:val="fr-FR"/>
        </w:rPr>
        <w:t xml:space="preserve"> </w:t>
      </w:r>
      <w:r w:rsidR="00D101EE">
        <w:rPr>
          <w:sz w:val="26"/>
          <w:szCs w:val="26"/>
          <w:lang w:val="fr-FR"/>
        </w:rPr>
        <w:t>le nombre et le pourcentage de personnes apparte</w:t>
      </w:r>
      <w:r w:rsidR="00853D9E">
        <w:rPr>
          <w:sz w:val="26"/>
          <w:szCs w:val="26"/>
          <w:lang w:val="fr-FR"/>
        </w:rPr>
        <w:t>nant à ces groupes ou minorités</w:t>
      </w:r>
      <w:r w:rsidR="00D101EE">
        <w:rPr>
          <w:sz w:val="26"/>
          <w:szCs w:val="26"/>
          <w:lang w:val="fr-FR"/>
        </w:rPr>
        <w:t xml:space="preserve"> qui sont retenues en détention pénale ou administrative, y compris dans les centres de rétention administrative, les centres pénitentiaires, les établissements psychiatriques ou les zones d’attente dans les aéroports ;</w:t>
      </w:r>
    </w:p>
    <w:p w:rsidR="00D101EE" w:rsidRDefault="00D9211D" w:rsidP="00D9211D">
      <w:pPr>
        <w:widowControl/>
        <w:jc w:val="both"/>
        <w:rPr>
          <w:sz w:val="26"/>
          <w:szCs w:val="26"/>
          <w:lang w:val="fr-FR"/>
        </w:rPr>
      </w:pPr>
      <w:r>
        <w:rPr>
          <w:sz w:val="26"/>
          <w:szCs w:val="26"/>
          <w:lang w:val="fr-FR"/>
        </w:rPr>
        <w:t xml:space="preserve">         </w:t>
      </w:r>
      <w:r w:rsidR="00251F0F">
        <w:rPr>
          <w:sz w:val="26"/>
          <w:szCs w:val="26"/>
          <w:lang w:val="fr-FR"/>
        </w:rPr>
        <w:t>-</w:t>
      </w:r>
      <w:r w:rsidR="00D101EE">
        <w:rPr>
          <w:sz w:val="26"/>
          <w:szCs w:val="26"/>
          <w:lang w:val="fr-FR"/>
        </w:rPr>
        <w:t xml:space="preserve"> le prononcé par les tribunaux de peines plus sévères ou inadaptées à l’égard des personnes appartenant à ces groupes ou minorités ;</w:t>
      </w:r>
    </w:p>
    <w:p w:rsidR="00D101EE" w:rsidRPr="00251F0F" w:rsidRDefault="00D9211D" w:rsidP="00251F0F">
      <w:pPr>
        <w:widowControl/>
        <w:jc w:val="both"/>
        <w:rPr>
          <w:sz w:val="26"/>
          <w:szCs w:val="26"/>
          <w:lang w:val="fr-FR"/>
        </w:rPr>
      </w:pPr>
      <w:r>
        <w:rPr>
          <w:sz w:val="26"/>
          <w:szCs w:val="26"/>
          <w:lang w:val="fr-FR"/>
        </w:rPr>
        <w:t xml:space="preserve">         - </w:t>
      </w:r>
      <w:r w:rsidR="00D101EE" w:rsidRPr="00251F0F">
        <w:rPr>
          <w:sz w:val="26"/>
          <w:szCs w:val="26"/>
          <w:lang w:val="fr-FR"/>
        </w:rPr>
        <w:t>la proportion insuffisante de personnes appartenant à ces groupes ou minorités</w:t>
      </w:r>
      <w:r w:rsidR="00853D9E" w:rsidRPr="00251F0F">
        <w:rPr>
          <w:sz w:val="26"/>
          <w:szCs w:val="26"/>
          <w:lang w:val="fr-FR"/>
        </w:rPr>
        <w:t xml:space="preserve"> qui figurent</w:t>
      </w:r>
      <w:r w:rsidR="00D101EE" w:rsidRPr="00251F0F">
        <w:rPr>
          <w:sz w:val="26"/>
          <w:szCs w:val="26"/>
          <w:lang w:val="fr-FR"/>
        </w:rPr>
        <w:t xml:space="preserve"> dans les effectifs de la police et de la justice, y compris chez les magistrats et les jurés, ainsi que dans les autres services chargés de l’application des lois.</w:t>
      </w:r>
    </w:p>
    <w:p w:rsidR="00D101EE" w:rsidRDefault="00D9211D" w:rsidP="00D9211D">
      <w:pPr>
        <w:widowControl/>
        <w:jc w:val="both"/>
        <w:rPr>
          <w:sz w:val="26"/>
          <w:szCs w:val="26"/>
          <w:lang w:val="fr-FR"/>
        </w:rPr>
      </w:pPr>
      <w:r>
        <w:rPr>
          <w:sz w:val="26"/>
          <w:szCs w:val="26"/>
          <w:lang w:val="fr-FR"/>
        </w:rPr>
        <w:t xml:space="preserve">        </w:t>
      </w:r>
      <w:r w:rsidR="00D101EE">
        <w:rPr>
          <w:sz w:val="26"/>
          <w:szCs w:val="26"/>
          <w:lang w:val="fr-FR"/>
        </w:rPr>
        <w:t>Pour que tous ces indicateurs factuels puissent être connus et exploités, il est demandé aux Etats parties de procéder à des collectes d’informations régulières et publiques</w:t>
      </w:r>
      <w:r w:rsidR="000B1B71">
        <w:rPr>
          <w:sz w:val="26"/>
          <w:szCs w:val="26"/>
          <w:lang w:val="fr-FR"/>
        </w:rPr>
        <w:t xml:space="preserve"> à ce sujet</w:t>
      </w:r>
      <w:r w:rsidR="00D101EE">
        <w:rPr>
          <w:sz w:val="26"/>
          <w:szCs w:val="26"/>
          <w:lang w:val="fr-FR"/>
        </w:rPr>
        <w:t xml:space="preserve"> </w:t>
      </w:r>
      <w:r w:rsidR="00853D9E">
        <w:rPr>
          <w:sz w:val="26"/>
          <w:szCs w:val="26"/>
          <w:lang w:val="fr-FR"/>
        </w:rPr>
        <w:t>auprès des auto</w:t>
      </w:r>
      <w:r w:rsidR="000B1B71">
        <w:rPr>
          <w:sz w:val="26"/>
          <w:szCs w:val="26"/>
          <w:lang w:val="fr-FR"/>
        </w:rPr>
        <w:t>rités policières et judiciaires.</w:t>
      </w:r>
    </w:p>
    <w:p w:rsidR="00D101EE" w:rsidRDefault="00D101EE">
      <w:pPr>
        <w:widowControl/>
        <w:jc w:val="both"/>
        <w:rPr>
          <w:sz w:val="26"/>
          <w:szCs w:val="26"/>
          <w:lang w:val="fr-FR"/>
        </w:rPr>
      </w:pPr>
    </w:p>
    <w:p w:rsidR="00D101EE" w:rsidRDefault="00D101EE">
      <w:pPr>
        <w:widowControl/>
        <w:jc w:val="both"/>
        <w:rPr>
          <w:sz w:val="26"/>
          <w:szCs w:val="26"/>
          <w:lang w:val="fr-FR"/>
        </w:rPr>
        <w:sectPr w:rsidR="00D101EE">
          <w:type w:val="continuous"/>
          <w:pgSz w:w="11905" w:h="16837"/>
          <w:pgMar w:top="1440" w:right="1440" w:bottom="1440" w:left="1440" w:header="1440" w:footer="1440" w:gutter="0"/>
          <w:cols w:space="720"/>
          <w:noEndnote/>
        </w:sectPr>
      </w:pPr>
    </w:p>
    <w:p w:rsidR="00D101EE" w:rsidRDefault="00251F0F">
      <w:pPr>
        <w:widowControl/>
        <w:ind w:firstLine="720"/>
        <w:jc w:val="both"/>
        <w:rPr>
          <w:sz w:val="26"/>
          <w:szCs w:val="26"/>
          <w:lang w:val="fr-FR"/>
        </w:rPr>
      </w:pPr>
      <w:r>
        <w:rPr>
          <w:sz w:val="26"/>
          <w:szCs w:val="26"/>
          <w:lang w:val="fr-FR"/>
        </w:rPr>
        <w:t>=</w:t>
      </w:r>
      <w:r w:rsidR="00D101EE">
        <w:rPr>
          <w:sz w:val="26"/>
          <w:szCs w:val="26"/>
          <w:lang w:val="fr-FR"/>
        </w:rPr>
        <w:t xml:space="preserve"> </w:t>
      </w:r>
      <w:r w:rsidR="00D101EE" w:rsidRPr="00251F0F">
        <w:rPr>
          <w:sz w:val="26"/>
          <w:szCs w:val="26"/>
          <w:lang w:val="fr-FR"/>
        </w:rPr>
        <w:t xml:space="preserve">Parmi les indicateurs </w:t>
      </w:r>
      <w:r w:rsidR="0061763B">
        <w:rPr>
          <w:sz w:val="26"/>
          <w:szCs w:val="26"/>
          <w:lang w:val="fr-FR"/>
        </w:rPr>
        <w:t>« </w:t>
      </w:r>
      <w:r w:rsidR="00D101EE" w:rsidRPr="00251F0F">
        <w:rPr>
          <w:sz w:val="26"/>
          <w:szCs w:val="26"/>
          <w:lang w:val="fr-FR"/>
        </w:rPr>
        <w:t>législatifs</w:t>
      </w:r>
      <w:r w:rsidR="0061763B">
        <w:rPr>
          <w:sz w:val="26"/>
          <w:szCs w:val="26"/>
          <w:lang w:val="fr-FR"/>
        </w:rPr>
        <w:t> »</w:t>
      </w:r>
      <w:r w:rsidR="00D101EE">
        <w:rPr>
          <w:sz w:val="26"/>
          <w:szCs w:val="26"/>
          <w:lang w:val="fr-FR"/>
        </w:rPr>
        <w:t xml:space="preserve">, la Recommandation générale considère que doivent être regardés comme des indicateurs de causes de discriminations raciales potentielles : </w:t>
      </w:r>
    </w:p>
    <w:p w:rsidR="00F00057" w:rsidRDefault="00F00057" w:rsidP="00F00057">
      <w:pPr>
        <w:widowControl/>
        <w:jc w:val="both"/>
        <w:rPr>
          <w:sz w:val="26"/>
          <w:szCs w:val="26"/>
          <w:lang w:val="fr-FR"/>
        </w:rPr>
      </w:pPr>
      <w:r>
        <w:rPr>
          <w:sz w:val="26"/>
          <w:szCs w:val="26"/>
          <w:lang w:val="fr-FR"/>
        </w:rPr>
        <w:t xml:space="preserve">         </w:t>
      </w:r>
      <w:r w:rsidR="00D101EE">
        <w:rPr>
          <w:sz w:val="26"/>
          <w:szCs w:val="26"/>
          <w:lang w:val="fr-FR"/>
        </w:rPr>
        <w:t>- d’une part, les lacunes pouvant exister dans la législation nationale concernant la disc</w:t>
      </w:r>
      <w:r w:rsidR="00251F0F">
        <w:rPr>
          <w:sz w:val="26"/>
          <w:szCs w:val="26"/>
          <w:lang w:val="fr-FR"/>
        </w:rPr>
        <w:t>rimination raciale</w:t>
      </w:r>
      <w:r w:rsidR="00D101EE">
        <w:rPr>
          <w:sz w:val="26"/>
          <w:szCs w:val="26"/>
          <w:lang w:val="fr-FR"/>
        </w:rPr>
        <w:t xml:space="preserve"> ;</w:t>
      </w:r>
    </w:p>
    <w:p w:rsidR="00D101EE" w:rsidRDefault="00F00057" w:rsidP="00F00057">
      <w:pPr>
        <w:widowControl/>
        <w:jc w:val="both"/>
        <w:rPr>
          <w:sz w:val="26"/>
          <w:szCs w:val="26"/>
          <w:lang w:val="fr-FR"/>
        </w:rPr>
      </w:pPr>
      <w:r>
        <w:rPr>
          <w:sz w:val="26"/>
          <w:szCs w:val="26"/>
          <w:lang w:val="fr-FR"/>
        </w:rPr>
        <w:t xml:space="preserve">        </w:t>
      </w:r>
      <w:r w:rsidR="00D101EE">
        <w:rPr>
          <w:sz w:val="26"/>
          <w:szCs w:val="26"/>
          <w:lang w:val="fr-FR"/>
        </w:rPr>
        <w:t>- d’autre part, les effets discriminatoires indirects que peuvent avoir certaines législations nationales, en particulier les légis</w:t>
      </w:r>
      <w:r w:rsidR="00251F0F">
        <w:rPr>
          <w:sz w:val="26"/>
          <w:szCs w:val="26"/>
          <w:lang w:val="fr-FR"/>
        </w:rPr>
        <w:t>lations concernant</w:t>
      </w:r>
      <w:r w:rsidR="00D101EE">
        <w:rPr>
          <w:sz w:val="26"/>
          <w:szCs w:val="26"/>
          <w:lang w:val="fr-FR"/>
        </w:rPr>
        <w:t xml:space="preserve"> l’immigration, la nationalité, </w:t>
      </w:r>
      <w:r w:rsidR="00251F0F">
        <w:rPr>
          <w:sz w:val="26"/>
          <w:szCs w:val="26"/>
          <w:lang w:val="fr-FR"/>
        </w:rPr>
        <w:t xml:space="preserve">la lutte contre le terrorisme, </w:t>
      </w:r>
      <w:r w:rsidR="00D101EE">
        <w:rPr>
          <w:sz w:val="26"/>
          <w:szCs w:val="26"/>
          <w:lang w:val="fr-FR"/>
        </w:rPr>
        <w:t>celles concernant les peines prévoyant l’interdiction ou l’éloignement du territoire national contre des non-ressortissants, ainsi que les législations ayant pour effet de pénaliser certains groupes ou l’appartenance à certaines communautés sans motif lé</w:t>
      </w:r>
      <w:r w:rsidR="00251F0F">
        <w:rPr>
          <w:sz w:val="26"/>
          <w:szCs w:val="26"/>
          <w:lang w:val="fr-FR"/>
        </w:rPr>
        <w:t>gitime.</w:t>
      </w:r>
    </w:p>
    <w:p w:rsidR="00251F0F" w:rsidRDefault="00251F0F">
      <w:pPr>
        <w:widowControl/>
        <w:ind w:firstLine="720"/>
        <w:jc w:val="both"/>
        <w:rPr>
          <w:sz w:val="26"/>
          <w:szCs w:val="26"/>
          <w:lang w:val="fr-FR"/>
        </w:rPr>
      </w:pPr>
    </w:p>
    <w:p w:rsidR="00D101EE" w:rsidRDefault="00251F0F" w:rsidP="00443C8D">
      <w:pPr>
        <w:widowControl/>
        <w:ind w:firstLine="720"/>
        <w:jc w:val="both"/>
        <w:rPr>
          <w:sz w:val="26"/>
          <w:szCs w:val="26"/>
          <w:lang w:val="fr-FR"/>
        </w:rPr>
      </w:pPr>
      <w:r>
        <w:rPr>
          <w:sz w:val="26"/>
          <w:szCs w:val="26"/>
          <w:lang w:val="fr-FR"/>
        </w:rPr>
        <w:t>-b-  Quant aux mesures « stratégiques », il est demandé aux Etats de développer</w:t>
      </w:r>
      <w:r w:rsidR="00216494">
        <w:rPr>
          <w:sz w:val="26"/>
          <w:szCs w:val="26"/>
          <w:lang w:val="fr-FR"/>
        </w:rPr>
        <w:t xml:space="preserve"> </w:t>
      </w:r>
      <w:r>
        <w:rPr>
          <w:sz w:val="26"/>
          <w:szCs w:val="26"/>
          <w:lang w:val="fr-FR"/>
        </w:rPr>
        <w:t xml:space="preserve"> en particulier des </w:t>
      </w:r>
      <w:r w:rsidR="00443C8D">
        <w:rPr>
          <w:sz w:val="26"/>
          <w:szCs w:val="26"/>
          <w:lang w:val="fr-FR"/>
        </w:rPr>
        <w:t>stratégies nationales ayant les objectifs suivants :</w:t>
      </w:r>
    </w:p>
    <w:p w:rsidR="00D101EE" w:rsidRDefault="00F00057" w:rsidP="00216494">
      <w:pPr>
        <w:widowControl/>
        <w:jc w:val="both"/>
        <w:rPr>
          <w:sz w:val="26"/>
          <w:szCs w:val="26"/>
          <w:lang w:val="fr-FR"/>
        </w:rPr>
      </w:pPr>
      <w:r>
        <w:rPr>
          <w:sz w:val="26"/>
          <w:szCs w:val="26"/>
          <w:lang w:val="fr-FR"/>
        </w:rPr>
        <w:t xml:space="preserve">        </w:t>
      </w:r>
      <w:r w:rsidR="00443C8D">
        <w:rPr>
          <w:sz w:val="26"/>
          <w:szCs w:val="26"/>
          <w:lang w:val="fr-FR"/>
        </w:rPr>
        <w:t>-</w:t>
      </w:r>
      <w:r w:rsidR="00D101EE">
        <w:rPr>
          <w:sz w:val="26"/>
          <w:szCs w:val="26"/>
          <w:lang w:val="fr-FR"/>
        </w:rPr>
        <w:t xml:space="preserve"> éliminer les lois qui ont un effet discriminatoire au plan social, en particulier celles qui visent indirectement certains groupes ou celles qui ne s’appli</w:t>
      </w:r>
      <w:r w:rsidR="00216494">
        <w:rPr>
          <w:sz w:val="26"/>
          <w:szCs w:val="26"/>
          <w:lang w:val="fr-FR"/>
        </w:rPr>
        <w:t xml:space="preserve">quent qu’aux non-ressortissants </w:t>
      </w:r>
      <w:r w:rsidR="00D101EE">
        <w:rPr>
          <w:sz w:val="26"/>
          <w:szCs w:val="26"/>
          <w:lang w:val="fr-FR"/>
        </w:rPr>
        <w:t>sans mo</w:t>
      </w:r>
      <w:r w:rsidR="00216494">
        <w:rPr>
          <w:sz w:val="26"/>
          <w:szCs w:val="26"/>
          <w:lang w:val="fr-FR"/>
        </w:rPr>
        <w:t>tif légitime ;</w:t>
      </w:r>
    </w:p>
    <w:p w:rsidR="00D101EE" w:rsidRDefault="00F00057" w:rsidP="00F00057">
      <w:pPr>
        <w:widowControl/>
        <w:jc w:val="both"/>
        <w:rPr>
          <w:sz w:val="26"/>
          <w:szCs w:val="26"/>
          <w:lang w:val="fr-FR"/>
        </w:rPr>
      </w:pPr>
      <w:r>
        <w:rPr>
          <w:sz w:val="26"/>
          <w:szCs w:val="26"/>
          <w:lang w:val="fr-FR"/>
        </w:rPr>
        <w:t xml:space="preserve">        </w:t>
      </w:r>
      <w:r w:rsidR="00443C8D">
        <w:rPr>
          <w:sz w:val="26"/>
          <w:szCs w:val="26"/>
          <w:lang w:val="fr-FR"/>
        </w:rPr>
        <w:t>-</w:t>
      </w:r>
      <w:r w:rsidR="000C7CB9">
        <w:rPr>
          <w:sz w:val="26"/>
          <w:szCs w:val="26"/>
          <w:lang w:val="fr-FR"/>
        </w:rPr>
        <w:t xml:space="preserve"> développer </w:t>
      </w:r>
      <w:r w:rsidR="00D101EE">
        <w:rPr>
          <w:sz w:val="26"/>
          <w:szCs w:val="26"/>
          <w:lang w:val="fr-FR"/>
        </w:rPr>
        <w:t>la formation aux dr</w:t>
      </w:r>
      <w:r w:rsidR="000C7CB9">
        <w:rPr>
          <w:sz w:val="26"/>
          <w:szCs w:val="26"/>
          <w:lang w:val="fr-FR"/>
        </w:rPr>
        <w:t>oits de l’homme et</w:t>
      </w:r>
      <w:r w:rsidR="00D101EE">
        <w:rPr>
          <w:sz w:val="26"/>
          <w:szCs w:val="26"/>
          <w:lang w:val="fr-FR"/>
        </w:rPr>
        <w:t xml:space="preserve"> à l’entente interraciale ou interethniq</w:t>
      </w:r>
      <w:r w:rsidR="000C7CB9">
        <w:rPr>
          <w:sz w:val="26"/>
          <w:szCs w:val="26"/>
          <w:lang w:val="fr-FR"/>
        </w:rPr>
        <w:t>ue</w:t>
      </w:r>
      <w:r w:rsidR="00D101EE">
        <w:rPr>
          <w:sz w:val="26"/>
          <w:szCs w:val="26"/>
          <w:lang w:val="fr-FR"/>
        </w:rPr>
        <w:t xml:space="preserve"> pour les agents chargés de l’application des lois : les personnels de la police, de la gendarmerie, de la justice, des établissements pé</w:t>
      </w:r>
      <w:r w:rsidR="000C7CB9">
        <w:rPr>
          <w:sz w:val="26"/>
          <w:szCs w:val="26"/>
          <w:lang w:val="fr-FR"/>
        </w:rPr>
        <w:t>nitentiaires,  psychiatriques,</w:t>
      </w:r>
      <w:r w:rsidR="00D101EE">
        <w:rPr>
          <w:sz w:val="26"/>
          <w:szCs w:val="26"/>
          <w:lang w:val="fr-FR"/>
        </w:rPr>
        <w:t xml:space="preserve"> sociaux, médicaux et autres ;</w:t>
      </w:r>
    </w:p>
    <w:p w:rsidR="00D101EE" w:rsidRDefault="00F00057">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 promouvoir le dialogue et la concertation entre les autorités de police et de </w:t>
      </w:r>
    </w:p>
    <w:p w:rsidR="00D101EE" w:rsidRDefault="00D101EE" w:rsidP="00F00057">
      <w:pPr>
        <w:widowControl/>
        <w:jc w:val="both"/>
        <w:rPr>
          <w:sz w:val="26"/>
          <w:szCs w:val="26"/>
          <w:lang w:val="fr-FR"/>
        </w:rPr>
      </w:pPr>
      <w:r>
        <w:rPr>
          <w:sz w:val="26"/>
          <w:szCs w:val="26"/>
          <w:lang w:val="fr-FR"/>
        </w:rPr>
        <w:t>justice et les représentants des différents groupes raciaux et ethniques, afin de combattre les préjugés et d’établir des relations de confiance ;</w:t>
      </w:r>
    </w:p>
    <w:p w:rsidR="00D101EE" w:rsidRDefault="00F00057" w:rsidP="00F00057">
      <w:pPr>
        <w:widowControl/>
        <w:jc w:val="both"/>
        <w:rPr>
          <w:sz w:val="26"/>
          <w:szCs w:val="26"/>
          <w:lang w:val="fr-FR"/>
        </w:rPr>
      </w:pPr>
      <w:r>
        <w:rPr>
          <w:sz w:val="26"/>
          <w:szCs w:val="26"/>
          <w:lang w:val="fr-FR"/>
        </w:rPr>
        <w:t xml:space="preserve">        </w:t>
      </w:r>
      <w:r w:rsidR="000C7CB9">
        <w:rPr>
          <w:sz w:val="26"/>
          <w:szCs w:val="26"/>
          <w:lang w:val="fr-FR"/>
        </w:rPr>
        <w:t>-</w:t>
      </w:r>
      <w:r w:rsidR="00D101EE">
        <w:rPr>
          <w:sz w:val="26"/>
          <w:szCs w:val="26"/>
          <w:lang w:val="fr-FR"/>
        </w:rPr>
        <w:t xml:space="preserve"> favoriser une représentation adéquate des personnes appartenant à ces groupes raciaux et ethniques au sein de la police et de la justice ;</w:t>
      </w:r>
    </w:p>
    <w:p w:rsidR="00D101EE" w:rsidRDefault="00F00057" w:rsidP="00F00057">
      <w:pPr>
        <w:widowControl/>
        <w:jc w:val="both"/>
        <w:rPr>
          <w:sz w:val="26"/>
          <w:szCs w:val="26"/>
          <w:lang w:val="fr-FR"/>
        </w:rPr>
      </w:pPr>
      <w:r>
        <w:rPr>
          <w:sz w:val="26"/>
          <w:szCs w:val="26"/>
          <w:lang w:val="fr-FR"/>
        </w:rPr>
        <w:t xml:space="preserve">        </w:t>
      </w:r>
      <w:r w:rsidR="000C7CB9">
        <w:rPr>
          <w:sz w:val="26"/>
          <w:szCs w:val="26"/>
          <w:lang w:val="fr-FR"/>
        </w:rPr>
        <w:t>-</w:t>
      </w:r>
      <w:r w:rsidR="00D101EE">
        <w:rPr>
          <w:sz w:val="26"/>
          <w:szCs w:val="26"/>
          <w:lang w:val="fr-FR"/>
        </w:rPr>
        <w:t>veiller au respect et à la reconnaissance des systèmes traditionnels de justice des peuples autochtones, en conformité avec le droit inter</w:t>
      </w:r>
      <w:r w:rsidR="000C7CB9">
        <w:rPr>
          <w:sz w:val="26"/>
          <w:szCs w:val="26"/>
          <w:lang w:val="fr-FR"/>
        </w:rPr>
        <w:t>national des droits de l’homme ;</w:t>
      </w:r>
    </w:p>
    <w:p w:rsidR="00D101EE" w:rsidRDefault="00F00057" w:rsidP="00EF5AB6">
      <w:pPr>
        <w:widowControl/>
        <w:jc w:val="both"/>
        <w:rPr>
          <w:sz w:val="26"/>
          <w:szCs w:val="26"/>
          <w:lang w:val="fr-FR"/>
        </w:rPr>
      </w:pPr>
      <w:r>
        <w:rPr>
          <w:sz w:val="26"/>
          <w:szCs w:val="26"/>
          <w:lang w:val="fr-FR"/>
        </w:rPr>
        <w:t xml:space="preserve">        </w:t>
      </w:r>
      <w:r w:rsidR="000C7CB9">
        <w:rPr>
          <w:sz w:val="26"/>
          <w:szCs w:val="26"/>
          <w:lang w:val="fr-FR"/>
        </w:rPr>
        <w:t>-</w:t>
      </w:r>
      <w:r w:rsidR="00D101EE">
        <w:rPr>
          <w:sz w:val="26"/>
          <w:szCs w:val="26"/>
          <w:lang w:val="fr-FR"/>
        </w:rPr>
        <w:t xml:space="preserve"> instaurer, dans les périodes post</w:t>
      </w:r>
      <w:r w:rsidR="00EF5AB6">
        <w:rPr>
          <w:sz w:val="26"/>
          <w:szCs w:val="26"/>
          <w:lang w:val="fr-FR"/>
        </w:rPr>
        <w:t>-</w:t>
      </w:r>
      <w:r w:rsidR="00D101EE">
        <w:rPr>
          <w:sz w:val="26"/>
          <w:szCs w:val="26"/>
          <w:lang w:val="fr-FR"/>
        </w:rPr>
        <w:t>conflictuelles, des plans de reconstruction du système judiciaire et de rétablissement de l’Etat de droit sur l’ensemble des territoires des pays concernés, en faisant appel notamment à l’assistance technique des institutions compétentes des Nations Unie</w:t>
      </w:r>
      <w:r w:rsidR="00EF5AB6">
        <w:rPr>
          <w:sz w:val="26"/>
          <w:szCs w:val="26"/>
          <w:lang w:val="fr-FR"/>
        </w:rPr>
        <w:t>s.</w:t>
      </w:r>
    </w:p>
    <w:p w:rsidR="00EF5AB6" w:rsidRDefault="00EF5AB6" w:rsidP="00EF5AB6">
      <w:pPr>
        <w:widowControl/>
        <w:jc w:val="both"/>
        <w:rPr>
          <w:sz w:val="26"/>
          <w:szCs w:val="26"/>
          <w:lang w:val="fr-FR"/>
        </w:rPr>
      </w:pPr>
      <w:r>
        <w:rPr>
          <w:sz w:val="26"/>
          <w:szCs w:val="26"/>
          <w:lang w:val="fr-FR"/>
        </w:rPr>
        <w:t xml:space="preserve">                                     * * *</w:t>
      </w:r>
    </w:p>
    <w:p w:rsidR="00266CC9" w:rsidRDefault="00043B30" w:rsidP="00EF5AB6">
      <w:pPr>
        <w:widowControl/>
        <w:jc w:val="both"/>
        <w:rPr>
          <w:sz w:val="26"/>
          <w:szCs w:val="26"/>
          <w:lang w:val="fr-FR"/>
        </w:rPr>
      </w:pPr>
      <w:r>
        <w:rPr>
          <w:sz w:val="26"/>
          <w:szCs w:val="26"/>
          <w:lang w:val="fr-FR"/>
        </w:rPr>
        <w:t xml:space="preserve">     </w:t>
      </w:r>
    </w:p>
    <w:p w:rsidR="00043B30" w:rsidRDefault="00043B30" w:rsidP="00EF5AB6">
      <w:pPr>
        <w:widowControl/>
        <w:jc w:val="both"/>
        <w:rPr>
          <w:sz w:val="26"/>
          <w:szCs w:val="26"/>
          <w:lang w:val="fr-FR"/>
        </w:rPr>
      </w:pPr>
      <w:r>
        <w:rPr>
          <w:sz w:val="26"/>
          <w:szCs w:val="26"/>
          <w:lang w:val="fr-FR"/>
        </w:rPr>
        <w:t>2-</w:t>
      </w:r>
      <w:r w:rsidRPr="00043B30">
        <w:rPr>
          <w:sz w:val="26"/>
          <w:szCs w:val="26"/>
          <w:u w:val="single"/>
          <w:lang w:val="fr-FR"/>
        </w:rPr>
        <w:t xml:space="preserve"> Les mesures destinées à la protection des « victimes » pour prévenir les discriminations raciales qu’elles peuvent re</w:t>
      </w:r>
      <w:r w:rsidR="00277762">
        <w:rPr>
          <w:sz w:val="26"/>
          <w:szCs w:val="26"/>
          <w:u w:val="single"/>
          <w:lang w:val="fr-FR"/>
        </w:rPr>
        <w:t>ncontrer dans le fonctionnement de</w:t>
      </w:r>
      <w:r w:rsidRPr="00043B30">
        <w:rPr>
          <w:sz w:val="26"/>
          <w:szCs w:val="26"/>
          <w:u w:val="single"/>
          <w:lang w:val="fr-FR"/>
        </w:rPr>
        <w:t xml:space="preserve"> la justice pénale</w:t>
      </w:r>
      <w:r>
        <w:rPr>
          <w:sz w:val="26"/>
          <w:szCs w:val="26"/>
          <w:lang w:val="fr-FR"/>
        </w:rPr>
        <w:t> :</w:t>
      </w:r>
    </w:p>
    <w:p w:rsidR="00DA1CEB" w:rsidRDefault="00DA1CEB" w:rsidP="00EF5AB6">
      <w:pPr>
        <w:widowControl/>
        <w:jc w:val="both"/>
        <w:rPr>
          <w:sz w:val="26"/>
          <w:szCs w:val="26"/>
          <w:lang w:val="fr-FR"/>
        </w:rPr>
      </w:pPr>
    </w:p>
    <w:p w:rsidR="00DA1CEB" w:rsidRDefault="00DA1CEB" w:rsidP="00EF5AB6">
      <w:pPr>
        <w:widowControl/>
        <w:jc w:val="both"/>
        <w:rPr>
          <w:sz w:val="26"/>
          <w:szCs w:val="26"/>
          <w:lang w:val="fr-FR"/>
        </w:rPr>
      </w:pPr>
      <w:r>
        <w:rPr>
          <w:sz w:val="26"/>
          <w:szCs w:val="26"/>
          <w:lang w:val="fr-FR"/>
        </w:rPr>
        <w:t>La Recommandation Générale indique ici les mesures à prendre pour protéger les victimes à chacun des stades de la procédure :</w:t>
      </w:r>
    </w:p>
    <w:p w:rsidR="00DA1CEB" w:rsidRDefault="00DA1CEB" w:rsidP="00EF5AB6">
      <w:pPr>
        <w:widowControl/>
        <w:jc w:val="both"/>
        <w:rPr>
          <w:sz w:val="26"/>
          <w:szCs w:val="26"/>
          <w:lang w:val="fr-FR"/>
        </w:rPr>
      </w:pPr>
    </w:p>
    <w:p w:rsidR="00D101EE" w:rsidRDefault="00DA1CEB" w:rsidP="00DA1CEB">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 </w:t>
      </w:r>
      <w:r w:rsidRPr="008662A7">
        <w:rPr>
          <w:sz w:val="26"/>
          <w:szCs w:val="26"/>
          <w:u w:val="single"/>
          <w:lang w:val="fr-FR"/>
        </w:rPr>
        <w:t>Au stade de l’accès au droit et à la justice</w:t>
      </w:r>
      <w:r>
        <w:rPr>
          <w:sz w:val="26"/>
          <w:szCs w:val="26"/>
          <w:lang w:val="fr-FR"/>
        </w:rPr>
        <w:t xml:space="preserve">, il est demandé notamment aux Etats </w:t>
      </w:r>
    </w:p>
    <w:p w:rsidR="00D101EE" w:rsidRDefault="00D101EE" w:rsidP="008662A7">
      <w:pPr>
        <w:widowControl/>
        <w:jc w:val="both"/>
        <w:rPr>
          <w:sz w:val="26"/>
          <w:szCs w:val="26"/>
          <w:lang w:val="fr-FR"/>
        </w:rPr>
      </w:pPr>
      <w:r>
        <w:rPr>
          <w:sz w:val="26"/>
          <w:szCs w:val="26"/>
          <w:lang w:val="fr-FR"/>
        </w:rPr>
        <w:t>de prendre les mesures nécessaires pour fournir une information juridique aux personnes appartenant aux groupes sociaux les plu</w:t>
      </w:r>
      <w:r w:rsidR="00DA1CEB">
        <w:rPr>
          <w:sz w:val="26"/>
          <w:szCs w:val="26"/>
          <w:lang w:val="fr-FR"/>
        </w:rPr>
        <w:t xml:space="preserve">s vulnérables et de </w:t>
      </w:r>
      <w:r>
        <w:rPr>
          <w:sz w:val="26"/>
          <w:szCs w:val="26"/>
          <w:lang w:val="fr-FR"/>
        </w:rPr>
        <w:t>promouvoir dans les secteurs où vivent ces perso</w:t>
      </w:r>
      <w:r w:rsidR="008662A7">
        <w:rPr>
          <w:sz w:val="26"/>
          <w:szCs w:val="26"/>
          <w:lang w:val="fr-FR"/>
        </w:rPr>
        <w:t>nnes</w:t>
      </w:r>
      <w:r>
        <w:rPr>
          <w:sz w:val="26"/>
          <w:szCs w:val="26"/>
          <w:lang w:val="fr-FR"/>
        </w:rPr>
        <w:t xml:space="preserve"> des permanen</w:t>
      </w:r>
      <w:r w:rsidR="008662A7">
        <w:rPr>
          <w:sz w:val="26"/>
          <w:szCs w:val="26"/>
          <w:lang w:val="fr-FR"/>
        </w:rPr>
        <w:t>ces gratuites d’assistance et</w:t>
      </w:r>
      <w:r>
        <w:rPr>
          <w:sz w:val="26"/>
          <w:szCs w:val="26"/>
          <w:lang w:val="fr-FR"/>
        </w:rPr>
        <w:t xml:space="preserve"> conseil juridique, des centres d’information juri</w:t>
      </w:r>
      <w:r w:rsidR="008662A7">
        <w:rPr>
          <w:sz w:val="26"/>
          <w:szCs w:val="26"/>
          <w:lang w:val="fr-FR"/>
        </w:rPr>
        <w:t>dique, des maisons de justice,</w:t>
      </w:r>
      <w:r>
        <w:rPr>
          <w:sz w:val="26"/>
          <w:szCs w:val="26"/>
          <w:lang w:val="fr-FR"/>
        </w:rPr>
        <w:t xml:space="preserve"> des bou</w:t>
      </w:r>
      <w:r w:rsidR="008662A7">
        <w:rPr>
          <w:sz w:val="26"/>
          <w:szCs w:val="26"/>
          <w:lang w:val="fr-FR"/>
        </w:rPr>
        <w:t>tiques du droit ouverts à tous, ainsi qu’une coopération</w:t>
      </w:r>
      <w:r>
        <w:rPr>
          <w:sz w:val="26"/>
          <w:szCs w:val="26"/>
          <w:lang w:val="fr-FR"/>
        </w:rPr>
        <w:t xml:space="preserve"> avec les associations </w:t>
      </w:r>
      <w:r w:rsidR="008662A7">
        <w:rPr>
          <w:sz w:val="26"/>
          <w:szCs w:val="26"/>
          <w:lang w:val="fr-FR"/>
        </w:rPr>
        <w:t>d’avocats et</w:t>
      </w:r>
      <w:r>
        <w:rPr>
          <w:sz w:val="26"/>
          <w:szCs w:val="26"/>
          <w:lang w:val="fr-FR"/>
        </w:rPr>
        <w:t xml:space="preserve"> les organisations non gouvernementales spécialisées dans la défense des droits des communautés marginalisées et dans la prévention de la discrimination.</w:t>
      </w:r>
    </w:p>
    <w:p w:rsidR="00D101EE" w:rsidRDefault="00D101EE">
      <w:pPr>
        <w:widowControl/>
        <w:jc w:val="both"/>
        <w:rPr>
          <w:sz w:val="26"/>
          <w:szCs w:val="26"/>
          <w:lang w:val="fr-FR"/>
        </w:rPr>
      </w:pPr>
    </w:p>
    <w:p w:rsidR="00161171" w:rsidRDefault="008662A7" w:rsidP="00161171">
      <w:pPr>
        <w:widowControl/>
        <w:tabs>
          <w:tab w:val="left" w:pos="-1440"/>
        </w:tabs>
        <w:ind w:left="1440" w:hanging="720"/>
        <w:jc w:val="both"/>
        <w:rPr>
          <w:sz w:val="26"/>
          <w:szCs w:val="26"/>
          <w:lang w:val="fr-FR"/>
        </w:rPr>
      </w:pPr>
      <w:r>
        <w:rPr>
          <w:sz w:val="26"/>
          <w:szCs w:val="26"/>
          <w:lang w:val="fr-FR"/>
        </w:rPr>
        <w:t xml:space="preserve">= </w:t>
      </w:r>
      <w:r w:rsidRPr="00161171">
        <w:rPr>
          <w:sz w:val="26"/>
          <w:szCs w:val="26"/>
          <w:u w:val="single"/>
          <w:lang w:val="fr-FR"/>
        </w:rPr>
        <w:t>Au stade du recueil des plaintes</w:t>
      </w:r>
      <w:r w:rsidR="00161171" w:rsidRPr="00161171">
        <w:rPr>
          <w:sz w:val="26"/>
          <w:szCs w:val="26"/>
          <w:u w:val="single"/>
          <w:lang w:val="fr-FR"/>
        </w:rPr>
        <w:t xml:space="preserve">, </w:t>
      </w:r>
      <w:r w:rsidR="00161171" w:rsidRPr="00E45DBA">
        <w:rPr>
          <w:sz w:val="26"/>
          <w:szCs w:val="26"/>
          <w:lang w:val="fr-FR"/>
        </w:rPr>
        <w:t>les Etats sont priés par exemple :</w:t>
      </w:r>
    </w:p>
    <w:p w:rsidR="00266CC9" w:rsidRDefault="00266CC9" w:rsidP="00161171">
      <w:pPr>
        <w:widowControl/>
        <w:tabs>
          <w:tab w:val="left" w:pos="-1440"/>
        </w:tabs>
        <w:jc w:val="both"/>
        <w:rPr>
          <w:sz w:val="26"/>
          <w:szCs w:val="26"/>
          <w:u w:val="single"/>
          <w:lang w:val="fr-FR"/>
        </w:rPr>
      </w:pPr>
    </w:p>
    <w:p w:rsidR="00D101EE" w:rsidRDefault="00266CC9" w:rsidP="00161171">
      <w:pPr>
        <w:widowControl/>
        <w:tabs>
          <w:tab w:val="left" w:pos="-1440"/>
        </w:tabs>
        <w:jc w:val="both"/>
        <w:rPr>
          <w:sz w:val="26"/>
          <w:szCs w:val="26"/>
          <w:lang w:val="fr-FR"/>
        </w:rPr>
      </w:pPr>
      <w:r w:rsidRPr="00266CC9">
        <w:rPr>
          <w:sz w:val="26"/>
          <w:szCs w:val="26"/>
          <w:lang w:val="fr-FR"/>
        </w:rPr>
        <w:t xml:space="preserve">     </w:t>
      </w:r>
      <w:r>
        <w:rPr>
          <w:sz w:val="26"/>
          <w:szCs w:val="26"/>
          <w:lang w:val="fr-FR"/>
        </w:rPr>
        <w:t xml:space="preserve"> </w:t>
      </w:r>
      <w:r w:rsidR="00161171" w:rsidRPr="00161171">
        <w:rPr>
          <w:sz w:val="26"/>
          <w:szCs w:val="26"/>
          <w:lang w:val="fr-FR"/>
        </w:rPr>
        <w:t>- </w:t>
      </w:r>
      <w:r w:rsidR="00161171">
        <w:rPr>
          <w:sz w:val="26"/>
          <w:szCs w:val="26"/>
          <w:lang w:val="fr-FR"/>
        </w:rPr>
        <w:t xml:space="preserve">de s’assurer que les </w:t>
      </w:r>
      <w:r w:rsidR="005105A3">
        <w:rPr>
          <w:sz w:val="26"/>
          <w:szCs w:val="26"/>
          <w:lang w:val="fr-FR"/>
        </w:rPr>
        <w:t>services de police soient</w:t>
      </w:r>
      <w:r w:rsidR="00D101EE">
        <w:rPr>
          <w:sz w:val="26"/>
          <w:szCs w:val="26"/>
          <w:lang w:val="fr-FR"/>
        </w:rPr>
        <w:t xml:space="preserve"> suffisamment présents et accessibles dans les quartiers, les région</w:t>
      </w:r>
      <w:r w:rsidR="00E45DBA">
        <w:rPr>
          <w:sz w:val="26"/>
          <w:szCs w:val="26"/>
          <w:lang w:val="fr-FR"/>
        </w:rPr>
        <w:t>s</w:t>
      </w:r>
      <w:r w:rsidR="00D101EE">
        <w:rPr>
          <w:sz w:val="26"/>
          <w:szCs w:val="26"/>
          <w:lang w:val="fr-FR"/>
        </w:rPr>
        <w:t xml:space="preserve"> ou les camps où vivent les personnes appartenant aux groupes raciaux ou ethniques défavorisés, afin que les plaintes de ces personnes puissent être dûment recueillies ;</w:t>
      </w:r>
    </w:p>
    <w:p w:rsidR="00D101EE" w:rsidRPr="00E45DBA" w:rsidRDefault="00266CC9" w:rsidP="00E45DBA">
      <w:pPr>
        <w:widowControl/>
        <w:jc w:val="both"/>
        <w:rPr>
          <w:sz w:val="26"/>
          <w:szCs w:val="26"/>
          <w:lang w:val="fr-FR"/>
        </w:rPr>
      </w:pPr>
      <w:r>
        <w:rPr>
          <w:sz w:val="26"/>
          <w:szCs w:val="26"/>
          <w:lang w:val="fr-FR"/>
        </w:rPr>
        <w:t xml:space="preserve">      </w:t>
      </w:r>
      <w:r w:rsidR="00E45DBA">
        <w:rPr>
          <w:sz w:val="26"/>
          <w:szCs w:val="26"/>
          <w:lang w:val="fr-FR"/>
        </w:rPr>
        <w:t>-</w:t>
      </w:r>
      <w:r w:rsidR="00E45DBA" w:rsidRPr="00E45DBA">
        <w:rPr>
          <w:sz w:val="26"/>
          <w:szCs w:val="26"/>
          <w:lang w:val="fr-FR"/>
        </w:rPr>
        <w:t>d</w:t>
      </w:r>
      <w:r w:rsidR="005105A3">
        <w:rPr>
          <w:sz w:val="26"/>
          <w:szCs w:val="26"/>
          <w:lang w:val="fr-FR"/>
        </w:rPr>
        <w:t xml:space="preserve">e </w:t>
      </w:r>
      <w:r w:rsidR="00E45DBA" w:rsidRPr="00E45DBA">
        <w:rPr>
          <w:sz w:val="26"/>
          <w:szCs w:val="26"/>
          <w:lang w:val="fr-FR"/>
        </w:rPr>
        <w:t>veiller</w:t>
      </w:r>
      <w:r w:rsidR="00E45DBA">
        <w:rPr>
          <w:sz w:val="26"/>
          <w:szCs w:val="26"/>
          <w:lang w:val="fr-FR"/>
        </w:rPr>
        <w:t xml:space="preserve"> à ce que</w:t>
      </w:r>
      <w:r w:rsidR="00D101EE" w:rsidRPr="00E45DBA">
        <w:rPr>
          <w:sz w:val="26"/>
          <w:szCs w:val="26"/>
          <w:lang w:val="fr-FR"/>
        </w:rPr>
        <w:t xml:space="preserve"> les victimes d’actes de racisme soient accueillies de façon satisfaisante dans le</w:t>
      </w:r>
      <w:r w:rsidR="00E45DBA">
        <w:rPr>
          <w:sz w:val="26"/>
          <w:szCs w:val="26"/>
          <w:lang w:val="fr-FR"/>
        </w:rPr>
        <w:t xml:space="preserve">s commissariats de police, à ce </w:t>
      </w:r>
      <w:r w:rsidR="00D101EE" w:rsidRPr="00E45DBA">
        <w:rPr>
          <w:sz w:val="26"/>
          <w:szCs w:val="26"/>
          <w:lang w:val="fr-FR"/>
        </w:rPr>
        <w:t>que les plaintes soient e</w:t>
      </w:r>
      <w:r w:rsidR="00E45DBA">
        <w:rPr>
          <w:sz w:val="26"/>
          <w:szCs w:val="26"/>
          <w:lang w:val="fr-FR"/>
        </w:rPr>
        <w:t xml:space="preserve">nregistrées immédiatement, à ce </w:t>
      </w:r>
      <w:r w:rsidR="00D101EE" w:rsidRPr="00E45DBA">
        <w:rPr>
          <w:sz w:val="26"/>
          <w:szCs w:val="26"/>
          <w:lang w:val="fr-FR"/>
        </w:rPr>
        <w:t>que les enquêtes</w:t>
      </w:r>
      <w:r w:rsidR="00E45DBA">
        <w:rPr>
          <w:sz w:val="26"/>
          <w:szCs w:val="26"/>
          <w:lang w:val="fr-FR"/>
        </w:rPr>
        <w:t xml:space="preserve"> soient diligentées sans retard</w:t>
      </w:r>
      <w:r w:rsidR="00D101EE" w:rsidRPr="00E45DBA">
        <w:rPr>
          <w:sz w:val="26"/>
          <w:szCs w:val="26"/>
          <w:lang w:val="fr-FR"/>
        </w:rPr>
        <w:t xml:space="preserve"> de manière ef</w:t>
      </w:r>
      <w:r w:rsidR="005105A3">
        <w:rPr>
          <w:sz w:val="26"/>
          <w:szCs w:val="26"/>
          <w:lang w:val="fr-FR"/>
        </w:rPr>
        <w:t xml:space="preserve">fective et impartiale et à ce </w:t>
      </w:r>
      <w:r w:rsidR="00D101EE" w:rsidRPr="00E45DBA">
        <w:rPr>
          <w:sz w:val="26"/>
          <w:szCs w:val="26"/>
          <w:lang w:val="fr-FR"/>
        </w:rPr>
        <w:t>q</w:t>
      </w:r>
      <w:r w:rsidR="005105A3">
        <w:rPr>
          <w:sz w:val="26"/>
          <w:szCs w:val="26"/>
          <w:lang w:val="fr-FR"/>
        </w:rPr>
        <w:t>ue les dossiers concernant</w:t>
      </w:r>
      <w:r w:rsidR="00D101EE" w:rsidRPr="00E45DBA">
        <w:rPr>
          <w:sz w:val="26"/>
          <w:szCs w:val="26"/>
          <w:lang w:val="fr-FR"/>
        </w:rPr>
        <w:t xml:space="preserve"> des incidents racistes ou xénophobes soient conservés et exploités dans les bases de données ;</w:t>
      </w:r>
    </w:p>
    <w:p w:rsidR="00D101EE" w:rsidRDefault="00266CC9">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w:t>
      </w:r>
      <w:r w:rsidR="00D101EE">
        <w:rPr>
          <w:sz w:val="26"/>
          <w:szCs w:val="26"/>
          <w:lang w:val="fr-FR"/>
        </w:rPr>
        <w:t>-</w:t>
      </w:r>
      <w:r w:rsidR="005105A3">
        <w:rPr>
          <w:sz w:val="26"/>
          <w:szCs w:val="26"/>
          <w:lang w:val="fr-FR"/>
        </w:rPr>
        <w:t>de</w:t>
      </w:r>
      <w:r w:rsidR="00387938">
        <w:rPr>
          <w:sz w:val="26"/>
          <w:szCs w:val="26"/>
          <w:lang w:val="fr-FR"/>
        </w:rPr>
        <w:t xml:space="preserve"> faire sanctionner disciplinairement ou pénalement t</w:t>
      </w:r>
      <w:r w:rsidR="00D101EE">
        <w:rPr>
          <w:sz w:val="26"/>
          <w:szCs w:val="26"/>
          <w:lang w:val="fr-FR"/>
        </w:rPr>
        <w:t>out refus de recueillir une plainte pour un acte de racisme par un fonctionnaire d</w:t>
      </w:r>
      <w:r w:rsidR="00387938">
        <w:rPr>
          <w:sz w:val="26"/>
          <w:szCs w:val="26"/>
          <w:lang w:val="fr-FR"/>
        </w:rPr>
        <w:t>e police ;</w:t>
      </w:r>
    </w:p>
    <w:p w:rsidR="00D101EE" w:rsidRDefault="00266CC9" w:rsidP="00D23CC3">
      <w:pPr>
        <w:widowControl/>
        <w:jc w:val="both"/>
        <w:rPr>
          <w:sz w:val="26"/>
          <w:szCs w:val="26"/>
          <w:lang w:val="fr-FR"/>
        </w:rPr>
      </w:pPr>
      <w:r>
        <w:rPr>
          <w:sz w:val="26"/>
          <w:szCs w:val="26"/>
          <w:lang w:val="fr-FR"/>
        </w:rPr>
        <w:t xml:space="preserve">      </w:t>
      </w:r>
      <w:r w:rsidR="00D23CC3">
        <w:rPr>
          <w:sz w:val="26"/>
          <w:szCs w:val="26"/>
          <w:lang w:val="fr-FR"/>
        </w:rPr>
        <w:t>-de faire mener des enquêtes effectives e</w:t>
      </w:r>
      <w:r w:rsidR="00D101EE">
        <w:rPr>
          <w:sz w:val="26"/>
          <w:szCs w:val="26"/>
          <w:lang w:val="fr-FR"/>
        </w:rPr>
        <w:t>n</w:t>
      </w:r>
      <w:r w:rsidR="00D23CC3">
        <w:rPr>
          <w:sz w:val="26"/>
          <w:szCs w:val="26"/>
          <w:lang w:val="fr-FR"/>
        </w:rPr>
        <w:t xml:space="preserve"> cas d’allégations </w:t>
      </w:r>
      <w:r w:rsidR="00D101EE">
        <w:rPr>
          <w:sz w:val="26"/>
          <w:szCs w:val="26"/>
          <w:lang w:val="fr-FR"/>
        </w:rPr>
        <w:t>de mauvais traitements</w:t>
      </w:r>
      <w:r w:rsidR="00D23CC3">
        <w:rPr>
          <w:sz w:val="26"/>
          <w:szCs w:val="26"/>
          <w:lang w:val="fr-FR"/>
        </w:rPr>
        <w:t>, de tortures ou d’exécutions illégales,</w:t>
      </w:r>
      <w:r w:rsidR="00D101EE">
        <w:rPr>
          <w:sz w:val="26"/>
          <w:szCs w:val="26"/>
          <w:lang w:val="fr-FR"/>
        </w:rPr>
        <w:t xml:space="preserve"> conformément aux Principes des Nations Unies </w:t>
      </w:r>
      <w:r w:rsidR="00D23CC3">
        <w:rPr>
          <w:sz w:val="26"/>
          <w:szCs w:val="26"/>
          <w:lang w:val="fr-FR"/>
        </w:rPr>
        <w:t>en la matière.</w:t>
      </w:r>
    </w:p>
    <w:p w:rsidR="00D23CC3" w:rsidRDefault="00D23CC3" w:rsidP="00D23CC3">
      <w:pPr>
        <w:widowControl/>
        <w:tabs>
          <w:tab w:val="left" w:pos="-1440"/>
        </w:tabs>
        <w:jc w:val="both"/>
        <w:rPr>
          <w:sz w:val="26"/>
          <w:szCs w:val="26"/>
          <w:lang w:val="fr-FR"/>
        </w:rPr>
      </w:pPr>
    </w:p>
    <w:p w:rsidR="00D101EE" w:rsidRDefault="00D23CC3" w:rsidP="00056359">
      <w:pPr>
        <w:widowControl/>
        <w:tabs>
          <w:tab w:val="left" w:pos="-1440"/>
        </w:tabs>
        <w:jc w:val="both"/>
        <w:rPr>
          <w:sz w:val="26"/>
          <w:szCs w:val="26"/>
          <w:lang w:val="fr-FR"/>
        </w:rPr>
      </w:pPr>
      <w:r>
        <w:rPr>
          <w:sz w:val="26"/>
          <w:szCs w:val="26"/>
          <w:lang w:val="fr-FR"/>
        </w:rPr>
        <w:t xml:space="preserve">       = </w:t>
      </w:r>
      <w:r w:rsidRPr="00D23CC3">
        <w:rPr>
          <w:sz w:val="26"/>
          <w:szCs w:val="26"/>
          <w:u w:val="single"/>
          <w:lang w:val="fr-FR"/>
        </w:rPr>
        <w:t>Au stade de</w:t>
      </w:r>
      <w:r w:rsidR="00D101EE" w:rsidRPr="00D23CC3">
        <w:rPr>
          <w:sz w:val="26"/>
          <w:szCs w:val="26"/>
          <w:u w:val="single"/>
          <w:lang w:val="fr-FR"/>
        </w:rPr>
        <w:t xml:space="preserve"> la saisine de la justice</w:t>
      </w:r>
      <w:r w:rsidR="00056359">
        <w:rPr>
          <w:sz w:val="26"/>
          <w:szCs w:val="26"/>
          <w:u w:val="single"/>
          <w:lang w:val="fr-FR"/>
        </w:rPr>
        <w:t>,</w:t>
      </w:r>
      <w:r w:rsidR="00056359">
        <w:rPr>
          <w:sz w:val="26"/>
          <w:szCs w:val="26"/>
          <w:lang w:val="fr-FR"/>
        </w:rPr>
        <w:t xml:space="preserve"> </w:t>
      </w:r>
      <w:r w:rsidR="00784E5F">
        <w:rPr>
          <w:sz w:val="26"/>
          <w:szCs w:val="26"/>
          <w:lang w:val="fr-FR"/>
        </w:rPr>
        <w:t>il est recommandé en particulier :</w:t>
      </w:r>
    </w:p>
    <w:p w:rsidR="00D101EE" w:rsidRDefault="00D101EE" w:rsidP="00784E5F">
      <w:pPr>
        <w:widowControl/>
        <w:jc w:val="both"/>
        <w:rPr>
          <w:sz w:val="26"/>
          <w:szCs w:val="26"/>
          <w:lang w:val="fr-FR"/>
        </w:rPr>
      </w:pPr>
    </w:p>
    <w:p w:rsidR="00D101EE" w:rsidRDefault="00784E5F" w:rsidP="00784E5F">
      <w:pPr>
        <w:widowControl/>
        <w:jc w:val="both"/>
        <w:rPr>
          <w:sz w:val="26"/>
          <w:szCs w:val="26"/>
          <w:lang w:val="fr-FR"/>
        </w:rPr>
      </w:pPr>
      <w:r>
        <w:rPr>
          <w:sz w:val="26"/>
          <w:szCs w:val="26"/>
          <w:lang w:val="fr-FR"/>
        </w:rPr>
        <w:t xml:space="preserve">      -de prévoir l’</w:t>
      </w:r>
      <w:r w:rsidR="00D101EE">
        <w:rPr>
          <w:sz w:val="26"/>
          <w:szCs w:val="26"/>
          <w:lang w:val="fr-FR"/>
        </w:rPr>
        <w:t>octroi d’un statut procédural pour les victimes et les associations de défense des victimes du raci</w:t>
      </w:r>
      <w:r>
        <w:rPr>
          <w:sz w:val="26"/>
          <w:szCs w:val="26"/>
          <w:lang w:val="fr-FR"/>
        </w:rPr>
        <w:t>sme et la xénophobie, telle la</w:t>
      </w:r>
      <w:r w:rsidR="00D101EE">
        <w:rPr>
          <w:sz w:val="26"/>
          <w:szCs w:val="26"/>
          <w:lang w:val="fr-FR"/>
        </w:rPr>
        <w:t xml:space="preserve"> possibilité de se constituer partie civile ou d’autres modalités similaires, qui leur permettent de faire valoir leurs droits dans le procès</w:t>
      </w:r>
      <w:r>
        <w:rPr>
          <w:sz w:val="26"/>
          <w:szCs w:val="26"/>
          <w:lang w:val="fr-FR"/>
        </w:rPr>
        <w:t xml:space="preserve"> pénal, sans frais de leur part ;</w:t>
      </w:r>
    </w:p>
    <w:p w:rsidR="00D101EE" w:rsidRDefault="00266CC9" w:rsidP="00784E5F">
      <w:pPr>
        <w:widowControl/>
        <w:jc w:val="both"/>
        <w:rPr>
          <w:sz w:val="26"/>
          <w:szCs w:val="26"/>
          <w:lang w:val="fr-FR"/>
        </w:rPr>
      </w:pPr>
      <w:r>
        <w:rPr>
          <w:sz w:val="26"/>
          <w:szCs w:val="26"/>
          <w:lang w:val="fr-FR"/>
        </w:rPr>
        <w:t xml:space="preserve">       </w:t>
      </w:r>
      <w:r w:rsidR="00784E5F">
        <w:rPr>
          <w:sz w:val="26"/>
          <w:szCs w:val="26"/>
          <w:lang w:val="fr-FR"/>
        </w:rPr>
        <w:t xml:space="preserve">-de mettre à la disposition des victimes </w:t>
      </w:r>
      <w:r w:rsidR="00D101EE">
        <w:rPr>
          <w:sz w:val="26"/>
          <w:szCs w:val="26"/>
          <w:lang w:val="fr-FR"/>
        </w:rPr>
        <w:t>une aide juridictionnelle et judiciaire effective, comprenant le bénéfice de l’assistance gratuite d’un avocat et d’un interprète</w:t>
      </w:r>
      <w:r w:rsidR="00784E5F">
        <w:rPr>
          <w:sz w:val="26"/>
          <w:szCs w:val="26"/>
          <w:lang w:val="fr-FR"/>
        </w:rPr>
        <w:t> ;</w:t>
      </w:r>
    </w:p>
    <w:p w:rsidR="00D101EE" w:rsidRDefault="00D101EE">
      <w:pPr>
        <w:widowControl/>
        <w:ind w:firstLine="720"/>
        <w:jc w:val="both"/>
        <w:rPr>
          <w:sz w:val="26"/>
          <w:szCs w:val="26"/>
          <w:lang w:val="fr-FR"/>
        </w:rPr>
        <w:sectPr w:rsidR="00D101EE">
          <w:type w:val="continuous"/>
          <w:pgSz w:w="11905" w:h="16837"/>
          <w:pgMar w:top="1440" w:right="1440" w:bottom="1440" w:left="1440" w:header="1440" w:footer="1440" w:gutter="0"/>
          <w:cols w:space="720"/>
          <w:noEndnote/>
        </w:sectPr>
      </w:pPr>
    </w:p>
    <w:p w:rsidR="00D101EE" w:rsidRDefault="00784E5F" w:rsidP="00784E5F">
      <w:pPr>
        <w:widowControl/>
        <w:ind w:firstLine="720"/>
        <w:jc w:val="both"/>
        <w:rPr>
          <w:sz w:val="26"/>
          <w:szCs w:val="26"/>
          <w:lang w:val="fr-FR"/>
        </w:rPr>
      </w:pPr>
      <w:r>
        <w:rPr>
          <w:sz w:val="26"/>
          <w:szCs w:val="26"/>
          <w:lang w:val="fr-FR"/>
        </w:rPr>
        <w:t>-d’assurer une protection pour les</w:t>
      </w:r>
      <w:r w:rsidR="00D101EE">
        <w:rPr>
          <w:sz w:val="26"/>
          <w:szCs w:val="26"/>
          <w:lang w:val="fr-FR"/>
        </w:rPr>
        <w:t xml:space="preserve"> victime</w:t>
      </w:r>
      <w:r>
        <w:rPr>
          <w:sz w:val="26"/>
          <w:szCs w:val="26"/>
          <w:lang w:val="fr-FR"/>
        </w:rPr>
        <w:t>s ou leurs</w:t>
      </w:r>
      <w:r w:rsidR="00D101EE">
        <w:rPr>
          <w:sz w:val="26"/>
          <w:szCs w:val="26"/>
          <w:lang w:val="fr-FR"/>
        </w:rPr>
        <w:t xml:space="preserve"> proches contre toute forme d’</w:t>
      </w:r>
      <w:r>
        <w:rPr>
          <w:sz w:val="26"/>
          <w:szCs w:val="26"/>
          <w:lang w:val="fr-FR"/>
        </w:rPr>
        <w:t>intimidation ou de représailles ;</w:t>
      </w:r>
    </w:p>
    <w:p w:rsidR="00D101EE" w:rsidRDefault="005C79C4" w:rsidP="005C79C4">
      <w:pPr>
        <w:widowControl/>
        <w:jc w:val="both"/>
        <w:rPr>
          <w:sz w:val="26"/>
          <w:szCs w:val="26"/>
          <w:lang w:val="fr-FR"/>
        </w:rPr>
      </w:pPr>
      <w:r>
        <w:rPr>
          <w:sz w:val="26"/>
          <w:szCs w:val="26"/>
          <w:lang w:val="fr-FR"/>
        </w:rPr>
        <w:t xml:space="preserve">       -de</w:t>
      </w:r>
      <w:r w:rsidR="00784E5F">
        <w:rPr>
          <w:sz w:val="26"/>
          <w:szCs w:val="26"/>
          <w:lang w:val="fr-FR"/>
        </w:rPr>
        <w:t xml:space="preserve"> veiller à ce que </w:t>
      </w:r>
      <w:r>
        <w:rPr>
          <w:sz w:val="26"/>
          <w:szCs w:val="26"/>
          <w:lang w:val="fr-FR"/>
        </w:rPr>
        <w:t xml:space="preserve">soient ouverts à toutes les victimes </w:t>
      </w:r>
      <w:r w:rsidR="00784E5F">
        <w:rPr>
          <w:sz w:val="26"/>
          <w:szCs w:val="26"/>
          <w:lang w:val="fr-FR"/>
        </w:rPr>
        <w:t>l</w:t>
      </w:r>
      <w:r>
        <w:rPr>
          <w:sz w:val="26"/>
          <w:szCs w:val="26"/>
          <w:lang w:val="fr-FR"/>
        </w:rPr>
        <w:t>es mécanismes d’aide et d’indemnisation prévus pour elles,</w:t>
      </w:r>
      <w:r w:rsidR="00D101EE">
        <w:rPr>
          <w:sz w:val="26"/>
          <w:szCs w:val="26"/>
          <w:lang w:val="fr-FR"/>
        </w:rPr>
        <w:t xml:space="preserve"> sans aucune discrimination et indépendamment de leur nationalité ou de leur statut de résident.</w:t>
      </w:r>
    </w:p>
    <w:p w:rsidR="003878A3" w:rsidRDefault="003878A3" w:rsidP="003878A3">
      <w:pPr>
        <w:widowControl/>
        <w:tabs>
          <w:tab w:val="left" w:pos="-1440"/>
        </w:tabs>
        <w:jc w:val="both"/>
        <w:rPr>
          <w:sz w:val="26"/>
          <w:szCs w:val="26"/>
          <w:lang w:val="fr-FR"/>
        </w:rPr>
      </w:pPr>
    </w:p>
    <w:p w:rsidR="00D101EE" w:rsidRDefault="003878A3" w:rsidP="00E8330A">
      <w:pPr>
        <w:widowControl/>
        <w:tabs>
          <w:tab w:val="left" w:pos="-1440"/>
        </w:tabs>
        <w:jc w:val="both"/>
        <w:rPr>
          <w:sz w:val="26"/>
          <w:szCs w:val="26"/>
          <w:lang w:val="fr-FR"/>
        </w:rPr>
      </w:pPr>
      <w:r>
        <w:rPr>
          <w:sz w:val="26"/>
          <w:szCs w:val="26"/>
          <w:lang w:val="fr-FR"/>
        </w:rPr>
        <w:t xml:space="preserve">     = </w:t>
      </w:r>
      <w:r w:rsidRPr="003878A3">
        <w:rPr>
          <w:sz w:val="26"/>
          <w:szCs w:val="26"/>
          <w:u w:val="single"/>
          <w:lang w:val="fr-FR"/>
        </w:rPr>
        <w:t>Au stade du</w:t>
      </w:r>
      <w:r w:rsidR="00D101EE" w:rsidRPr="003878A3">
        <w:rPr>
          <w:sz w:val="26"/>
          <w:szCs w:val="26"/>
          <w:u w:val="single"/>
          <w:lang w:val="fr-FR"/>
        </w:rPr>
        <w:t xml:space="preserve"> déroulement du procès</w:t>
      </w:r>
      <w:r>
        <w:rPr>
          <w:sz w:val="26"/>
          <w:szCs w:val="26"/>
          <w:lang w:val="fr-FR"/>
        </w:rPr>
        <w:t>,</w:t>
      </w:r>
      <w:r w:rsidR="00D101EE" w:rsidRPr="005C79C4">
        <w:rPr>
          <w:sz w:val="26"/>
          <w:szCs w:val="26"/>
          <w:lang w:val="fr-FR"/>
        </w:rPr>
        <w:t xml:space="preserve"> </w:t>
      </w:r>
      <w:r>
        <w:rPr>
          <w:sz w:val="26"/>
          <w:szCs w:val="26"/>
          <w:lang w:val="fr-FR"/>
        </w:rPr>
        <w:t>les Etats sont invités à a</w:t>
      </w:r>
      <w:r w:rsidR="00D101EE">
        <w:rPr>
          <w:sz w:val="26"/>
          <w:szCs w:val="26"/>
          <w:lang w:val="fr-FR"/>
        </w:rPr>
        <w:t>ccorder une place su</w:t>
      </w:r>
      <w:r>
        <w:rPr>
          <w:sz w:val="26"/>
          <w:szCs w:val="26"/>
          <w:lang w:val="fr-FR"/>
        </w:rPr>
        <w:t>ffisante à la victime, à ses proches et aux témoins</w:t>
      </w:r>
      <w:r w:rsidR="00D101EE">
        <w:rPr>
          <w:sz w:val="26"/>
          <w:szCs w:val="26"/>
          <w:lang w:val="fr-FR"/>
        </w:rPr>
        <w:t xml:space="preserve"> tout au long de la procédure, en permettant au plaignant d’être entendu par les juges dans le cadre de l’instruction et à l’audience, d’avoir accès aux informations, d’être confronté aux témoins qui lui sont défavorables, de contester les preuves, d’être informé sur la marche de la procédure</w:t>
      </w:r>
      <w:r>
        <w:rPr>
          <w:sz w:val="26"/>
          <w:szCs w:val="26"/>
          <w:lang w:val="fr-FR"/>
        </w:rPr>
        <w:t>, de bénéficier d’une réparation juste et adéquate pour les préjudices subis, le tout dans un délai raisonnable</w:t>
      </w:r>
      <w:r w:rsidR="00FF0A74">
        <w:rPr>
          <w:sz w:val="26"/>
          <w:szCs w:val="26"/>
          <w:lang w:val="fr-FR"/>
        </w:rPr>
        <w:t xml:space="preserve">, </w:t>
      </w:r>
      <w:r>
        <w:rPr>
          <w:sz w:val="26"/>
          <w:szCs w:val="26"/>
          <w:lang w:val="fr-FR"/>
        </w:rPr>
        <w:t>sans discrimination ni préjugé et dans le respect</w:t>
      </w:r>
      <w:r w:rsidR="00E8330A">
        <w:rPr>
          <w:sz w:val="26"/>
          <w:szCs w:val="26"/>
          <w:lang w:val="fr-FR"/>
        </w:rPr>
        <w:t xml:space="preserve"> de la dignité due aux </w:t>
      </w:r>
      <w:r w:rsidR="00FF0A74">
        <w:rPr>
          <w:sz w:val="26"/>
          <w:szCs w:val="26"/>
          <w:lang w:val="fr-FR"/>
        </w:rPr>
        <w:t xml:space="preserve"> victimes de discriminations raciales</w:t>
      </w:r>
      <w:r w:rsidR="00E8330A">
        <w:rPr>
          <w:sz w:val="26"/>
          <w:szCs w:val="26"/>
          <w:lang w:val="fr-FR"/>
        </w:rPr>
        <w:t>.</w:t>
      </w:r>
    </w:p>
    <w:p w:rsidR="00D101EE" w:rsidRDefault="00D101EE">
      <w:pPr>
        <w:widowControl/>
        <w:jc w:val="both"/>
        <w:rPr>
          <w:sz w:val="26"/>
          <w:szCs w:val="26"/>
          <w:lang w:val="fr-FR"/>
        </w:rPr>
      </w:pPr>
    </w:p>
    <w:p w:rsidR="00D101EE" w:rsidRDefault="00D101EE">
      <w:pPr>
        <w:widowControl/>
        <w:jc w:val="both"/>
        <w:rPr>
          <w:sz w:val="26"/>
          <w:szCs w:val="26"/>
          <w:lang w:val="fr-FR"/>
        </w:rPr>
      </w:pPr>
    </w:p>
    <w:p w:rsidR="00D101EE" w:rsidRDefault="00D101EE">
      <w:pPr>
        <w:widowControl/>
        <w:jc w:val="both"/>
        <w:rPr>
          <w:sz w:val="26"/>
          <w:szCs w:val="26"/>
          <w:lang w:val="fr-FR"/>
        </w:rPr>
      </w:pPr>
    </w:p>
    <w:p w:rsidR="00D101EE" w:rsidRDefault="00D101EE">
      <w:pPr>
        <w:widowControl/>
        <w:jc w:val="center"/>
        <w:rPr>
          <w:sz w:val="26"/>
          <w:szCs w:val="26"/>
          <w:lang w:val="fr-FR"/>
        </w:rPr>
      </w:pPr>
      <w:r>
        <w:rPr>
          <w:sz w:val="26"/>
          <w:szCs w:val="26"/>
          <w:lang w:val="fr-FR"/>
        </w:rPr>
        <w:t>*   *   *</w:t>
      </w:r>
    </w:p>
    <w:p w:rsidR="00D101EE" w:rsidRDefault="00D101EE">
      <w:pPr>
        <w:widowControl/>
        <w:jc w:val="both"/>
        <w:rPr>
          <w:sz w:val="26"/>
          <w:szCs w:val="26"/>
          <w:lang w:val="fr-FR"/>
        </w:rPr>
      </w:pPr>
    </w:p>
    <w:p w:rsidR="00D101EE" w:rsidRPr="005378BD" w:rsidRDefault="00B51590" w:rsidP="005378BD">
      <w:pPr>
        <w:pStyle w:val="ListParagraph"/>
        <w:widowControl/>
        <w:numPr>
          <w:ilvl w:val="0"/>
          <w:numId w:val="23"/>
        </w:numPr>
        <w:jc w:val="both"/>
        <w:rPr>
          <w:sz w:val="26"/>
          <w:szCs w:val="26"/>
          <w:lang w:val="fr-FR"/>
        </w:rPr>
      </w:pPr>
      <w:r w:rsidRPr="005378BD">
        <w:rPr>
          <w:sz w:val="26"/>
          <w:szCs w:val="26"/>
          <w:u w:val="single"/>
          <w:lang w:val="fr-FR"/>
        </w:rPr>
        <w:t>Les mesures destinées aux « personnes poursuivies en justice » pour prévenir les discrimination</w:t>
      </w:r>
      <w:r w:rsidR="00706001" w:rsidRPr="005378BD">
        <w:rPr>
          <w:sz w:val="26"/>
          <w:szCs w:val="26"/>
          <w:u w:val="single"/>
          <w:lang w:val="fr-FR"/>
        </w:rPr>
        <w:t>s</w:t>
      </w:r>
      <w:r w:rsidRPr="005378BD">
        <w:rPr>
          <w:sz w:val="26"/>
          <w:szCs w:val="26"/>
          <w:u w:val="single"/>
          <w:lang w:val="fr-FR"/>
        </w:rPr>
        <w:t xml:space="preserve"> raciale</w:t>
      </w:r>
      <w:r w:rsidR="00706001" w:rsidRPr="005378BD">
        <w:rPr>
          <w:sz w:val="26"/>
          <w:szCs w:val="26"/>
          <w:u w:val="single"/>
          <w:lang w:val="fr-FR"/>
        </w:rPr>
        <w:t>s</w:t>
      </w:r>
      <w:r w:rsidRPr="005378BD">
        <w:rPr>
          <w:sz w:val="26"/>
          <w:szCs w:val="26"/>
          <w:u w:val="single"/>
          <w:lang w:val="fr-FR"/>
        </w:rPr>
        <w:t xml:space="preserve"> dont elles peuvent être l’objet</w:t>
      </w:r>
      <w:r w:rsidR="00706001" w:rsidRPr="005378BD">
        <w:rPr>
          <w:sz w:val="26"/>
          <w:szCs w:val="26"/>
          <w:u w:val="single"/>
          <w:lang w:val="fr-FR"/>
        </w:rPr>
        <w:t xml:space="preserve"> dans le fonctionnement de la justice pénale </w:t>
      </w:r>
      <w:r w:rsidR="00706001" w:rsidRPr="005378BD">
        <w:rPr>
          <w:sz w:val="26"/>
          <w:szCs w:val="26"/>
          <w:lang w:val="fr-FR"/>
        </w:rPr>
        <w:t>:</w:t>
      </w:r>
      <w:r w:rsidRPr="005378BD">
        <w:rPr>
          <w:sz w:val="26"/>
          <w:szCs w:val="26"/>
          <w:lang w:val="fr-FR"/>
        </w:rPr>
        <w:t xml:space="preserve"> </w:t>
      </w:r>
    </w:p>
    <w:p w:rsidR="00D101EE" w:rsidRDefault="00D101EE">
      <w:pPr>
        <w:widowControl/>
        <w:jc w:val="both"/>
        <w:rPr>
          <w:sz w:val="26"/>
          <w:szCs w:val="26"/>
          <w:lang w:val="fr-FR"/>
        </w:rPr>
      </w:pPr>
    </w:p>
    <w:p w:rsidR="00D101EE" w:rsidRDefault="00706001" w:rsidP="00706001">
      <w:pPr>
        <w:widowControl/>
        <w:jc w:val="both"/>
        <w:rPr>
          <w:sz w:val="26"/>
          <w:szCs w:val="26"/>
          <w:lang w:val="fr-FR"/>
        </w:rPr>
      </w:pPr>
      <w:r>
        <w:rPr>
          <w:sz w:val="26"/>
          <w:szCs w:val="26"/>
          <w:lang w:val="fr-FR"/>
        </w:rPr>
        <w:t>S’agissant des personnes poursuivies en justice</w:t>
      </w:r>
      <w:r w:rsidR="00D76A31">
        <w:rPr>
          <w:sz w:val="26"/>
          <w:szCs w:val="26"/>
          <w:lang w:val="fr-FR"/>
        </w:rPr>
        <w:t xml:space="preserve"> ou des « prévenus »</w:t>
      </w:r>
      <w:r>
        <w:rPr>
          <w:sz w:val="26"/>
          <w:szCs w:val="26"/>
          <w:lang w:val="fr-FR"/>
        </w:rPr>
        <w:t xml:space="preserve">, ici encore </w:t>
      </w:r>
      <w:r w:rsidR="00D101EE">
        <w:rPr>
          <w:sz w:val="26"/>
          <w:szCs w:val="26"/>
          <w:lang w:val="fr-FR"/>
        </w:rPr>
        <w:t>les mesures préconisées par la Recommandation généra</w:t>
      </w:r>
      <w:r>
        <w:rPr>
          <w:sz w:val="26"/>
          <w:szCs w:val="26"/>
          <w:lang w:val="fr-FR"/>
        </w:rPr>
        <w:t>le concernent chacun des stades</w:t>
      </w:r>
      <w:r w:rsidR="00D101EE">
        <w:rPr>
          <w:sz w:val="26"/>
          <w:szCs w:val="26"/>
          <w:lang w:val="fr-FR"/>
        </w:rPr>
        <w:t xml:space="preserve"> de la procédure :</w:t>
      </w:r>
    </w:p>
    <w:p w:rsidR="00D101EE" w:rsidRDefault="00C407F8" w:rsidP="00C407F8">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w:t>
      </w:r>
    </w:p>
    <w:p w:rsidR="00D101EE" w:rsidRDefault="00C407F8" w:rsidP="00C407F8">
      <w:pPr>
        <w:widowControl/>
        <w:jc w:val="both"/>
        <w:rPr>
          <w:sz w:val="26"/>
          <w:szCs w:val="26"/>
          <w:lang w:val="fr-FR"/>
        </w:rPr>
      </w:pPr>
      <w:r>
        <w:rPr>
          <w:sz w:val="26"/>
          <w:szCs w:val="26"/>
          <w:lang w:val="fr-FR"/>
        </w:rPr>
        <w:t xml:space="preserve">  </w:t>
      </w:r>
      <w:r w:rsidR="00C50BBB">
        <w:rPr>
          <w:sz w:val="26"/>
          <w:szCs w:val="26"/>
          <w:lang w:val="fr-FR"/>
        </w:rPr>
        <w:t xml:space="preserve">= </w:t>
      </w:r>
      <w:r w:rsidR="00C50BBB" w:rsidRPr="00C50BBB">
        <w:rPr>
          <w:sz w:val="26"/>
          <w:szCs w:val="26"/>
          <w:u w:val="single"/>
          <w:lang w:val="fr-FR"/>
        </w:rPr>
        <w:t xml:space="preserve">Au stade de </w:t>
      </w:r>
      <w:r w:rsidR="00D101EE" w:rsidRPr="00C50BBB">
        <w:rPr>
          <w:sz w:val="26"/>
          <w:szCs w:val="26"/>
          <w:u w:val="single"/>
          <w:lang w:val="fr-FR"/>
        </w:rPr>
        <w:t xml:space="preserve">l’interpellation, </w:t>
      </w:r>
      <w:r w:rsidR="00C50BBB" w:rsidRPr="00C50BBB">
        <w:rPr>
          <w:sz w:val="26"/>
          <w:szCs w:val="26"/>
          <w:u w:val="single"/>
          <w:lang w:val="fr-FR"/>
        </w:rPr>
        <w:t xml:space="preserve">de </w:t>
      </w:r>
      <w:r w:rsidR="00D101EE" w:rsidRPr="00C50BBB">
        <w:rPr>
          <w:sz w:val="26"/>
          <w:szCs w:val="26"/>
          <w:u w:val="single"/>
          <w:lang w:val="fr-FR"/>
        </w:rPr>
        <w:t xml:space="preserve">l’interrogatoire et </w:t>
      </w:r>
      <w:r w:rsidR="00C50BBB" w:rsidRPr="00C50BBB">
        <w:rPr>
          <w:sz w:val="26"/>
          <w:szCs w:val="26"/>
          <w:u w:val="single"/>
          <w:lang w:val="fr-FR"/>
        </w:rPr>
        <w:t xml:space="preserve">de </w:t>
      </w:r>
      <w:r w:rsidR="00D101EE" w:rsidRPr="00C50BBB">
        <w:rPr>
          <w:sz w:val="26"/>
          <w:szCs w:val="26"/>
          <w:u w:val="single"/>
          <w:lang w:val="fr-FR"/>
        </w:rPr>
        <w:t>l’arrestation des personnes</w:t>
      </w:r>
      <w:r w:rsidR="00D76A31">
        <w:rPr>
          <w:sz w:val="26"/>
          <w:szCs w:val="26"/>
          <w:lang w:val="fr-FR"/>
        </w:rPr>
        <w:t>, les Etats doivent notamment :</w:t>
      </w:r>
    </w:p>
    <w:p w:rsidR="00D76A31" w:rsidRDefault="00C407F8" w:rsidP="00D76A31">
      <w:pPr>
        <w:widowControl/>
        <w:jc w:val="both"/>
        <w:rPr>
          <w:sz w:val="26"/>
          <w:szCs w:val="26"/>
          <w:lang w:val="fr-FR"/>
        </w:rPr>
      </w:pPr>
      <w:r>
        <w:rPr>
          <w:sz w:val="26"/>
          <w:szCs w:val="26"/>
          <w:lang w:val="fr-FR"/>
        </w:rPr>
        <w:t xml:space="preserve">     </w:t>
      </w:r>
      <w:r w:rsidR="00D76A31">
        <w:rPr>
          <w:sz w:val="26"/>
          <w:szCs w:val="26"/>
          <w:lang w:val="fr-FR"/>
        </w:rPr>
        <w:t>-</w:t>
      </w:r>
      <w:r>
        <w:rPr>
          <w:sz w:val="26"/>
          <w:szCs w:val="26"/>
          <w:lang w:val="fr-FR"/>
        </w:rPr>
        <w:t xml:space="preserve"> p</w:t>
      </w:r>
      <w:r w:rsidR="00D101EE" w:rsidRPr="00D76A31">
        <w:rPr>
          <w:sz w:val="26"/>
          <w:szCs w:val="26"/>
          <w:lang w:val="fr-FR"/>
        </w:rPr>
        <w:t>rendre les mesures nécessaires pour exclure les interpellations, les arrestations et les fouilles fondées de facto exclusivement sur l’apparence physique de la personne, sa couleur, son faciès, son appartenance à une “minorité visible” ou à un groupe racial ou ethnique, ainsi que tout “profilage” qui l’exp</w:t>
      </w:r>
      <w:r w:rsidR="00D76A31">
        <w:rPr>
          <w:sz w:val="26"/>
          <w:szCs w:val="26"/>
          <w:lang w:val="fr-FR"/>
        </w:rPr>
        <w:t>ose à une plus grande suspicion ;</w:t>
      </w:r>
    </w:p>
    <w:p w:rsidR="00D76A31" w:rsidRDefault="00D76A31" w:rsidP="00D76A31">
      <w:pPr>
        <w:widowControl/>
        <w:jc w:val="both"/>
        <w:rPr>
          <w:sz w:val="26"/>
          <w:szCs w:val="26"/>
          <w:lang w:val="fr-FR"/>
        </w:rPr>
      </w:pPr>
      <w:r>
        <w:rPr>
          <w:sz w:val="26"/>
          <w:szCs w:val="26"/>
          <w:lang w:val="fr-FR"/>
        </w:rPr>
        <w:t xml:space="preserve">     -</w:t>
      </w:r>
      <w:r w:rsidR="00D101EE">
        <w:rPr>
          <w:sz w:val="26"/>
          <w:szCs w:val="26"/>
          <w:lang w:val="fr-FR"/>
        </w:rPr>
        <w:t xml:space="preserve"> prévenir et sanctionner avec une grande sévérité les v</w:t>
      </w:r>
      <w:r>
        <w:rPr>
          <w:sz w:val="26"/>
          <w:szCs w:val="26"/>
          <w:lang w:val="fr-FR"/>
        </w:rPr>
        <w:t>iolences,</w:t>
      </w:r>
      <w:r w:rsidR="00D101EE">
        <w:rPr>
          <w:sz w:val="26"/>
          <w:szCs w:val="26"/>
          <w:lang w:val="fr-FR"/>
        </w:rPr>
        <w:t xml:space="preserve"> les traitements cruels, inhumains ou dégradants et toutes les violations des droits de l’homme à l’encontre des personnes appartenant à des minorités raciales ou ethniques, </w:t>
      </w:r>
      <w:r>
        <w:rPr>
          <w:sz w:val="26"/>
          <w:szCs w:val="26"/>
          <w:lang w:val="fr-FR"/>
        </w:rPr>
        <w:t xml:space="preserve">en particulier </w:t>
      </w:r>
      <w:r w:rsidR="00D101EE">
        <w:rPr>
          <w:sz w:val="26"/>
          <w:szCs w:val="26"/>
          <w:lang w:val="fr-FR"/>
        </w:rPr>
        <w:t>lorsque ces actes sont commis par des agents</w:t>
      </w:r>
      <w:r>
        <w:rPr>
          <w:sz w:val="26"/>
          <w:szCs w:val="26"/>
          <w:lang w:val="fr-FR"/>
        </w:rPr>
        <w:t xml:space="preserve"> de l’Etat ;</w:t>
      </w:r>
    </w:p>
    <w:p w:rsidR="00437599" w:rsidRDefault="00D76A31" w:rsidP="00437599">
      <w:pPr>
        <w:widowControl/>
        <w:jc w:val="both"/>
        <w:rPr>
          <w:sz w:val="26"/>
          <w:szCs w:val="26"/>
          <w:lang w:val="fr-FR"/>
        </w:rPr>
      </w:pPr>
      <w:r>
        <w:rPr>
          <w:sz w:val="26"/>
          <w:szCs w:val="26"/>
          <w:lang w:val="fr-FR"/>
        </w:rPr>
        <w:t xml:space="preserve">     -</w:t>
      </w:r>
      <w:r w:rsidR="00C407F8">
        <w:rPr>
          <w:sz w:val="26"/>
          <w:szCs w:val="26"/>
          <w:lang w:val="fr-FR"/>
        </w:rPr>
        <w:t xml:space="preserve"> </w:t>
      </w:r>
      <w:r w:rsidR="00D101EE">
        <w:rPr>
          <w:sz w:val="26"/>
          <w:szCs w:val="26"/>
          <w:lang w:val="fr-FR"/>
        </w:rPr>
        <w:t>veiller à ce que soit respecté le principe général de proportionnalité et de stricte nécessité dans le recours à la force à l’encontre des personnes appartenant à des minorités raciales ou ethniques</w:t>
      </w:r>
      <w:r>
        <w:rPr>
          <w:sz w:val="26"/>
          <w:szCs w:val="26"/>
          <w:lang w:val="fr-FR"/>
        </w:rPr>
        <w:t> ;</w:t>
      </w:r>
    </w:p>
    <w:p w:rsidR="00D101EE" w:rsidRDefault="00437599" w:rsidP="00437599">
      <w:pPr>
        <w:widowControl/>
        <w:jc w:val="both"/>
        <w:rPr>
          <w:sz w:val="26"/>
          <w:szCs w:val="26"/>
          <w:lang w:val="fr-FR"/>
        </w:rPr>
      </w:pPr>
      <w:r>
        <w:rPr>
          <w:sz w:val="26"/>
          <w:szCs w:val="26"/>
          <w:lang w:val="fr-FR"/>
        </w:rPr>
        <w:t xml:space="preserve">     -</w:t>
      </w:r>
      <w:r w:rsidR="00D101EE">
        <w:rPr>
          <w:sz w:val="26"/>
          <w:szCs w:val="26"/>
          <w:lang w:val="fr-FR"/>
        </w:rPr>
        <w:t xml:space="preserve"> garantir à toute personne arrêtée, quelle que soit son appartenance raciale, nationale ou ethnique, la jouissance d</w:t>
      </w:r>
      <w:r w:rsidR="00F009D1">
        <w:rPr>
          <w:sz w:val="26"/>
          <w:szCs w:val="26"/>
          <w:lang w:val="fr-FR"/>
        </w:rPr>
        <w:t>e tous l</w:t>
      </w:r>
      <w:r w:rsidR="00D101EE">
        <w:rPr>
          <w:sz w:val="26"/>
          <w:szCs w:val="26"/>
          <w:lang w:val="fr-FR"/>
        </w:rPr>
        <w:t>es droits</w:t>
      </w:r>
      <w:r w:rsidR="00F009D1">
        <w:rPr>
          <w:sz w:val="26"/>
          <w:szCs w:val="26"/>
          <w:lang w:val="fr-FR"/>
        </w:rPr>
        <w:t xml:space="preserve"> procéduraux</w:t>
      </w:r>
      <w:r w:rsidR="00D101EE">
        <w:rPr>
          <w:sz w:val="26"/>
          <w:szCs w:val="26"/>
          <w:lang w:val="fr-FR"/>
        </w:rPr>
        <w:t xml:space="preserve"> </w:t>
      </w:r>
      <w:r w:rsidR="00F009D1">
        <w:rPr>
          <w:sz w:val="26"/>
          <w:szCs w:val="26"/>
          <w:lang w:val="fr-FR"/>
        </w:rPr>
        <w:t>consacrés par les Conventions internationales ;</w:t>
      </w:r>
    </w:p>
    <w:p w:rsidR="00D101EE" w:rsidRDefault="00F009D1">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 veiller à ce que l</w:t>
      </w:r>
      <w:r w:rsidR="00D101EE">
        <w:rPr>
          <w:sz w:val="26"/>
          <w:szCs w:val="26"/>
          <w:lang w:val="fr-FR"/>
        </w:rPr>
        <w:t>es personnes qui sont placées dans des centres de rétention administrative ou dans des zones d’attent</w:t>
      </w:r>
      <w:r>
        <w:rPr>
          <w:sz w:val="26"/>
          <w:szCs w:val="26"/>
          <w:lang w:val="fr-FR"/>
        </w:rPr>
        <w:t>e des aéroports</w:t>
      </w:r>
      <w:r w:rsidR="00D101EE">
        <w:rPr>
          <w:sz w:val="26"/>
          <w:szCs w:val="26"/>
          <w:lang w:val="fr-FR"/>
        </w:rPr>
        <w:t xml:space="preserve"> jouissent de conditio</w:t>
      </w:r>
      <w:r>
        <w:rPr>
          <w:sz w:val="26"/>
          <w:szCs w:val="26"/>
          <w:lang w:val="fr-FR"/>
        </w:rPr>
        <w:t>ns de vie suffisamment décentes</w:t>
      </w:r>
      <w:r w:rsidR="00266CC9">
        <w:rPr>
          <w:sz w:val="26"/>
          <w:szCs w:val="26"/>
          <w:lang w:val="fr-FR"/>
        </w:rPr>
        <w:t>.</w:t>
      </w:r>
    </w:p>
    <w:p w:rsidR="00D101EE" w:rsidRPr="00544E27" w:rsidRDefault="00266CC9" w:rsidP="00544E27">
      <w:pPr>
        <w:widowControl/>
        <w:jc w:val="both"/>
        <w:rPr>
          <w:sz w:val="26"/>
          <w:szCs w:val="26"/>
          <w:lang w:val="fr-FR"/>
        </w:rPr>
      </w:pPr>
      <w:r>
        <w:rPr>
          <w:sz w:val="26"/>
          <w:szCs w:val="26"/>
          <w:lang w:val="fr-FR"/>
        </w:rPr>
        <w:t xml:space="preserve">      </w:t>
      </w:r>
    </w:p>
    <w:p w:rsidR="006F1BD7" w:rsidRDefault="00CA73F7" w:rsidP="006F1BD7">
      <w:pPr>
        <w:widowControl/>
        <w:tabs>
          <w:tab w:val="left" w:pos="-1440"/>
        </w:tabs>
        <w:jc w:val="both"/>
        <w:rPr>
          <w:sz w:val="26"/>
          <w:szCs w:val="26"/>
          <w:lang w:val="fr-FR"/>
        </w:rPr>
      </w:pPr>
      <w:r>
        <w:rPr>
          <w:sz w:val="26"/>
          <w:szCs w:val="26"/>
          <w:lang w:val="fr-FR"/>
        </w:rPr>
        <w:t xml:space="preserve">    </w:t>
      </w:r>
      <w:r w:rsidR="005562B9">
        <w:rPr>
          <w:sz w:val="26"/>
          <w:szCs w:val="26"/>
          <w:lang w:val="fr-FR"/>
        </w:rPr>
        <w:t xml:space="preserve"> = </w:t>
      </w:r>
      <w:r w:rsidR="005562B9" w:rsidRPr="005562B9">
        <w:rPr>
          <w:sz w:val="26"/>
          <w:szCs w:val="26"/>
          <w:u w:val="single"/>
          <w:lang w:val="fr-FR"/>
        </w:rPr>
        <w:t>Au stade de la déte</w:t>
      </w:r>
      <w:r w:rsidR="00D101EE" w:rsidRPr="005562B9">
        <w:rPr>
          <w:sz w:val="26"/>
          <w:szCs w:val="26"/>
          <w:u w:val="single"/>
          <w:lang w:val="fr-FR"/>
        </w:rPr>
        <w:t>ntion provis</w:t>
      </w:r>
      <w:r w:rsidR="005562B9" w:rsidRPr="005562B9">
        <w:rPr>
          <w:sz w:val="26"/>
          <w:szCs w:val="26"/>
          <w:u w:val="single"/>
          <w:lang w:val="fr-FR"/>
        </w:rPr>
        <w:t>oire</w:t>
      </w:r>
      <w:r w:rsidR="00D101EE">
        <w:rPr>
          <w:sz w:val="26"/>
          <w:szCs w:val="26"/>
          <w:lang w:val="fr-FR"/>
        </w:rPr>
        <w:t>:</w:t>
      </w:r>
    </w:p>
    <w:p w:rsidR="00D101EE" w:rsidRDefault="006F1BD7" w:rsidP="006F1BD7">
      <w:pPr>
        <w:widowControl/>
        <w:tabs>
          <w:tab w:val="left" w:pos="-1440"/>
        </w:tabs>
        <w:jc w:val="both"/>
        <w:rPr>
          <w:sz w:val="26"/>
          <w:szCs w:val="26"/>
          <w:lang w:val="fr-FR"/>
        </w:rPr>
      </w:pPr>
      <w:r>
        <w:rPr>
          <w:sz w:val="26"/>
          <w:szCs w:val="26"/>
          <w:lang w:val="fr-FR"/>
        </w:rPr>
        <w:t xml:space="preserve"> </w:t>
      </w:r>
      <w:r w:rsidR="00D101EE">
        <w:rPr>
          <w:sz w:val="26"/>
          <w:szCs w:val="26"/>
          <w:lang w:val="fr-FR"/>
        </w:rPr>
        <w:t>Tenant compte des données qui font apparaître un nombre excessivement élevé de non ressortissants et de personnes appartenant à des minorités raciales ou ethniques parmi  les détenus avant jugement, il est demandé aux Etats de veiller aux points suivants :</w:t>
      </w:r>
    </w:p>
    <w:p w:rsidR="00CA73F7" w:rsidRDefault="00EC2B87" w:rsidP="00EC2B87">
      <w:pPr>
        <w:widowControl/>
        <w:jc w:val="both"/>
        <w:rPr>
          <w:sz w:val="26"/>
          <w:szCs w:val="26"/>
          <w:lang w:val="fr-FR"/>
        </w:rPr>
      </w:pPr>
      <w:r>
        <w:rPr>
          <w:sz w:val="26"/>
          <w:szCs w:val="26"/>
          <w:lang w:val="fr-FR"/>
        </w:rPr>
        <w:t xml:space="preserve">        </w:t>
      </w:r>
      <w:r w:rsidR="00CA73F7">
        <w:rPr>
          <w:sz w:val="26"/>
          <w:szCs w:val="26"/>
          <w:lang w:val="fr-FR"/>
        </w:rPr>
        <w:t xml:space="preserve">   </w:t>
      </w:r>
      <w:r>
        <w:rPr>
          <w:sz w:val="26"/>
          <w:szCs w:val="26"/>
          <w:lang w:val="fr-FR"/>
        </w:rPr>
        <w:t>-</w:t>
      </w:r>
      <w:r w:rsidR="00CA73F7">
        <w:rPr>
          <w:sz w:val="26"/>
          <w:szCs w:val="26"/>
          <w:lang w:val="fr-FR"/>
        </w:rPr>
        <w:t xml:space="preserve"> </w:t>
      </w:r>
      <w:r>
        <w:rPr>
          <w:sz w:val="26"/>
          <w:szCs w:val="26"/>
          <w:lang w:val="fr-FR"/>
        </w:rPr>
        <w:t>l</w:t>
      </w:r>
      <w:r w:rsidR="00D101EE" w:rsidRPr="00EC2B87">
        <w:rPr>
          <w:sz w:val="26"/>
          <w:szCs w:val="26"/>
          <w:lang w:val="fr-FR"/>
        </w:rPr>
        <w:t>a simple appartenance à un groupe racial ou ethnique ne doit pas être une raison suffisante, de jure ou facto, pour placer une personne en détention provisoire avant son ju</w:t>
      </w:r>
      <w:r>
        <w:rPr>
          <w:sz w:val="26"/>
          <w:szCs w:val="26"/>
          <w:lang w:val="fr-FR"/>
        </w:rPr>
        <w:t>gement ;</w:t>
      </w:r>
    </w:p>
    <w:p w:rsidR="00D101EE" w:rsidRDefault="00CA73F7" w:rsidP="00EC2B87">
      <w:pPr>
        <w:widowControl/>
        <w:jc w:val="both"/>
        <w:rPr>
          <w:sz w:val="26"/>
          <w:szCs w:val="26"/>
          <w:lang w:val="fr-FR"/>
        </w:rPr>
      </w:pPr>
      <w:r>
        <w:rPr>
          <w:sz w:val="26"/>
          <w:szCs w:val="26"/>
          <w:lang w:val="fr-FR"/>
        </w:rPr>
        <w:t xml:space="preserve">          </w:t>
      </w:r>
      <w:r w:rsidR="00EC2B87">
        <w:rPr>
          <w:sz w:val="26"/>
          <w:szCs w:val="26"/>
          <w:lang w:val="fr-FR"/>
        </w:rPr>
        <w:t>-</w:t>
      </w:r>
      <w:r>
        <w:rPr>
          <w:sz w:val="26"/>
          <w:szCs w:val="26"/>
          <w:lang w:val="fr-FR"/>
        </w:rPr>
        <w:t xml:space="preserve"> </w:t>
      </w:r>
      <w:r w:rsidR="00EC2B87">
        <w:rPr>
          <w:sz w:val="26"/>
          <w:szCs w:val="26"/>
          <w:lang w:val="fr-FR"/>
        </w:rPr>
        <w:t>l</w:t>
      </w:r>
      <w:r w:rsidR="00D101EE">
        <w:rPr>
          <w:sz w:val="26"/>
          <w:szCs w:val="26"/>
          <w:lang w:val="fr-FR"/>
        </w:rPr>
        <w:t>’exigence d’une caution ou d’une garantie financière pour obtenir la liberté avant jugement doit être appliquée de façon adaptée à la situation des personnes appartenant à des minorités raciales ou ethniques, qui sont souvent en situation de</w:t>
      </w:r>
      <w:r w:rsidR="00EC2B87">
        <w:rPr>
          <w:sz w:val="26"/>
          <w:szCs w:val="26"/>
          <w:lang w:val="fr-FR"/>
        </w:rPr>
        <w:t xml:space="preserve"> précarité économique ;</w:t>
      </w:r>
    </w:p>
    <w:p w:rsidR="00D101EE" w:rsidRDefault="00CA73F7" w:rsidP="00EC2B87">
      <w:pPr>
        <w:widowControl/>
        <w:jc w:val="both"/>
        <w:rPr>
          <w:sz w:val="26"/>
          <w:szCs w:val="26"/>
          <w:lang w:val="fr-FR"/>
        </w:rPr>
      </w:pPr>
      <w:r>
        <w:rPr>
          <w:sz w:val="26"/>
          <w:szCs w:val="26"/>
          <w:lang w:val="fr-FR"/>
        </w:rPr>
        <w:t xml:space="preserve">          </w:t>
      </w:r>
      <w:r w:rsidR="00EC2B87">
        <w:rPr>
          <w:sz w:val="26"/>
          <w:szCs w:val="26"/>
          <w:lang w:val="fr-FR"/>
        </w:rPr>
        <w:t>-</w:t>
      </w:r>
      <w:r>
        <w:rPr>
          <w:sz w:val="26"/>
          <w:szCs w:val="26"/>
          <w:lang w:val="fr-FR"/>
        </w:rPr>
        <w:t xml:space="preserve"> </w:t>
      </w:r>
      <w:r w:rsidR="00EC2B87">
        <w:rPr>
          <w:sz w:val="26"/>
          <w:szCs w:val="26"/>
          <w:lang w:val="fr-FR"/>
        </w:rPr>
        <w:t>l</w:t>
      </w:r>
      <w:r w:rsidR="00D101EE">
        <w:rPr>
          <w:sz w:val="26"/>
          <w:szCs w:val="26"/>
          <w:lang w:val="fr-FR"/>
        </w:rPr>
        <w:t>es garanties de représentation, souvent demandées aux prévenus avant jugement comme condition de leur maintien en liberté (domicile fixe, travail déclaré, attaches familiales stables), doivent être appréciées en tenant compte de la situation de précarité qui peut résulter de leur appartenance à des minorités raciales ou ethniq</w:t>
      </w:r>
      <w:r w:rsidR="00EC2B87">
        <w:rPr>
          <w:sz w:val="26"/>
          <w:szCs w:val="26"/>
          <w:lang w:val="fr-FR"/>
        </w:rPr>
        <w:t>ues ;</w:t>
      </w:r>
    </w:p>
    <w:p w:rsidR="00D101EE" w:rsidRDefault="00CA73F7" w:rsidP="00EC2B87">
      <w:pPr>
        <w:widowControl/>
        <w:jc w:val="both"/>
        <w:rPr>
          <w:sz w:val="26"/>
          <w:szCs w:val="26"/>
          <w:lang w:val="fr-FR"/>
        </w:rPr>
      </w:pPr>
      <w:r>
        <w:rPr>
          <w:sz w:val="26"/>
          <w:szCs w:val="26"/>
          <w:lang w:val="fr-FR"/>
        </w:rPr>
        <w:t xml:space="preserve">          </w:t>
      </w:r>
      <w:r w:rsidR="00EC2B87">
        <w:rPr>
          <w:sz w:val="26"/>
          <w:szCs w:val="26"/>
          <w:lang w:val="fr-FR"/>
        </w:rPr>
        <w:t>-</w:t>
      </w:r>
      <w:r>
        <w:rPr>
          <w:sz w:val="26"/>
          <w:szCs w:val="26"/>
          <w:lang w:val="fr-FR"/>
        </w:rPr>
        <w:t xml:space="preserve"> </w:t>
      </w:r>
      <w:r w:rsidR="00EC2B87">
        <w:rPr>
          <w:sz w:val="26"/>
          <w:szCs w:val="26"/>
          <w:lang w:val="fr-FR"/>
        </w:rPr>
        <w:t>l</w:t>
      </w:r>
      <w:r w:rsidR="00D101EE">
        <w:rPr>
          <w:sz w:val="26"/>
          <w:szCs w:val="26"/>
          <w:lang w:val="fr-FR"/>
        </w:rPr>
        <w:t>es personnes appartenant à des minorités raciales ou ethniques qui sont incarcérées avant jugement doivent jouir de tous les droits reconnus aux détenus par les normes internationales pertinentes, notamment les droits spécialement adaptés à leur situation : le droit au respect de leurs traditions religieuses, culturelles et alimentaires, le droit aux relations avec leur famille, le droit à l’assistance d’un interprète, le droit à l’assistance consulaire, le cas échéant.</w:t>
      </w:r>
    </w:p>
    <w:p w:rsidR="00D101EE" w:rsidRDefault="00D101EE">
      <w:pPr>
        <w:widowControl/>
        <w:jc w:val="both"/>
        <w:rPr>
          <w:sz w:val="26"/>
          <w:szCs w:val="26"/>
          <w:lang w:val="fr-FR"/>
        </w:rPr>
      </w:pPr>
    </w:p>
    <w:p w:rsidR="00D101EE" w:rsidRDefault="00957494" w:rsidP="00957494">
      <w:pPr>
        <w:widowControl/>
        <w:tabs>
          <w:tab w:val="left" w:pos="-1440"/>
        </w:tabs>
        <w:jc w:val="both"/>
        <w:rPr>
          <w:sz w:val="26"/>
          <w:szCs w:val="26"/>
          <w:lang w:val="fr-FR"/>
        </w:rPr>
      </w:pPr>
      <w:r>
        <w:rPr>
          <w:sz w:val="26"/>
          <w:szCs w:val="26"/>
          <w:lang w:val="fr-FR"/>
        </w:rPr>
        <w:t xml:space="preserve">      </w:t>
      </w:r>
      <w:r w:rsidR="00CA73F7">
        <w:rPr>
          <w:sz w:val="26"/>
          <w:szCs w:val="26"/>
          <w:lang w:val="fr-FR"/>
        </w:rPr>
        <w:t xml:space="preserve">  </w:t>
      </w:r>
      <w:r>
        <w:rPr>
          <w:sz w:val="26"/>
          <w:szCs w:val="26"/>
          <w:lang w:val="fr-FR"/>
        </w:rPr>
        <w:t xml:space="preserve"> = </w:t>
      </w:r>
      <w:r w:rsidRPr="00957494">
        <w:rPr>
          <w:sz w:val="26"/>
          <w:szCs w:val="26"/>
          <w:u w:val="single"/>
          <w:lang w:val="fr-FR"/>
        </w:rPr>
        <w:t>Au stade du procès et du</w:t>
      </w:r>
      <w:r w:rsidR="00D101EE" w:rsidRPr="00957494">
        <w:rPr>
          <w:sz w:val="26"/>
          <w:szCs w:val="26"/>
          <w:u w:val="single"/>
          <w:lang w:val="fr-FR"/>
        </w:rPr>
        <w:t xml:space="preserve"> juge</w:t>
      </w:r>
      <w:r>
        <w:rPr>
          <w:sz w:val="26"/>
          <w:szCs w:val="26"/>
          <w:u w:val="single"/>
          <w:lang w:val="fr-FR"/>
        </w:rPr>
        <w:t>ment :</w:t>
      </w:r>
    </w:p>
    <w:p w:rsidR="00D101EE" w:rsidRDefault="00D101EE">
      <w:pPr>
        <w:widowControl/>
        <w:jc w:val="both"/>
        <w:rPr>
          <w:sz w:val="26"/>
          <w:szCs w:val="26"/>
          <w:lang w:val="fr-FR"/>
        </w:rPr>
      </w:pPr>
    </w:p>
    <w:p w:rsidR="00D101EE" w:rsidRDefault="00D101EE">
      <w:pPr>
        <w:widowControl/>
        <w:jc w:val="both"/>
        <w:rPr>
          <w:sz w:val="26"/>
          <w:szCs w:val="26"/>
          <w:lang w:val="fr-FR"/>
        </w:rPr>
        <w:sectPr w:rsidR="00D101EE">
          <w:type w:val="continuous"/>
          <w:pgSz w:w="11905" w:h="16837"/>
          <w:pgMar w:top="1440" w:right="1440" w:bottom="1440" w:left="1440" w:header="1440" w:footer="1440" w:gutter="0"/>
          <w:cols w:space="720"/>
          <w:noEndnote/>
        </w:sectPr>
      </w:pPr>
    </w:p>
    <w:p w:rsidR="00D101EE" w:rsidRDefault="00957494" w:rsidP="00A12879">
      <w:pPr>
        <w:widowControl/>
        <w:ind w:firstLine="720"/>
        <w:jc w:val="both"/>
        <w:rPr>
          <w:sz w:val="26"/>
          <w:szCs w:val="26"/>
          <w:lang w:val="fr-FR"/>
        </w:rPr>
      </w:pPr>
      <w:r>
        <w:rPr>
          <w:sz w:val="26"/>
          <w:szCs w:val="26"/>
          <w:lang w:val="fr-FR"/>
        </w:rPr>
        <w:t xml:space="preserve"> I</w:t>
      </w:r>
      <w:r w:rsidR="00D101EE">
        <w:rPr>
          <w:sz w:val="26"/>
          <w:szCs w:val="26"/>
          <w:lang w:val="fr-FR"/>
        </w:rPr>
        <w:t xml:space="preserve">l est demandé aux Etats d’assurer aux personnes appartenant à des minorités raciales ou ethniques, comme à toute personne, la jouissance de l’ensemble des garanties du procès équitable et de l’égalité devant la loi, telles que consacrées par les instruments internationaux pertinents relatifs aux droits de </w:t>
      </w:r>
      <w:r>
        <w:rPr>
          <w:sz w:val="26"/>
          <w:szCs w:val="26"/>
          <w:lang w:val="fr-FR"/>
        </w:rPr>
        <w:t>l’homme</w:t>
      </w:r>
      <w:r w:rsidR="00D101EE">
        <w:rPr>
          <w:sz w:val="26"/>
          <w:szCs w:val="26"/>
          <w:lang w:val="fr-FR"/>
        </w:rPr>
        <w:t>:</w:t>
      </w:r>
      <w:r>
        <w:rPr>
          <w:sz w:val="26"/>
          <w:szCs w:val="26"/>
          <w:lang w:val="fr-FR"/>
        </w:rPr>
        <w:t xml:space="preserve"> l</w:t>
      </w:r>
      <w:r w:rsidR="00D101EE">
        <w:rPr>
          <w:sz w:val="26"/>
          <w:szCs w:val="26"/>
          <w:lang w:val="fr-FR"/>
        </w:rPr>
        <w:t>e droit à la présomption d’</w:t>
      </w:r>
      <w:r w:rsidR="00A12879">
        <w:rPr>
          <w:sz w:val="26"/>
          <w:szCs w:val="26"/>
          <w:lang w:val="fr-FR"/>
        </w:rPr>
        <w:t>innocence ; l</w:t>
      </w:r>
      <w:r w:rsidR="00D101EE">
        <w:rPr>
          <w:sz w:val="26"/>
          <w:szCs w:val="26"/>
          <w:lang w:val="fr-FR"/>
        </w:rPr>
        <w:t>e droit à l’assist</w:t>
      </w:r>
      <w:r w:rsidR="00A12879">
        <w:rPr>
          <w:sz w:val="26"/>
          <w:szCs w:val="26"/>
          <w:lang w:val="fr-FR"/>
        </w:rPr>
        <w:t>ance gratuite d’un conseil et d’un interprète</w:t>
      </w:r>
      <w:r w:rsidR="00D101EE">
        <w:rPr>
          <w:sz w:val="26"/>
          <w:szCs w:val="26"/>
          <w:lang w:val="fr-FR"/>
        </w:rPr>
        <w:t xml:space="preserve"> </w:t>
      </w:r>
      <w:r w:rsidR="00251A7D">
        <w:rPr>
          <w:sz w:val="26"/>
          <w:szCs w:val="26"/>
          <w:lang w:val="fr-FR"/>
        </w:rPr>
        <w:t>pour l</w:t>
      </w:r>
      <w:r w:rsidR="00D101EE">
        <w:rPr>
          <w:sz w:val="26"/>
          <w:szCs w:val="26"/>
          <w:lang w:val="fr-FR"/>
        </w:rPr>
        <w:t xml:space="preserve">es personnes appartenant à des groupes défavorisés, notamment à des </w:t>
      </w:r>
      <w:r w:rsidR="00A12879">
        <w:rPr>
          <w:sz w:val="26"/>
          <w:szCs w:val="26"/>
          <w:lang w:val="fr-FR"/>
        </w:rPr>
        <w:t>minorités raciales ou ethniques; l</w:t>
      </w:r>
      <w:r w:rsidR="00D101EE">
        <w:rPr>
          <w:sz w:val="26"/>
          <w:szCs w:val="26"/>
          <w:lang w:val="fr-FR"/>
        </w:rPr>
        <w:t>e droit à un tribunal indépendant e</w:t>
      </w:r>
      <w:r w:rsidR="00251A7D">
        <w:rPr>
          <w:sz w:val="26"/>
          <w:szCs w:val="26"/>
          <w:lang w:val="fr-FR"/>
        </w:rPr>
        <w:t>t impartial, prohibant</w:t>
      </w:r>
      <w:r w:rsidR="00D101EE">
        <w:rPr>
          <w:sz w:val="26"/>
          <w:szCs w:val="26"/>
          <w:lang w:val="fr-FR"/>
        </w:rPr>
        <w:t xml:space="preserve"> tout préjugé racial ou xénophobe de la part des magistrats, des jurés et des autres personnels de la justice.</w:t>
      </w:r>
    </w:p>
    <w:p w:rsidR="00D101EE" w:rsidRDefault="00D101EE" w:rsidP="00251A7D">
      <w:pPr>
        <w:widowControl/>
        <w:jc w:val="both"/>
        <w:rPr>
          <w:sz w:val="26"/>
          <w:szCs w:val="26"/>
          <w:lang w:val="fr-FR"/>
        </w:rPr>
      </w:pPr>
    </w:p>
    <w:p w:rsidR="00D101EE" w:rsidRDefault="00F3717C" w:rsidP="00251A7D">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w:t>
      </w:r>
      <w:r w:rsidR="00D101EE">
        <w:rPr>
          <w:sz w:val="26"/>
          <w:szCs w:val="26"/>
          <w:lang w:val="fr-FR"/>
        </w:rPr>
        <w:t>La Recommandation générale invite à cet égard les Etats à tenir compte des “Principes de Bangalore sur la déontologie judiciaire” adoptés en 2002 (E/CN.4/2003/65), qui recommandent notamment que les juges soient conscients de la diversité de la société et des</w:t>
      </w:r>
      <w:r w:rsidR="00251A7D">
        <w:rPr>
          <w:sz w:val="26"/>
          <w:szCs w:val="26"/>
          <w:lang w:val="fr-FR"/>
        </w:rPr>
        <w:t xml:space="preserve"> différences liées aux origines</w:t>
      </w:r>
      <w:r w:rsidR="00D101EE">
        <w:rPr>
          <w:sz w:val="26"/>
          <w:szCs w:val="26"/>
          <w:lang w:val="fr-FR"/>
        </w:rPr>
        <w:t xml:space="preserve"> raciales</w:t>
      </w:r>
      <w:r w:rsidR="000B5AD8">
        <w:rPr>
          <w:sz w:val="26"/>
          <w:szCs w:val="26"/>
          <w:lang w:val="fr-FR"/>
        </w:rPr>
        <w:t xml:space="preserve"> ou autres</w:t>
      </w:r>
      <w:r w:rsidR="00D101EE">
        <w:rPr>
          <w:sz w:val="26"/>
          <w:szCs w:val="26"/>
          <w:lang w:val="fr-FR"/>
        </w:rPr>
        <w:t>,</w:t>
      </w:r>
      <w:r w:rsidR="00251A7D">
        <w:rPr>
          <w:sz w:val="26"/>
          <w:szCs w:val="26"/>
          <w:lang w:val="fr-FR"/>
        </w:rPr>
        <w:t xml:space="preserve"> </w:t>
      </w:r>
      <w:r w:rsidR="00D101EE">
        <w:rPr>
          <w:sz w:val="26"/>
          <w:szCs w:val="26"/>
          <w:lang w:val="fr-FR"/>
        </w:rPr>
        <w:t>qu’ils n</w:t>
      </w:r>
      <w:r w:rsidR="00251A7D">
        <w:rPr>
          <w:sz w:val="26"/>
          <w:szCs w:val="26"/>
          <w:lang w:val="fr-FR"/>
        </w:rPr>
        <w:t>e manifestent aucune partialité</w:t>
      </w:r>
      <w:r w:rsidR="00D101EE">
        <w:rPr>
          <w:sz w:val="26"/>
          <w:szCs w:val="26"/>
          <w:lang w:val="fr-FR"/>
        </w:rPr>
        <w:t xml:space="preserve"> par leur parole ou leur comportement</w:t>
      </w:r>
      <w:r w:rsidR="000B5AD8">
        <w:rPr>
          <w:sz w:val="26"/>
          <w:szCs w:val="26"/>
          <w:lang w:val="fr-FR"/>
        </w:rPr>
        <w:t xml:space="preserve"> envers des personnes</w:t>
      </w:r>
      <w:r w:rsidR="00065478">
        <w:rPr>
          <w:sz w:val="26"/>
          <w:szCs w:val="26"/>
          <w:lang w:val="fr-FR"/>
        </w:rPr>
        <w:t xml:space="preserve"> ou groupes de personnes</w:t>
      </w:r>
      <w:r w:rsidR="00251A7D">
        <w:rPr>
          <w:sz w:val="26"/>
          <w:szCs w:val="26"/>
          <w:lang w:val="fr-FR"/>
        </w:rPr>
        <w:t xml:space="preserve"> </w:t>
      </w:r>
      <w:r w:rsidR="000B5AD8">
        <w:rPr>
          <w:sz w:val="26"/>
          <w:szCs w:val="26"/>
          <w:lang w:val="fr-FR"/>
        </w:rPr>
        <w:t xml:space="preserve">en </w:t>
      </w:r>
      <w:r w:rsidR="00251A7D">
        <w:rPr>
          <w:sz w:val="26"/>
          <w:szCs w:val="26"/>
          <w:lang w:val="fr-FR"/>
        </w:rPr>
        <w:t xml:space="preserve">raison de leur origine raciale ou ethnique et qu’ils s’opposent </w:t>
      </w:r>
      <w:r w:rsidR="000B5AD8">
        <w:rPr>
          <w:sz w:val="26"/>
          <w:szCs w:val="26"/>
          <w:lang w:val="fr-FR"/>
        </w:rPr>
        <w:t>à ce que leurs subordonnés ainsi que</w:t>
      </w:r>
      <w:r w:rsidR="00065478">
        <w:rPr>
          <w:sz w:val="26"/>
          <w:szCs w:val="26"/>
          <w:lang w:val="fr-FR"/>
        </w:rPr>
        <w:t xml:space="preserve"> les avocats manifes</w:t>
      </w:r>
      <w:r>
        <w:rPr>
          <w:sz w:val="26"/>
          <w:szCs w:val="26"/>
          <w:lang w:val="fr-FR"/>
        </w:rPr>
        <w:t xml:space="preserve">tent des préjugés ou procèdent à des discriminations envers les personnes sur la base de leur </w:t>
      </w:r>
    </w:p>
    <w:p w:rsidR="00D101EE" w:rsidRDefault="00F3717C" w:rsidP="00251A7D">
      <w:pPr>
        <w:widowControl/>
        <w:jc w:val="both"/>
        <w:rPr>
          <w:sz w:val="26"/>
          <w:szCs w:val="26"/>
          <w:lang w:val="fr-FR"/>
        </w:rPr>
      </w:pPr>
      <w:r>
        <w:rPr>
          <w:sz w:val="26"/>
          <w:szCs w:val="26"/>
          <w:lang w:val="fr-FR"/>
        </w:rPr>
        <w:t>couleur</w:t>
      </w:r>
      <w:r w:rsidR="00D101EE">
        <w:rPr>
          <w:sz w:val="26"/>
          <w:szCs w:val="26"/>
          <w:lang w:val="fr-FR"/>
        </w:rPr>
        <w:t>, de leur origine raciale, nationale ou rel</w:t>
      </w:r>
      <w:r>
        <w:rPr>
          <w:sz w:val="26"/>
          <w:szCs w:val="26"/>
          <w:lang w:val="fr-FR"/>
        </w:rPr>
        <w:t>igieuse, de leur sexe ou sur une</w:t>
      </w:r>
      <w:r w:rsidR="00D101EE">
        <w:rPr>
          <w:sz w:val="26"/>
          <w:szCs w:val="26"/>
          <w:lang w:val="fr-FR"/>
        </w:rPr>
        <w:t xml:space="preserve"> autre base non pertinente.</w:t>
      </w:r>
    </w:p>
    <w:p w:rsidR="00D101EE" w:rsidRDefault="00D101EE">
      <w:pPr>
        <w:widowControl/>
        <w:jc w:val="both"/>
        <w:rPr>
          <w:sz w:val="26"/>
          <w:szCs w:val="26"/>
          <w:lang w:val="fr-FR"/>
        </w:rPr>
      </w:pPr>
    </w:p>
    <w:p w:rsidR="00ED68EE" w:rsidRDefault="00195F3D" w:rsidP="00ED68EE">
      <w:pPr>
        <w:widowControl/>
        <w:tabs>
          <w:tab w:val="left" w:pos="-1440"/>
        </w:tabs>
        <w:ind w:left="1440" w:hanging="720"/>
        <w:jc w:val="both"/>
        <w:rPr>
          <w:sz w:val="26"/>
          <w:szCs w:val="26"/>
          <w:lang w:val="fr-FR"/>
        </w:rPr>
      </w:pPr>
      <w:r>
        <w:rPr>
          <w:sz w:val="26"/>
          <w:szCs w:val="26"/>
          <w:lang w:val="fr-FR"/>
        </w:rPr>
        <w:t xml:space="preserve">    = </w:t>
      </w:r>
      <w:r w:rsidRPr="00195F3D">
        <w:rPr>
          <w:sz w:val="26"/>
          <w:szCs w:val="26"/>
          <w:u w:val="single"/>
          <w:lang w:val="fr-FR"/>
        </w:rPr>
        <w:t>Au stade de</w:t>
      </w:r>
      <w:r w:rsidR="00D101EE" w:rsidRPr="00195F3D">
        <w:rPr>
          <w:sz w:val="26"/>
          <w:szCs w:val="26"/>
          <w:u w:val="single"/>
          <w:lang w:val="fr-FR"/>
        </w:rPr>
        <w:t xml:space="preserve"> la sanction</w:t>
      </w:r>
      <w:r w:rsidR="00D101EE">
        <w:rPr>
          <w:sz w:val="26"/>
          <w:szCs w:val="26"/>
          <w:u w:val="single"/>
          <w:lang w:val="fr-FR"/>
        </w:rPr>
        <w:t xml:space="preserve"> </w:t>
      </w:r>
      <w:r w:rsidR="00D101EE">
        <w:rPr>
          <w:sz w:val="26"/>
          <w:szCs w:val="26"/>
          <w:lang w:val="fr-FR"/>
        </w:rPr>
        <w:t>:</w:t>
      </w:r>
    </w:p>
    <w:p w:rsidR="00ED68EE" w:rsidRDefault="00ED68EE" w:rsidP="00ED68EE">
      <w:pPr>
        <w:widowControl/>
        <w:tabs>
          <w:tab w:val="left" w:pos="-1440"/>
        </w:tabs>
        <w:jc w:val="both"/>
        <w:rPr>
          <w:sz w:val="26"/>
          <w:szCs w:val="26"/>
          <w:lang w:val="fr-FR"/>
        </w:rPr>
      </w:pPr>
    </w:p>
    <w:p w:rsidR="00D101EE" w:rsidRDefault="00D101EE" w:rsidP="00ED68EE">
      <w:pPr>
        <w:widowControl/>
        <w:tabs>
          <w:tab w:val="left" w:pos="-1440"/>
        </w:tabs>
        <w:jc w:val="both"/>
        <w:rPr>
          <w:sz w:val="26"/>
          <w:szCs w:val="26"/>
          <w:lang w:val="fr-FR"/>
        </w:rPr>
      </w:pPr>
      <w:r>
        <w:rPr>
          <w:sz w:val="26"/>
          <w:szCs w:val="26"/>
          <w:lang w:val="fr-FR"/>
        </w:rPr>
        <w:t>Les Etats parties doivent veiller à cet égard à ce que ne soient pas appliquées des peines plus sévères pour la seule raison de l’appartenance du prévenu à un groupe racial ou ethnique déterminé.</w:t>
      </w:r>
    </w:p>
    <w:p w:rsidR="00ED68EE" w:rsidRDefault="00D101EE" w:rsidP="00ED68EE">
      <w:pPr>
        <w:widowControl/>
        <w:jc w:val="both"/>
        <w:rPr>
          <w:sz w:val="26"/>
          <w:szCs w:val="26"/>
          <w:lang w:val="fr-FR"/>
        </w:rPr>
      </w:pPr>
      <w:r>
        <w:rPr>
          <w:sz w:val="26"/>
          <w:szCs w:val="26"/>
          <w:lang w:val="fr-FR"/>
        </w:rPr>
        <w:t>Une attention toute particulière doit être por</w:t>
      </w:r>
      <w:r w:rsidR="00ED68EE">
        <w:rPr>
          <w:sz w:val="26"/>
          <w:szCs w:val="26"/>
          <w:lang w:val="fr-FR"/>
        </w:rPr>
        <w:t xml:space="preserve">tée à cet égard </w:t>
      </w:r>
      <w:r>
        <w:rPr>
          <w:sz w:val="26"/>
          <w:szCs w:val="26"/>
          <w:lang w:val="fr-FR"/>
        </w:rPr>
        <w:t>à la peine capitale dans les pays qui ne l’ont pas abolie, eu égard aux informations faisant apparaître que cette peine est plus souvent prononcée et exécutée à l’encontre de personnes appartenant à des minorités raciales ou ethniques.</w:t>
      </w:r>
      <w:r w:rsidR="00ED68EE">
        <w:rPr>
          <w:sz w:val="26"/>
          <w:szCs w:val="26"/>
          <w:lang w:val="fr-FR"/>
        </w:rPr>
        <w:t xml:space="preserve"> </w:t>
      </w:r>
    </w:p>
    <w:p w:rsidR="00ED68EE" w:rsidRDefault="00D101EE" w:rsidP="00ED68EE">
      <w:pPr>
        <w:widowControl/>
        <w:jc w:val="both"/>
        <w:rPr>
          <w:sz w:val="26"/>
          <w:szCs w:val="26"/>
          <w:lang w:val="fr-FR"/>
        </w:rPr>
      </w:pPr>
      <w:r>
        <w:rPr>
          <w:sz w:val="26"/>
          <w:szCs w:val="26"/>
          <w:lang w:val="fr-FR"/>
        </w:rPr>
        <w:t>En ce qui concerne les personnes appartenant à des peuples autochtones, les Etats parties sont invités à favoriser l’application de peines alternatives à l’emprisonnement et le recours à d’autres sanctions adaptées à leurs coutumes et leur système juridique, en tenant compte notamment de la Convention n</w:t>
      </w:r>
      <w:r>
        <w:rPr>
          <w:sz w:val="26"/>
          <w:szCs w:val="26"/>
          <w:lang w:val="fr-FR"/>
        </w:rPr>
        <w:sym w:font="Symbol" w:char="F0B0"/>
      </w:r>
      <w:r>
        <w:rPr>
          <w:sz w:val="26"/>
          <w:szCs w:val="26"/>
          <w:lang w:val="fr-FR"/>
        </w:rPr>
        <w:t xml:space="preserve"> 169 de l’OIT relative aux peuples indigènes et tribaux.</w:t>
      </w:r>
    </w:p>
    <w:p w:rsidR="00D101EE" w:rsidRDefault="00ED68EE" w:rsidP="00ED68EE">
      <w:pPr>
        <w:widowControl/>
        <w:jc w:val="both"/>
        <w:rPr>
          <w:sz w:val="26"/>
          <w:szCs w:val="26"/>
          <w:lang w:val="fr-FR"/>
        </w:rPr>
      </w:pPr>
      <w:r>
        <w:rPr>
          <w:sz w:val="26"/>
          <w:szCs w:val="26"/>
          <w:lang w:val="fr-FR"/>
        </w:rPr>
        <w:t>Enfin, il est rappelé</w:t>
      </w:r>
      <w:r w:rsidR="00D101EE">
        <w:rPr>
          <w:sz w:val="26"/>
          <w:szCs w:val="26"/>
          <w:lang w:val="fr-FR"/>
        </w:rPr>
        <w:t xml:space="preserve"> que les peines visant exclusivement les non</w:t>
      </w:r>
      <w:r>
        <w:rPr>
          <w:sz w:val="26"/>
          <w:szCs w:val="26"/>
          <w:lang w:val="fr-FR"/>
        </w:rPr>
        <w:t xml:space="preserve"> nationaux</w:t>
      </w:r>
      <w:r w:rsidR="00D101EE">
        <w:rPr>
          <w:sz w:val="26"/>
          <w:szCs w:val="26"/>
          <w:lang w:val="fr-FR"/>
        </w:rPr>
        <w:t>, telles que les peines d’éloignement, d’expulsion ou d’interdiction du territoire national, ne doivent être prononcées qu’à titre exceptionnel, de façon proportionnée, pour des motifs graves d’ordre public prévus par la loi, ainsi que dans le respect de la vie privée et familiale des intéressés et de la pr</w:t>
      </w:r>
      <w:r>
        <w:rPr>
          <w:sz w:val="26"/>
          <w:szCs w:val="26"/>
          <w:lang w:val="fr-FR"/>
        </w:rPr>
        <w:t xml:space="preserve">otection internationale qui leur </w:t>
      </w:r>
      <w:r w:rsidR="00D101EE">
        <w:rPr>
          <w:sz w:val="26"/>
          <w:szCs w:val="26"/>
          <w:lang w:val="fr-FR"/>
        </w:rPr>
        <w:t>est due.</w:t>
      </w:r>
    </w:p>
    <w:p w:rsidR="00D101EE" w:rsidRDefault="00D101EE">
      <w:pPr>
        <w:widowControl/>
        <w:jc w:val="both"/>
        <w:rPr>
          <w:sz w:val="26"/>
          <w:szCs w:val="26"/>
          <w:lang w:val="fr-FR"/>
        </w:rPr>
      </w:pPr>
    </w:p>
    <w:p w:rsidR="00D101EE" w:rsidRDefault="002256C0" w:rsidP="002256C0">
      <w:pPr>
        <w:widowControl/>
        <w:tabs>
          <w:tab w:val="left" w:pos="-1440"/>
        </w:tabs>
        <w:jc w:val="both"/>
        <w:rPr>
          <w:sz w:val="26"/>
          <w:szCs w:val="26"/>
          <w:lang w:val="fr-FR"/>
        </w:rPr>
      </w:pPr>
      <w:r>
        <w:rPr>
          <w:sz w:val="26"/>
          <w:szCs w:val="26"/>
          <w:lang w:val="fr-FR"/>
        </w:rPr>
        <w:t xml:space="preserve">          = </w:t>
      </w:r>
      <w:r w:rsidRPr="002256C0">
        <w:rPr>
          <w:sz w:val="26"/>
          <w:szCs w:val="26"/>
          <w:u w:val="single"/>
          <w:lang w:val="fr-FR"/>
        </w:rPr>
        <w:t>Au stade de</w:t>
      </w:r>
      <w:r w:rsidR="00D101EE" w:rsidRPr="002256C0">
        <w:rPr>
          <w:sz w:val="26"/>
          <w:szCs w:val="26"/>
          <w:u w:val="single"/>
          <w:lang w:val="fr-FR"/>
        </w:rPr>
        <w:t xml:space="preserve"> l’exécution des peines</w:t>
      </w:r>
      <w:r w:rsidR="00D101EE">
        <w:rPr>
          <w:sz w:val="26"/>
          <w:szCs w:val="26"/>
          <w:u w:val="single"/>
          <w:lang w:val="fr-FR"/>
        </w:rPr>
        <w:t xml:space="preserve"> </w:t>
      </w:r>
      <w:r w:rsidR="00D101EE">
        <w:rPr>
          <w:sz w:val="26"/>
          <w:szCs w:val="26"/>
          <w:lang w:val="fr-FR"/>
        </w:rPr>
        <w:t>:</w:t>
      </w:r>
    </w:p>
    <w:p w:rsidR="00D101EE" w:rsidRDefault="00D101EE">
      <w:pPr>
        <w:widowControl/>
        <w:jc w:val="both"/>
        <w:rPr>
          <w:sz w:val="26"/>
          <w:szCs w:val="26"/>
          <w:lang w:val="fr-FR"/>
        </w:rPr>
      </w:pPr>
    </w:p>
    <w:p w:rsidR="00D101EE" w:rsidRDefault="00D101EE" w:rsidP="002256C0">
      <w:pPr>
        <w:widowControl/>
        <w:jc w:val="both"/>
        <w:rPr>
          <w:sz w:val="26"/>
          <w:szCs w:val="26"/>
          <w:lang w:val="fr-FR"/>
        </w:rPr>
      </w:pPr>
      <w:r>
        <w:rPr>
          <w:sz w:val="26"/>
          <w:szCs w:val="26"/>
          <w:lang w:val="fr-FR"/>
        </w:rPr>
        <w:t>Lorsque des personnes appartenant à des minorités raciales ou ethniques exécutent une peine d’emprisonnement, la Recommandation gé</w:t>
      </w:r>
      <w:r w:rsidR="00FC7138">
        <w:rPr>
          <w:sz w:val="26"/>
          <w:szCs w:val="26"/>
          <w:lang w:val="fr-FR"/>
        </w:rPr>
        <w:t>nérale demande aux Etats de garantir notamment :</w:t>
      </w:r>
    </w:p>
    <w:p w:rsidR="00D101EE" w:rsidRDefault="00FC7138">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w:t>
      </w:r>
      <w:r w:rsidR="00D101EE">
        <w:rPr>
          <w:sz w:val="26"/>
          <w:szCs w:val="26"/>
          <w:lang w:val="fr-FR"/>
        </w:rPr>
        <w:t xml:space="preserve"> la jouissance de tous les droits reconnus aux détenus par les normes internationales pertinentes, en particulier les droits spécialement adaptés à leur situation : le droit au respect de leurs pratiques religieuses et culturelles, le droit au respect de leurs habitudes alimentaires, le droit aux relations avec leur famille, le droit à l’assistance d’un interprète, le droit aux prestations sociales élémentaires, le droit à l’assistance consulaire,</w:t>
      </w:r>
      <w:r>
        <w:rPr>
          <w:sz w:val="26"/>
          <w:szCs w:val="26"/>
          <w:lang w:val="fr-FR"/>
        </w:rPr>
        <w:t xml:space="preserve"> le droit de tout détenu dont les droits ont été violés d’exercer</w:t>
      </w:r>
    </w:p>
    <w:p w:rsidR="00D101EE" w:rsidRDefault="00D101EE" w:rsidP="00FC7138">
      <w:pPr>
        <w:widowControl/>
        <w:jc w:val="both"/>
        <w:rPr>
          <w:sz w:val="26"/>
          <w:szCs w:val="26"/>
          <w:lang w:val="fr-FR"/>
        </w:rPr>
      </w:pPr>
      <w:r>
        <w:rPr>
          <w:sz w:val="26"/>
          <w:szCs w:val="26"/>
          <w:lang w:val="fr-FR"/>
        </w:rPr>
        <w:t>un recours effectif devant une auto</w:t>
      </w:r>
      <w:r w:rsidR="00FC7138">
        <w:rPr>
          <w:sz w:val="26"/>
          <w:szCs w:val="26"/>
          <w:lang w:val="fr-FR"/>
        </w:rPr>
        <w:t>rité indépendante et impartiale ;</w:t>
      </w:r>
    </w:p>
    <w:p w:rsidR="00D101EE" w:rsidRDefault="003F675F" w:rsidP="003F675F">
      <w:pPr>
        <w:widowControl/>
        <w:jc w:val="both"/>
        <w:rPr>
          <w:sz w:val="26"/>
          <w:szCs w:val="26"/>
          <w:lang w:val="fr-FR"/>
        </w:rPr>
      </w:pPr>
      <w:r>
        <w:rPr>
          <w:sz w:val="26"/>
          <w:szCs w:val="26"/>
          <w:lang w:val="fr-FR"/>
        </w:rPr>
        <w:t xml:space="preserve">     - l’application</w:t>
      </w:r>
      <w:r w:rsidR="00D101EE">
        <w:rPr>
          <w:sz w:val="26"/>
          <w:szCs w:val="26"/>
          <w:lang w:val="fr-FR"/>
        </w:rPr>
        <w:t>, le cas échéant, des dispositions de la législation interne et des conventions internationales ou bilatérales relatives au transfèrement des détenus étrangers, leur ouvrant la possibilité d’accomplir la peine d’emprisonn</w:t>
      </w:r>
      <w:r>
        <w:rPr>
          <w:sz w:val="26"/>
          <w:szCs w:val="26"/>
          <w:lang w:val="fr-FR"/>
        </w:rPr>
        <w:t>ement dans leurs pays d’origine ;</w:t>
      </w:r>
    </w:p>
    <w:p w:rsidR="00151621" w:rsidRDefault="003F675F" w:rsidP="003F675F">
      <w:pPr>
        <w:widowControl/>
        <w:jc w:val="both"/>
        <w:rPr>
          <w:sz w:val="26"/>
          <w:szCs w:val="26"/>
          <w:lang w:val="fr-FR"/>
        </w:rPr>
      </w:pPr>
      <w:r>
        <w:rPr>
          <w:sz w:val="26"/>
          <w:szCs w:val="26"/>
          <w:lang w:val="fr-FR"/>
        </w:rPr>
        <w:t xml:space="preserve">      -</w:t>
      </w:r>
      <w:r w:rsidR="00014FDF">
        <w:rPr>
          <w:sz w:val="26"/>
          <w:szCs w:val="26"/>
          <w:lang w:val="fr-FR"/>
        </w:rPr>
        <w:t xml:space="preserve"> </w:t>
      </w:r>
      <w:r>
        <w:rPr>
          <w:sz w:val="26"/>
          <w:szCs w:val="26"/>
          <w:lang w:val="fr-FR"/>
        </w:rPr>
        <w:t>l</w:t>
      </w:r>
      <w:r w:rsidR="00D101EE">
        <w:rPr>
          <w:sz w:val="26"/>
          <w:szCs w:val="26"/>
          <w:lang w:val="fr-FR"/>
        </w:rPr>
        <w:t xml:space="preserve">orsque sont prononcées des peines d’éloignement, d’expulsion ou d’interdiction du territoire national à l’encontre de non ressortissants, </w:t>
      </w:r>
      <w:r>
        <w:rPr>
          <w:sz w:val="26"/>
          <w:szCs w:val="26"/>
          <w:lang w:val="fr-FR"/>
        </w:rPr>
        <w:t xml:space="preserve">le plein respect des </w:t>
      </w:r>
      <w:r w:rsidR="00D101EE">
        <w:rPr>
          <w:sz w:val="26"/>
          <w:szCs w:val="26"/>
          <w:lang w:val="fr-FR"/>
        </w:rPr>
        <w:t xml:space="preserve">obligations de non refoulement découlant des normes internationales relatives aux réfugiés et aux </w:t>
      </w:r>
      <w:r>
        <w:rPr>
          <w:sz w:val="26"/>
          <w:szCs w:val="26"/>
          <w:lang w:val="fr-FR"/>
        </w:rPr>
        <w:t>droits de l’homme, en s’assurant</w:t>
      </w:r>
      <w:r w:rsidR="00D101EE">
        <w:rPr>
          <w:sz w:val="26"/>
          <w:szCs w:val="26"/>
          <w:lang w:val="fr-FR"/>
        </w:rPr>
        <w:t xml:space="preserve"> que ces personnes ne soient pas renvoyées vers un pays ou un territoire où elles risquent d’être l’objet de graves atteintes aux droits de l’</w:t>
      </w:r>
      <w:r>
        <w:rPr>
          <w:sz w:val="26"/>
          <w:szCs w:val="26"/>
          <w:lang w:val="fr-FR"/>
        </w:rPr>
        <w:t>homme.</w:t>
      </w:r>
      <w:r w:rsidR="00151621">
        <w:rPr>
          <w:sz w:val="26"/>
          <w:szCs w:val="26"/>
          <w:lang w:val="fr-FR"/>
        </w:rPr>
        <w:t xml:space="preserve"> </w:t>
      </w:r>
    </w:p>
    <w:p w:rsidR="00D101EE" w:rsidRDefault="00151621">
      <w:pPr>
        <w:widowControl/>
        <w:jc w:val="both"/>
        <w:rPr>
          <w:sz w:val="26"/>
          <w:szCs w:val="26"/>
          <w:lang w:val="fr-FR"/>
        </w:rPr>
        <w:sectPr w:rsidR="00D101EE">
          <w:type w:val="continuous"/>
          <w:pgSz w:w="11905" w:h="16837"/>
          <w:pgMar w:top="1440" w:right="1440" w:bottom="1440" w:left="1440" w:header="1440" w:footer="1440" w:gutter="0"/>
          <w:cols w:space="720"/>
          <w:noEndnote/>
        </w:sectPr>
      </w:pPr>
      <w:r>
        <w:rPr>
          <w:sz w:val="26"/>
          <w:szCs w:val="26"/>
          <w:lang w:val="fr-FR"/>
        </w:rPr>
        <w:t xml:space="preserve">                                                                                                                                                                                                                                                                                                                                                              </w:t>
      </w:r>
    </w:p>
    <w:p w:rsidR="00151621" w:rsidRDefault="00151621" w:rsidP="00AC0AAB">
      <w:pPr>
        <w:widowControl/>
        <w:jc w:val="both"/>
        <w:rPr>
          <w:sz w:val="26"/>
          <w:szCs w:val="26"/>
          <w:lang w:val="fr-FR"/>
        </w:rPr>
      </w:pPr>
    </w:p>
    <w:sectPr w:rsidR="00151621" w:rsidSect="00D101EE">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0F" w:rsidRDefault="001D060F" w:rsidP="00D101EE">
      <w:r>
        <w:separator/>
      </w:r>
    </w:p>
  </w:endnote>
  <w:endnote w:type="continuationSeparator" w:id="0">
    <w:p w:rsidR="001D060F" w:rsidRDefault="001D060F" w:rsidP="00D1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0F" w:rsidRDefault="001D060F" w:rsidP="00D101EE">
      <w:r>
        <w:separator/>
      </w:r>
    </w:p>
  </w:footnote>
  <w:footnote w:type="continuationSeparator" w:id="0">
    <w:p w:rsidR="001D060F" w:rsidRDefault="001D060F" w:rsidP="00D10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EE" w:rsidRDefault="001D060F">
    <w:pPr>
      <w:framePr w:w="9026" w:wrap="notBeside" w:vAnchor="text" w:hAnchor="text" w:x="1" w:y="1"/>
      <w:jc w:val="right"/>
    </w:pPr>
    <w:r>
      <w:fldChar w:fldCharType="begin"/>
    </w:r>
    <w:r>
      <w:instrText xml:space="preserve">PAGE </w:instrText>
    </w:r>
    <w:r>
      <w:fldChar w:fldCharType="separate"/>
    </w:r>
    <w:r w:rsidR="00453AA4">
      <w:rPr>
        <w:noProof/>
      </w:rPr>
      <w:t>1</w:t>
    </w:r>
    <w:r>
      <w:rPr>
        <w:noProof/>
      </w:rPr>
      <w:fldChar w:fldCharType="end"/>
    </w:r>
  </w:p>
  <w:p w:rsidR="00D101EE" w:rsidRDefault="00D101EE"/>
  <w:p w:rsidR="00D101EE" w:rsidRDefault="00D101E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41"/>
    <w:multiLevelType w:val="hybridMultilevel"/>
    <w:tmpl w:val="2222C47C"/>
    <w:lvl w:ilvl="0" w:tplc="FCF4D8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D831C0"/>
    <w:multiLevelType w:val="hybridMultilevel"/>
    <w:tmpl w:val="4C3E635E"/>
    <w:lvl w:ilvl="0" w:tplc="70BC7CE8">
      <w:start w:val="2"/>
      <w:numFmt w:val="bullet"/>
      <w:lvlText w:val="-"/>
      <w:lvlJc w:val="left"/>
      <w:pPr>
        <w:ind w:left="768" w:hanging="360"/>
      </w:pPr>
      <w:rPr>
        <w:rFonts w:ascii="Times New Roman" w:eastAsiaTheme="minorEastAsia" w:hAnsi="Times New Roman"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nsid w:val="1A2A01FE"/>
    <w:multiLevelType w:val="hybridMultilevel"/>
    <w:tmpl w:val="452C01DC"/>
    <w:lvl w:ilvl="0" w:tplc="AB22E02A">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AE33F18"/>
    <w:multiLevelType w:val="hybridMultilevel"/>
    <w:tmpl w:val="AAF87316"/>
    <w:lvl w:ilvl="0" w:tplc="9948EF7A">
      <w:start w:val="24"/>
      <w:numFmt w:val="bullet"/>
      <w:lvlText w:val="-"/>
      <w:lvlJc w:val="left"/>
      <w:pPr>
        <w:ind w:left="720" w:hanging="360"/>
      </w:pPr>
      <w:rPr>
        <w:rFonts w:ascii="Times New Roman" w:eastAsiaTheme="minorEastAsia"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E11781"/>
    <w:multiLevelType w:val="hybridMultilevel"/>
    <w:tmpl w:val="464C3D1C"/>
    <w:lvl w:ilvl="0" w:tplc="2522CB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AB6502B"/>
    <w:multiLevelType w:val="hybridMultilevel"/>
    <w:tmpl w:val="905232B0"/>
    <w:lvl w:ilvl="0" w:tplc="CDA01762">
      <w:start w:val="3"/>
      <w:numFmt w:val="bullet"/>
      <w:lvlText w:val="-"/>
      <w:lvlJc w:val="left"/>
      <w:pPr>
        <w:ind w:left="888" w:hanging="360"/>
      </w:pPr>
      <w:rPr>
        <w:rFonts w:ascii="Times New Roman" w:eastAsiaTheme="minorEastAsia" w:hAnsi="Times New Roman" w:cs="Times New Roman" w:hint="default"/>
      </w:rPr>
    </w:lvl>
    <w:lvl w:ilvl="1" w:tplc="040C0003" w:tentative="1">
      <w:start w:val="1"/>
      <w:numFmt w:val="bullet"/>
      <w:lvlText w:val="o"/>
      <w:lvlJc w:val="left"/>
      <w:pPr>
        <w:ind w:left="1608" w:hanging="360"/>
      </w:pPr>
      <w:rPr>
        <w:rFonts w:ascii="Courier New" w:hAnsi="Courier New" w:cs="Courier New" w:hint="default"/>
      </w:rPr>
    </w:lvl>
    <w:lvl w:ilvl="2" w:tplc="040C0005" w:tentative="1">
      <w:start w:val="1"/>
      <w:numFmt w:val="bullet"/>
      <w:lvlText w:val=""/>
      <w:lvlJc w:val="left"/>
      <w:pPr>
        <w:ind w:left="2328" w:hanging="360"/>
      </w:pPr>
      <w:rPr>
        <w:rFonts w:ascii="Wingdings" w:hAnsi="Wingdings" w:hint="default"/>
      </w:rPr>
    </w:lvl>
    <w:lvl w:ilvl="3" w:tplc="040C0001" w:tentative="1">
      <w:start w:val="1"/>
      <w:numFmt w:val="bullet"/>
      <w:lvlText w:val=""/>
      <w:lvlJc w:val="left"/>
      <w:pPr>
        <w:ind w:left="3048" w:hanging="360"/>
      </w:pPr>
      <w:rPr>
        <w:rFonts w:ascii="Symbol" w:hAnsi="Symbol" w:hint="default"/>
      </w:rPr>
    </w:lvl>
    <w:lvl w:ilvl="4" w:tplc="040C0003" w:tentative="1">
      <w:start w:val="1"/>
      <w:numFmt w:val="bullet"/>
      <w:lvlText w:val="o"/>
      <w:lvlJc w:val="left"/>
      <w:pPr>
        <w:ind w:left="3768" w:hanging="360"/>
      </w:pPr>
      <w:rPr>
        <w:rFonts w:ascii="Courier New" w:hAnsi="Courier New" w:cs="Courier New" w:hint="default"/>
      </w:rPr>
    </w:lvl>
    <w:lvl w:ilvl="5" w:tplc="040C0005" w:tentative="1">
      <w:start w:val="1"/>
      <w:numFmt w:val="bullet"/>
      <w:lvlText w:val=""/>
      <w:lvlJc w:val="left"/>
      <w:pPr>
        <w:ind w:left="4488" w:hanging="360"/>
      </w:pPr>
      <w:rPr>
        <w:rFonts w:ascii="Wingdings" w:hAnsi="Wingdings" w:hint="default"/>
      </w:rPr>
    </w:lvl>
    <w:lvl w:ilvl="6" w:tplc="040C0001" w:tentative="1">
      <w:start w:val="1"/>
      <w:numFmt w:val="bullet"/>
      <w:lvlText w:val=""/>
      <w:lvlJc w:val="left"/>
      <w:pPr>
        <w:ind w:left="5208" w:hanging="360"/>
      </w:pPr>
      <w:rPr>
        <w:rFonts w:ascii="Symbol" w:hAnsi="Symbol" w:hint="default"/>
      </w:rPr>
    </w:lvl>
    <w:lvl w:ilvl="7" w:tplc="040C0003" w:tentative="1">
      <w:start w:val="1"/>
      <w:numFmt w:val="bullet"/>
      <w:lvlText w:val="o"/>
      <w:lvlJc w:val="left"/>
      <w:pPr>
        <w:ind w:left="5928" w:hanging="360"/>
      </w:pPr>
      <w:rPr>
        <w:rFonts w:ascii="Courier New" w:hAnsi="Courier New" w:cs="Courier New" w:hint="default"/>
      </w:rPr>
    </w:lvl>
    <w:lvl w:ilvl="8" w:tplc="040C0005" w:tentative="1">
      <w:start w:val="1"/>
      <w:numFmt w:val="bullet"/>
      <w:lvlText w:val=""/>
      <w:lvlJc w:val="left"/>
      <w:pPr>
        <w:ind w:left="6648" w:hanging="360"/>
      </w:pPr>
      <w:rPr>
        <w:rFonts w:ascii="Wingdings" w:hAnsi="Wingdings" w:hint="default"/>
      </w:rPr>
    </w:lvl>
  </w:abstractNum>
  <w:abstractNum w:abstractNumId="6">
    <w:nsid w:val="2BB21829"/>
    <w:multiLevelType w:val="hybridMultilevel"/>
    <w:tmpl w:val="0E122A9C"/>
    <w:lvl w:ilvl="0" w:tplc="B1D830EA">
      <w:start w:val="3"/>
      <w:numFmt w:val="bullet"/>
      <w:lvlText w:val="-"/>
      <w:lvlJc w:val="left"/>
      <w:pPr>
        <w:ind w:left="1416" w:hanging="360"/>
      </w:pPr>
      <w:rPr>
        <w:rFonts w:ascii="Times New Roman" w:eastAsiaTheme="minorEastAsia" w:hAnsi="Times New Roman" w:cs="Times New Roman"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7">
    <w:nsid w:val="32231DD9"/>
    <w:multiLevelType w:val="hybridMultilevel"/>
    <w:tmpl w:val="D30C0C96"/>
    <w:lvl w:ilvl="0" w:tplc="99FE1138">
      <w:start w:val="1"/>
      <w:numFmt w:val="lowerLetter"/>
      <w:lvlText w:val="%1)"/>
      <w:lvlJc w:val="left"/>
      <w:pPr>
        <w:ind w:left="1092" w:hanging="360"/>
      </w:pPr>
      <w:rPr>
        <w:rFonts w:hint="default"/>
      </w:rPr>
    </w:lvl>
    <w:lvl w:ilvl="1" w:tplc="040C0019" w:tentative="1">
      <w:start w:val="1"/>
      <w:numFmt w:val="lowerLetter"/>
      <w:lvlText w:val="%2."/>
      <w:lvlJc w:val="left"/>
      <w:pPr>
        <w:ind w:left="1812" w:hanging="360"/>
      </w:pPr>
    </w:lvl>
    <w:lvl w:ilvl="2" w:tplc="040C001B" w:tentative="1">
      <w:start w:val="1"/>
      <w:numFmt w:val="lowerRoman"/>
      <w:lvlText w:val="%3."/>
      <w:lvlJc w:val="right"/>
      <w:pPr>
        <w:ind w:left="2532" w:hanging="180"/>
      </w:pPr>
    </w:lvl>
    <w:lvl w:ilvl="3" w:tplc="040C000F" w:tentative="1">
      <w:start w:val="1"/>
      <w:numFmt w:val="decimal"/>
      <w:lvlText w:val="%4."/>
      <w:lvlJc w:val="left"/>
      <w:pPr>
        <w:ind w:left="3252" w:hanging="360"/>
      </w:pPr>
    </w:lvl>
    <w:lvl w:ilvl="4" w:tplc="040C0019" w:tentative="1">
      <w:start w:val="1"/>
      <w:numFmt w:val="lowerLetter"/>
      <w:lvlText w:val="%5."/>
      <w:lvlJc w:val="left"/>
      <w:pPr>
        <w:ind w:left="3972" w:hanging="360"/>
      </w:pPr>
    </w:lvl>
    <w:lvl w:ilvl="5" w:tplc="040C001B" w:tentative="1">
      <w:start w:val="1"/>
      <w:numFmt w:val="lowerRoman"/>
      <w:lvlText w:val="%6."/>
      <w:lvlJc w:val="right"/>
      <w:pPr>
        <w:ind w:left="4692" w:hanging="180"/>
      </w:pPr>
    </w:lvl>
    <w:lvl w:ilvl="6" w:tplc="040C000F" w:tentative="1">
      <w:start w:val="1"/>
      <w:numFmt w:val="decimal"/>
      <w:lvlText w:val="%7."/>
      <w:lvlJc w:val="left"/>
      <w:pPr>
        <w:ind w:left="5412" w:hanging="360"/>
      </w:pPr>
    </w:lvl>
    <w:lvl w:ilvl="7" w:tplc="040C0019" w:tentative="1">
      <w:start w:val="1"/>
      <w:numFmt w:val="lowerLetter"/>
      <w:lvlText w:val="%8."/>
      <w:lvlJc w:val="left"/>
      <w:pPr>
        <w:ind w:left="6132" w:hanging="360"/>
      </w:pPr>
    </w:lvl>
    <w:lvl w:ilvl="8" w:tplc="040C001B" w:tentative="1">
      <w:start w:val="1"/>
      <w:numFmt w:val="lowerRoman"/>
      <w:lvlText w:val="%9."/>
      <w:lvlJc w:val="right"/>
      <w:pPr>
        <w:ind w:left="6852" w:hanging="180"/>
      </w:pPr>
    </w:lvl>
  </w:abstractNum>
  <w:abstractNum w:abstractNumId="8">
    <w:nsid w:val="326F01CF"/>
    <w:multiLevelType w:val="hybridMultilevel"/>
    <w:tmpl w:val="C32C119E"/>
    <w:lvl w:ilvl="0" w:tplc="2612E76C">
      <w:start w:val="1"/>
      <w:numFmt w:val="lowerLetter"/>
      <w:lvlText w:val="%1-"/>
      <w:lvlJc w:val="left"/>
      <w:pPr>
        <w:ind w:left="1092" w:hanging="360"/>
      </w:pPr>
      <w:rPr>
        <w:rFonts w:hint="default"/>
      </w:rPr>
    </w:lvl>
    <w:lvl w:ilvl="1" w:tplc="040C0019" w:tentative="1">
      <w:start w:val="1"/>
      <w:numFmt w:val="lowerLetter"/>
      <w:lvlText w:val="%2."/>
      <w:lvlJc w:val="left"/>
      <w:pPr>
        <w:ind w:left="1812" w:hanging="360"/>
      </w:pPr>
    </w:lvl>
    <w:lvl w:ilvl="2" w:tplc="040C001B" w:tentative="1">
      <w:start w:val="1"/>
      <w:numFmt w:val="lowerRoman"/>
      <w:lvlText w:val="%3."/>
      <w:lvlJc w:val="right"/>
      <w:pPr>
        <w:ind w:left="2532" w:hanging="180"/>
      </w:pPr>
    </w:lvl>
    <w:lvl w:ilvl="3" w:tplc="040C000F" w:tentative="1">
      <w:start w:val="1"/>
      <w:numFmt w:val="decimal"/>
      <w:lvlText w:val="%4."/>
      <w:lvlJc w:val="left"/>
      <w:pPr>
        <w:ind w:left="3252" w:hanging="360"/>
      </w:pPr>
    </w:lvl>
    <w:lvl w:ilvl="4" w:tplc="040C0019" w:tentative="1">
      <w:start w:val="1"/>
      <w:numFmt w:val="lowerLetter"/>
      <w:lvlText w:val="%5."/>
      <w:lvlJc w:val="left"/>
      <w:pPr>
        <w:ind w:left="3972" w:hanging="360"/>
      </w:pPr>
    </w:lvl>
    <w:lvl w:ilvl="5" w:tplc="040C001B" w:tentative="1">
      <w:start w:val="1"/>
      <w:numFmt w:val="lowerRoman"/>
      <w:lvlText w:val="%6."/>
      <w:lvlJc w:val="right"/>
      <w:pPr>
        <w:ind w:left="4692" w:hanging="180"/>
      </w:pPr>
    </w:lvl>
    <w:lvl w:ilvl="6" w:tplc="040C000F" w:tentative="1">
      <w:start w:val="1"/>
      <w:numFmt w:val="decimal"/>
      <w:lvlText w:val="%7."/>
      <w:lvlJc w:val="left"/>
      <w:pPr>
        <w:ind w:left="5412" w:hanging="360"/>
      </w:pPr>
    </w:lvl>
    <w:lvl w:ilvl="7" w:tplc="040C0019" w:tentative="1">
      <w:start w:val="1"/>
      <w:numFmt w:val="lowerLetter"/>
      <w:lvlText w:val="%8."/>
      <w:lvlJc w:val="left"/>
      <w:pPr>
        <w:ind w:left="6132" w:hanging="360"/>
      </w:pPr>
    </w:lvl>
    <w:lvl w:ilvl="8" w:tplc="040C001B" w:tentative="1">
      <w:start w:val="1"/>
      <w:numFmt w:val="lowerRoman"/>
      <w:lvlText w:val="%9."/>
      <w:lvlJc w:val="right"/>
      <w:pPr>
        <w:ind w:left="6852" w:hanging="180"/>
      </w:pPr>
    </w:lvl>
  </w:abstractNum>
  <w:abstractNum w:abstractNumId="9">
    <w:nsid w:val="34376275"/>
    <w:multiLevelType w:val="hybridMultilevel"/>
    <w:tmpl w:val="707CB0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CB61A9"/>
    <w:multiLevelType w:val="hybridMultilevel"/>
    <w:tmpl w:val="2D569B8E"/>
    <w:lvl w:ilvl="0" w:tplc="9A845BF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351E54"/>
    <w:multiLevelType w:val="hybridMultilevel"/>
    <w:tmpl w:val="FD44E3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D04765"/>
    <w:multiLevelType w:val="hybridMultilevel"/>
    <w:tmpl w:val="D6368C66"/>
    <w:lvl w:ilvl="0" w:tplc="671AD9A2">
      <w:start w:val="24"/>
      <w:numFmt w:val="bullet"/>
      <w:lvlText w:val="-"/>
      <w:lvlJc w:val="left"/>
      <w:pPr>
        <w:ind w:left="1176" w:hanging="360"/>
      </w:pPr>
      <w:rPr>
        <w:rFonts w:ascii="Times New Roman" w:eastAsiaTheme="minorEastAsia" w:hAnsi="Times New Roman" w:cs="Times New Roman"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3">
    <w:nsid w:val="43305CE7"/>
    <w:multiLevelType w:val="hybridMultilevel"/>
    <w:tmpl w:val="D8A242B8"/>
    <w:lvl w:ilvl="0" w:tplc="CC2AF2CA">
      <w:start w:val="1"/>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EA24137"/>
    <w:multiLevelType w:val="hybridMultilevel"/>
    <w:tmpl w:val="5B8464A2"/>
    <w:lvl w:ilvl="0" w:tplc="8EAA8B24">
      <w:start w:val="1"/>
      <w:numFmt w:val="bullet"/>
      <w:lvlText w:val="-"/>
      <w:lvlJc w:val="left"/>
      <w:pPr>
        <w:ind w:left="1104" w:hanging="360"/>
      </w:pPr>
      <w:rPr>
        <w:rFonts w:ascii="Times New Roman" w:eastAsiaTheme="minorEastAsia" w:hAnsi="Times New Roman" w:cs="Times New Roman" w:hint="default"/>
      </w:rPr>
    </w:lvl>
    <w:lvl w:ilvl="1" w:tplc="040C0003" w:tentative="1">
      <w:start w:val="1"/>
      <w:numFmt w:val="bullet"/>
      <w:lvlText w:val="o"/>
      <w:lvlJc w:val="left"/>
      <w:pPr>
        <w:ind w:left="1824" w:hanging="360"/>
      </w:pPr>
      <w:rPr>
        <w:rFonts w:ascii="Courier New" w:hAnsi="Courier New" w:cs="Courier New" w:hint="default"/>
      </w:rPr>
    </w:lvl>
    <w:lvl w:ilvl="2" w:tplc="040C0005" w:tentative="1">
      <w:start w:val="1"/>
      <w:numFmt w:val="bullet"/>
      <w:lvlText w:val=""/>
      <w:lvlJc w:val="left"/>
      <w:pPr>
        <w:ind w:left="2544" w:hanging="360"/>
      </w:pPr>
      <w:rPr>
        <w:rFonts w:ascii="Wingdings" w:hAnsi="Wingdings" w:hint="default"/>
      </w:rPr>
    </w:lvl>
    <w:lvl w:ilvl="3" w:tplc="040C0001" w:tentative="1">
      <w:start w:val="1"/>
      <w:numFmt w:val="bullet"/>
      <w:lvlText w:val=""/>
      <w:lvlJc w:val="left"/>
      <w:pPr>
        <w:ind w:left="3264" w:hanging="360"/>
      </w:pPr>
      <w:rPr>
        <w:rFonts w:ascii="Symbol" w:hAnsi="Symbol" w:hint="default"/>
      </w:rPr>
    </w:lvl>
    <w:lvl w:ilvl="4" w:tplc="040C0003" w:tentative="1">
      <w:start w:val="1"/>
      <w:numFmt w:val="bullet"/>
      <w:lvlText w:val="o"/>
      <w:lvlJc w:val="left"/>
      <w:pPr>
        <w:ind w:left="3984" w:hanging="360"/>
      </w:pPr>
      <w:rPr>
        <w:rFonts w:ascii="Courier New" w:hAnsi="Courier New" w:cs="Courier New" w:hint="default"/>
      </w:rPr>
    </w:lvl>
    <w:lvl w:ilvl="5" w:tplc="040C0005" w:tentative="1">
      <w:start w:val="1"/>
      <w:numFmt w:val="bullet"/>
      <w:lvlText w:val=""/>
      <w:lvlJc w:val="left"/>
      <w:pPr>
        <w:ind w:left="4704" w:hanging="360"/>
      </w:pPr>
      <w:rPr>
        <w:rFonts w:ascii="Wingdings" w:hAnsi="Wingdings" w:hint="default"/>
      </w:rPr>
    </w:lvl>
    <w:lvl w:ilvl="6" w:tplc="040C0001" w:tentative="1">
      <w:start w:val="1"/>
      <w:numFmt w:val="bullet"/>
      <w:lvlText w:val=""/>
      <w:lvlJc w:val="left"/>
      <w:pPr>
        <w:ind w:left="5424" w:hanging="360"/>
      </w:pPr>
      <w:rPr>
        <w:rFonts w:ascii="Symbol" w:hAnsi="Symbol" w:hint="default"/>
      </w:rPr>
    </w:lvl>
    <w:lvl w:ilvl="7" w:tplc="040C0003" w:tentative="1">
      <w:start w:val="1"/>
      <w:numFmt w:val="bullet"/>
      <w:lvlText w:val="o"/>
      <w:lvlJc w:val="left"/>
      <w:pPr>
        <w:ind w:left="6144" w:hanging="360"/>
      </w:pPr>
      <w:rPr>
        <w:rFonts w:ascii="Courier New" w:hAnsi="Courier New" w:cs="Courier New" w:hint="default"/>
      </w:rPr>
    </w:lvl>
    <w:lvl w:ilvl="8" w:tplc="040C0005" w:tentative="1">
      <w:start w:val="1"/>
      <w:numFmt w:val="bullet"/>
      <w:lvlText w:val=""/>
      <w:lvlJc w:val="left"/>
      <w:pPr>
        <w:ind w:left="6864" w:hanging="360"/>
      </w:pPr>
      <w:rPr>
        <w:rFonts w:ascii="Wingdings" w:hAnsi="Wingdings" w:hint="default"/>
      </w:rPr>
    </w:lvl>
  </w:abstractNum>
  <w:abstractNum w:abstractNumId="15">
    <w:nsid w:val="60D63E4E"/>
    <w:multiLevelType w:val="hybridMultilevel"/>
    <w:tmpl w:val="34C25000"/>
    <w:lvl w:ilvl="0" w:tplc="9FBA32A4">
      <w:start w:val="3"/>
      <w:numFmt w:val="bullet"/>
      <w:lvlText w:val="-"/>
      <w:lvlJc w:val="left"/>
      <w:pPr>
        <w:ind w:left="1392" w:hanging="360"/>
      </w:pPr>
      <w:rPr>
        <w:rFonts w:ascii="Times New Roman" w:eastAsiaTheme="minorEastAsia" w:hAnsi="Times New Roman" w:cs="Times New Roman" w:hint="default"/>
      </w:rPr>
    </w:lvl>
    <w:lvl w:ilvl="1" w:tplc="040C0003" w:tentative="1">
      <w:start w:val="1"/>
      <w:numFmt w:val="bullet"/>
      <w:lvlText w:val="o"/>
      <w:lvlJc w:val="left"/>
      <w:pPr>
        <w:ind w:left="2112" w:hanging="360"/>
      </w:pPr>
      <w:rPr>
        <w:rFonts w:ascii="Courier New" w:hAnsi="Courier New" w:cs="Courier New" w:hint="default"/>
      </w:rPr>
    </w:lvl>
    <w:lvl w:ilvl="2" w:tplc="040C0005" w:tentative="1">
      <w:start w:val="1"/>
      <w:numFmt w:val="bullet"/>
      <w:lvlText w:val=""/>
      <w:lvlJc w:val="left"/>
      <w:pPr>
        <w:ind w:left="2832" w:hanging="360"/>
      </w:pPr>
      <w:rPr>
        <w:rFonts w:ascii="Wingdings" w:hAnsi="Wingdings" w:hint="default"/>
      </w:rPr>
    </w:lvl>
    <w:lvl w:ilvl="3" w:tplc="040C0001" w:tentative="1">
      <w:start w:val="1"/>
      <w:numFmt w:val="bullet"/>
      <w:lvlText w:val=""/>
      <w:lvlJc w:val="left"/>
      <w:pPr>
        <w:ind w:left="3552" w:hanging="360"/>
      </w:pPr>
      <w:rPr>
        <w:rFonts w:ascii="Symbol" w:hAnsi="Symbol" w:hint="default"/>
      </w:rPr>
    </w:lvl>
    <w:lvl w:ilvl="4" w:tplc="040C0003" w:tentative="1">
      <w:start w:val="1"/>
      <w:numFmt w:val="bullet"/>
      <w:lvlText w:val="o"/>
      <w:lvlJc w:val="left"/>
      <w:pPr>
        <w:ind w:left="4272" w:hanging="360"/>
      </w:pPr>
      <w:rPr>
        <w:rFonts w:ascii="Courier New" w:hAnsi="Courier New" w:cs="Courier New" w:hint="default"/>
      </w:rPr>
    </w:lvl>
    <w:lvl w:ilvl="5" w:tplc="040C0005" w:tentative="1">
      <w:start w:val="1"/>
      <w:numFmt w:val="bullet"/>
      <w:lvlText w:val=""/>
      <w:lvlJc w:val="left"/>
      <w:pPr>
        <w:ind w:left="4992" w:hanging="360"/>
      </w:pPr>
      <w:rPr>
        <w:rFonts w:ascii="Wingdings" w:hAnsi="Wingdings" w:hint="default"/>
      </w:rPr>
    </w:lvl>
    <w:lvl w:ilvl="6" w:tplc="040C0001" w:tentative="1">
      <w:start w:val="1"/>
      <w:numFmt w:val="bullet"/>
      <w:lvlText w:val=""/>
      <w:lvlJc w:val="left"/>
      <w:pPr>
        <w:ind w:left="5712" w:hanging="360"/>
      </w:pPr>
      <w:rPr>
        <w:rFonts w:ascii="Symbol" w:hAnsi="Symbol" w:hint="default"/>
      </w:rPr>
    </w:lvl>
    <w:lvl w:ilvl="7" w:tplc="040C0003" w:tentative="1">
      <w:start w:val="1"/>
      <w:numFmt w:val="bullet"/>
      <w:lvlText w:val="o"/>
      <w:lvlJc w:val="left"/>
      <w:pPr>
        <w:ind w:left="6432" w:hanging="360"/>
      </w:pPr>
      <w:rPr>
        <w:rFonts w:ascii="Courier New" w:hAnsi="Courier New" w:cs="Courier New" w:hint="default"/>
      </w:rPr>
    </w:lvl>
    <w:lvl w:ilvl="8" w:tplc="040C0005" w:tentative="1">
      <w:start w:val="1"/>
      <w:numFmt w:val="bullet"/>
      <w:lvlText w:val=""/>
      <w:lvlJc w:val="left"/>
      <w:pPr>
        <w:ind w:left="7152" w:hanging="360"/>
      </w:pPr>
      <w:rPr>
        <w:rFonts w:ascii="Wingdings" w:hAnsi="Wingdings" w:hint="default"/>
      </w:rPr>
    </w:lvl>
  </w:abstractNum>
  <w:abstractNum w:abstractNumId="16">
    <w:nsid w:val="69040468"/>
    <w:multiLevelType w:val="hybridMultilevel"/>
    <w:tmpl w:val="1ACA3C8A"/>
    <w:lvl w:ilvl="0" w:tplc="58A29F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5B02F6"/>
    <w:multiLevelType w:val="hybridMultilevel"/>
    <w:tmpl w:val="675CBE1A"/>
    <w:lvl w:ilvl="0" w:tplc="235E25D2">
      <w:start w:val="1"/>
      <w:numFmt w:val="decimal"/>
      <w:lvlText w:val="%1-"/>
      <w:lvlJc w:val="left"/>
      <w:pPr>
        <w:ind w:left="768" w:hanging="360"/>
      </w:pPr>
      <w:rPr>
        <w:rFonts w:hint="default"/>
      </w:r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8">
    <w:nsid w:val="6B6B3EE5"/>
    <w:multiLevelType w:val="hybridMultilevel"/>
    <w:tmpl w:val="36D63574"/>
    <w:lvl w:ilvl="0" w:tplc="40AC97D4">
      <w:start w:val="3"/>
      <w:numFmt w:val="bullet"/>
      <w:lvlText w:val="-"/>
      <w:lvlJc w:val="left"/>
      <w:pPr>
        <w:ind w:left="1104" w:hanging="360"/>
      </w:pPr>
      <w:rPr>
        <w:rFonts w:ascii="Times New Roman" w:eastAsiaTheme="minorEastAsia" w:hAnsi="Times New Roman" w:cs="Times New Roman" w:hint="default"/>
      </w:rPr>
    </w:lvl>
    <w:lvl w:ilvl="1" w:tplc="040C0003" w:tentative="1">
      <w:start w:val="1"/>
      <w:numFmt w:val="bullet"/>
      <w:lvlText w:val="o"/>
      <w:lvlJc w:val="left"/>
      <w:pPr>
        <w:ind w:left="1824" w:hanging="360"/>
      </w:pPr>
      <w:rPr>
        <w:rFonts w:ascii="Courier New" w:hAnsi="Courier New" w:cs="Courier New" w:hint="default"/>
      </w:rPr>
    </w:lvl>
    <w:lvl w:ilvl="2" w:tplc="040C0005" w:tentative="1">
      <w:start w:val="1"/>
      <w:numFmt w:val="bullet"/>
      <w:lvlText w:val=""/>
      <w:lvlJc w:val="left"/>
      <w:pPr>
        <w:ind w:left="2544" w:hanging="360"/>
      </w:pPr>
      <w:rPr>
        <w:rFonts w:ascii="Wingdings" w:hAnsi="Wingdings" w:hint="default"/>
      </w:rPr>
    </w:lvl>
    <w:lvl w:ilvl="3" w:tplc="040C0001" w:tentative="1">
      <w:start w:val="1"/>
      <w:numFmt w:val="bullet"/>
      <w:lvlText w:val=""/>
      <w:lvlJc w:val="left"/>
      <w:pPr>
        <w:ind w:left="3264" w:hanging="360"/>
      </w:pPr>
      <w:rPr>
        <w:rFonts w:ascii="Symbol" w:hAnsi="Symbol" w:hint="default"/>
      </w:rPr>
    </w:lvl>
    <w:lvl w:ilvl="4" w:tplc="040C0003" w:tentative="1">
      <w:start w:val="1"/>
      <w:numFmt w:val="bullet"/>
      <w:lvlText w:val="o"/>
      <w:lvlJc w:val="left"/>
      <w:pPr>
        <w:ind w:left="3984" w:hanging="360"/>
      </w:pPr>
      <w:rPr>
        <w:rFonts w:ascii="Courier New" w:hAnsi="Courier New" w:cs="Courier New" w:hint="default"/>
      </w:rPr>
    </w:lvl>
    <w:lvl w:ilvl="5" w:tplc="040C0005" w:tentative="1">
      <w:start w:val="1"/>
      <w:numFmt w:val="bullet"/>
      <w:lvlText w:val=""/>
      <w:lvlJc w:val="left"/>
      <w:pPr>
        <w:ind w:left="4704" w:hanging="360"/>
      </w:pPr>
      <w:rPr>
        <w:rFonts w:ascii="Wingdings" w:hAnsi="Wingdings" w:hint="default"/>
      </w:rPr>
    </w:lvl>
    <w:lvl w:ilvl="6" w:tplc="040C0001" w:tentative="1">
      <w:start w:val="1"/>
      <w:numFmt w:val="bullet"/>
      <w:lvlText w:val=""/>
      <w:lvlJc w:val="left"/>
      <w:pPr>
        <w:ind w:left="5424" w:hanging="360"/>
      </w:pPr>
      <w:rPr>
        <w:rFonts w:ascii="Symbol" w:hAnsi="Symbol" w:hint="default"/>
      </w:rPr>
    </w:lvl>
    <w:lvl w:ilvl="7" w:tplc="040C0003" w:tentative="1">
      <w:start w:val="1"/>
      <w:numFmt w:val="bullet"/>
      <w:lvlText w:val="o"/>
      <w:lvlJc w:val="left"/>
      <w:pPr>
        <w:ind w:left="6144" w:hanging="360"/>
      </w:pPr>
      <w:rPr>
        <w:rFonts w:ascii="Courier New" w:hAnsi="Courier New" w:cs="Courier New" w:hint="default"/>
      </w:rPr>
    </w:lvl>
    <w:lvl w:ilvl="8" w:tplc="040C0005" w:tentative="1">
      <w:start w:val="1"/>
      <w:numFmt w:val="bullet"/>
      <w:lvlText w:val=""/>
      <w:lvlJc w:val="left"/>
      <w:pPr>
        <w:ind w:left="6864" w:hanging="360"/>
      </w:pPr>
      <w:rPr>
        <w:rFonts w:ascii="Wingdings" w:hAnsi="Wingdings" w:hint="default"/>
      </w:rPr>
    </w:lvl>
  </w:abstractNum>
  <w:abstractNum w:abstractNumId="19">
    <w:nsid w:val="703C0DDE"/>
    <w:multiLevelType w:val="hybridMultilevel"/>
    <w:tmpl w:val="C7102748"/>
    <w:lvl w:ilvl="0" w:tplc="B2A868FA">
      <w:start w:val="2"/>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CE07BF2"/>
    <w:multiLevelType w:val="hybridMultilevel"/>
    <w:tmpl w:val="EDAC6454"/>
    <w:lvl w:ilvl="0" w:tplc="C38A3B14">
      <w:start w:val="2"/>
      <w:numFmt w:val="bullet"/>
      <w:lvlText w:val="-"/>
      <w:lvlJc w:val="left"/>
      <w:pPr>
        <w:ind w:left="792" w:hanging="360"/>
      </w:pPr>
      <w:rPr>
        <w:rFonts w:ascii="Times New Roman" w:eastAsiaTheme="minorEastAsia" w:hAnsi="Times New Roman"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nsid w:val="7D7D688D"/>
    <w:multiLevelType w:val="hybridMultilevel"/>
    <w:tmpl w:val="D84EE5C6"/>
    <w:lvl w:ilvl="0" w:tplc="34F64B72">
      <w:start w:val="3"/>
      <w:numFmt w:val="decimal"/>
      <w:lvlText w:val="%1-"/>
      <w:lvlJc w:val="left"/>
      <w:pPr>
        <w:ind w:left="792" w:hanging="360"/>
      </w:pPr>
      <w:rPr>
        <w:rFonts w:hint="default"/>
        <w:u w:val="single"/>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2">
    <w:nsid w:val="7E3D3B7A"/>
    <w:multiLevelType w:val="hybridMultilevel"/>
    <w:tmpl w:val="8AE89250"/>
    <w:lvl w:ilvl="0" w:tplc="283C0E28">
      <w:start w:val="3"/>
      <w:numFmt w:val="bullet"/>
      <w:lvlText w:val="-"/>
      <w:lvlJc w:val="left"/>
      <w:pPr>
        <w:ind w:left="1416" w:hanging="360"/>
      </w:pPr>
      <w:rPr>
        <w:rFonts w:ascii="Times New Roman" w:eastAsiaTheme="minorEastAsia" w:hAnsi="Times New Roman" w:cs="Times New Roman"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num w:numId="1">
    <w:abstractNumId w:val="3"/>
  </w:num>
  <w:num w:numId="2">
    <w:abstractNumId w:val="12"/>
  </w:num>
  <w:num w:numId="3">
    <w:abstractNumId w:val="9"/>
  </w:num>
  <w:num w:numId="4">
    <w:abstractNumId w:val="11"/>
  </w:num>
  <w:num w:numId="5">
    <w:abstractNumId w:val="10"/>
  </w:num>
  <w:num w:numId="6">
    <w:abstractNumId w:val="16"/>
  </w:num>
  <w:num w:numId="7">
    <w:abstractNumId w:val="20"/>
  </w:num>
  <w:num w:numId="8">
    <w:abstractNumId w:val="15"/>
  </w:num>
  <w:num w:numId="9">
    <w:abstractNumId w:val="6"/>
  </w:num>
  <w:num w:numId="10">
    <w:abstractNumId w:val="22"/>
  </w:num>
  <w:num w:numId="11">
    <w:abstractNumId w:val="17"/>
  </w:num>
  <w:num w:numId="12">
    <w:abstractNumId w:val="4"/>
  </w:num>
  <w:num w:numId="13">
    <w:abstractNumId w:val="7"/>
  </w:num>
  <w:num w:numId="14">
    <w:abstractNumId w:val="8"/>
  </w:num>
  <w:num w:numId="15">
    <w:abstractNumId w:val="14"/>
  </w:num>
  <w:num w:numId="16">
    <w:abstractNumId w:val="13"/>
  </w:num>
  <w:num w:numId="17">
    <w:abstractNumId w:val="19"/>
  </w:num>
  <w:num w:numId="18">
    <w:abstractNumId w:val="1"/>
  </w:num>
  <w:num w:numId="19">
    <w:abstractNumId w:val="5"/>
  </w:num>
  <w:num w:numId="20">
    <w:abstractNumId w:val="18"/>
  </w:num>
  <w:num w:numId="21">
    <w:abstractNumId w:val="2"/>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EE"/>
    <w:rsid w:val="00007273"/>
    <w:rsid w:val="000109AA"/>
    <w:rsid w:val="00014FDF"/>
    <w:rsid w:val="00024923"/>
    <w:rsid w:val="00043B30"/>
    <w:rsid w:val="00045E28"/>
    <w:rsid w:val="00056359"/>
    <w:rsid w:val="00065478"/>
    <w:rsid w:val="000B1B71"/>
    <w:rsid w:val="000B5AD8"/>
    <w:rsid w:val="000B6DE3"/>
    <w:rsid w:val="000C2507"/>
    <w:rsid w:val="000C7CB9"/>
    <w:rsid w:val="000D66D4"/>
    <w:rsid w:val="000E5D79"/>
    <w:rsid w:val="00114B41"/>
    <w:rsid w:val="00117617"/>
    <w:rsid w:val="00151621"/>
    <w:rsid w:val="00156E65"/>
    <w:rsid w:val="00160099"/>
    <w:rsid w:val="00161171"/>
    <w:rsid w:val="0016348D"/>
    <w:rsid w:val="001657EE"/>
    <w:rsid w:val="00187D58"/>
    <w:rsid w:val="00195F3D"/>
    <w:rsid w:val="001D060F"/>
    <w:rsid w:val="001E6512"/>
    <w:rsid w:val="002005B5"/>
    <w:rsid w:val="002144D6"/>
    <w:rsid w:val="00216494"/>
    <w:rsid w:val="002256C0"/>
    <w:rsid w:val="00225C08"/>
    <w:rsid w:val="0024579D"/>
    <w:rsid w:val="00251A7D"/>
    <w:rsid w:val="00251F0F"/>
    <w:rsid w:val="00266CC9"/>
    <w:rsid w:val="00277762"/>
    <w:rsid w:val="00281197"/>
    <w:rsid w:val="002951A9"/>
    <w:rsid w:val="00295DAD"/>
    <w:rsid w:val="002E56B5"/>
    <w:rsid w:val="002F0A86"/>
    <w:rsid w:val="00312C42"/>
    <w:rsid w:val="00340265"/>
    <w:rsid w:val="00347538"/>
    <w:rsid w:val="00355D62"/>
    <w:rsid w:val="003569EE"/>
    <w:rsid w:val="00381A55"/>
    <w:rsid w:val="0038205A"/>
    <w:rsid w:val="0038444B"/>
    <w:rsid w:val="00385A78"/>
    <w:rsid w:val="003878A3"/>
    <w:rsid w:val="00387938"/>
    <w:rsid w:val="00392A50"/>
    <w:rsid w:val="003A5A47"/>
    <w:rsid w:val="003A6D72"/>
    <w:rsid w:val="003B5D28"/>
    <w:rsid w:val="003E4940"/>
    <w:rsid w:val="003F0DA2"/>
    <w:rsid w:val="003F675F"/>
    <w:rsid w:val="00404652"/>
    <w:rsid w:val="0043275C"/>
    <w:rsid w:val="00432BD6"/>
    <w:rsid w:val="00437599"/>
    <w:rsid w:val="00440E4F"/>
    <w:rsid w:val="00443C8D"/>
    <w:rsid w:val="00451E70"/>
    <w:rsid w:val="00453AA4"/>
    <w:rsid w:val="0048377B"/>
    <w:rsid w:val="004A7B1E"/>
    <w:rsid w:val="004F03CF"/>
    <w:rsid w:val="005105A3"/>
    <w:rsid w:val="005378BD"/>
    <w:rsid w:val="005418C9"/>
    <w:rsid w:val="00544E27"/>
    <w:rsid w:val="005562B9"/>
    <w:rsid w:val="00566057"/>
    <w:rsid w:val="005B4BF2"/>
    <w:rsid w:val="005C5DC3"/>
    <w:rsid w:val="005C79C4"/>
    <w:rsid w:val="005D5D5A"/>
    <w:rsid w:val="0061763B"/>
    <w:rsid w:val="00630D9D"/>
    <w:rsid w:val="00647C24"/>
    <w:rsid w:val="0069756D"/>
    <w:rsid w:val="006B470D"/>
    <w:rsid w:val="006B6CE6"/>
    <w:rsid w:val="006E7FAA"/>
    <w:rsid w:val="006F1BD7"/>
    <w:rsid w:val="006F4093"/>
    <w:rsid w:val="00706001"/>
    <w:rsid w:val="00736E66"/>
    <w:rsid w:val="0074054E"/>
    <w:rsid w:val="007561D0"/>
    <w:rsid w:val="00776801"/>
    <w:rsid w:val="007810B0"/>
    <w:rsid w:val="00784E5F"/>
    <w:rsid w:val="00795896"/>
    <w:rsid w:val="00800B1F"/>
    <w:rsid w:val="0080410C"/>
    <w:rsid w:val="00816A14"/>
    <w:rsid w:val="00823208"/>
    <w:rsid w:val="008261AE"/>
    <w:rsid w:val="008521AC"/>
    <w:rsid w:val="00853D9E"/>
    <w:rsid w:val="008662A7"/>
    <w:rsid w:val="008B5A58"/>
    <w:rsid w:val="008E4BE1"/>
    <w:rsid w:val="009059EE"/>
    <w:rsid w:val="00913DF1"/>
    <w:rsid w:val="00957494"/>
    <w:rsid w:val="009624A5"/>
    <w:rsid w:val="00984A01"/>
    <w:rsid w:val="009930BB"/>
    <w:rsid w:val="00995C08"/>
    <w:rsid w:val="009D3692"/>
    <w:rsid w:val="009F57B9"/>
    <w:rsid w:val="009F642B"/>
    <w:rsid w:val="00A12879"/>
    <w:rsid w:val="00A42748"/>
    <w:rsid w:val="00A82B3B"/>
    <w:rsid w:val="00A87EE2"/>
    <w:rsid w:val="00AB0DEF"/>
    <w:rsid w:val="00AB6483"/>
    <w:rsid w:val="00AC0AAB"/>
    <w:rsid w:val="00AE33EF"/>
    <w:rsid w:val="00B27D95"/>
    <w:rsid w:val="00B46FC7"/>
    <w:rsid w:val="00B50002"/>
    <w:rsid w:val="00B51590"/>
    <w:rsid w:val="00B51974"/>
    <w:rsid w:val="00BA05BA"/>
    <w:rsid w:val="00BB3302"/>
    <w:rsid w:val="00BE54B2"/>
    <w:rsid w:val="00BE7FF3"/>
    <w:rsid w:val="00BF6141"/>
    <w:rsid w:val="00C029D0"/>
    <w:rsid w:val="00C22645"/>
    <w:rsid w:val="00C407F8"/>
    <w:rsid w:val="00C44B35"/>
    <w:rsid w:val="00C50BBB"/>
    <w:rsid w:val="00CA2E4C"/>
    <w:rsid w:val="00CA73F7"/>
    <w:rsid w:val="00CD50F3"/>
    <w:rsid w:val="00CF0751"/>
    <w:rsid w:val="00D101EE"/>
    <w:rsid w:val="00D23CC3"/>
    <w:rsid w:val="00D40F42"/>
    <w:rsid w:val="00D76A31"/>
    <w:rsid w:val="00D81942"/>
    <w:rsid w:val="00D9211D"/>
    <w:rsid w:val="00DA1CEB"/>
    <w:rsid w:val="00DA7F79"/>
    <w:rsid w:val="00DD29E6"/>
    <w:rsid w:val="00E32E96"/>
    <w:rsid w:val="00E45DBA"/>
    <w:rsid w:val="00E76397"/>
    <w:rsid w:val="00E8330A"/>
    <w:rsid w:val="00EC2B87"/>
    <w:rsid w:val="00EC7FB1"/>
    <w:rsid w:val="00ED1B1A"/>
    <w:rsid w:val="00ED68EE"/>
    <w:rsid w:val="00ED771C"/>
    <w:rsid w:val="00EF5AB6"/>
    <w:rsid w:val="00EF76BD"/>
    <w:rsid w:val="00F00057"/>
    <w:rsid w:val="00F009D1"/>
    <w:rsid w:val="00F229A4"/>
    <w:rsid w:val="00F230EA"/>
    <w:rsid w:val="00F3717C"/>
    <w:rsid w:val="00F41467"/>
    <w:rsid w:val="00F46065"/>
    <w:rsid w:val="00F877D7"/>
    <w:rsid w:val="00FC7138"/>
    <w:rsid w:val="00FD478F"/>
    <w:rsid w:val="00FF0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1F"/>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00B1F"/>
  </w:style>
  <w:style w:type="paragraph" w:styleId="ListParagraph">
    <w:name w:val="List Paragraph"/>
    <w:basedOn w:val="Normal"/>
    <w:uiPriority w:val="34"/>
    <w:qFormat/>
    <w:rsid w:val="000B6DE3"/>
    <w:pPr>
      <w:ind w:left="720"/>
      <w:contextualSpacing/>
    </w:pPr>
  </w:style>
  <w:style w:type="character" w:styleId="Hyperlink">
    <w:name w:val="Hyperlink"/>
    <w:basedOn w:val="DefaultParagraphFont"/>
    <w:uiPriority w:val="99"/>
    <w:unhideWhenUsed/>
    <w:rsid w:val="0054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1F"/>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00B1F"/>
  </w:style>
  <w:style w:type="paragraph" w:styleId="ListParagraph">
    <w:name w:val="List Paragraph"/>
    <w:basedOn w:val="Normal"/>
    <w:uiPriority w:val="34"/>
    <w:qFormat/>
    <w:rsid w:val="000B6DE3"/>
    <w:pPr>
      <w:ind w:left="720"/>
      <w:contextualSpacing/>
    </w:pPr>
  </w:style>
  <w:style w:type="character" w:styleId="Hyperlink">
    <w:name w:val="Hyperlink"/>
    <w:basedOn w:val="DefaultParagraphFont"/>
    <w:uiPriority w:val="99"/>
    <w:unhideWhenUsed/>
    <w:rsid w:val="0054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hri.ohchr.org/en"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3BFEF-632E-4D27-A6ED-FBCE841EBF21}"/>
</file>

<file path=customXml/itemProps2.xml><?xml version="1.0" encoding="utf-8"?>
<ds:datastoreItem xmlns:ds="http://schemas.openxmlformats.org/officeDocument/2006/customXml" ds:itemID="{00F94A0C-C2F1-4582-B1CF-3BD12ECC9951}"/>
</file>

<file path=customXml/itemProps3.xml><?xml version="1.0" encoding="utf-8"?>
<ds:datastoreItem xmlns:ds="http://schemas.openxmlformats.org/officeDocument/2006/customXml" ds:itemID="{8E4F1343-27B3-4915-B398-54524E440493}"/>
</file>

<file path=docProps/app.xml><?xml version="1.0" encoding="utf-8"?>
<Properties xmlns="http://schemas.openxmlformats.org/officeDocument/2006/extended-properties" xmlns:vt="http://schemas.openxmlformats.org/officeDocument/2006/docPropsVTypes">
  <Template>Normal</Template>
  <TotalTime>1</TotalTime>
  <Pages>2</Pages>
  <Words>3683</Words>
  <Characters>20996</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régis de gouttes</dc:creator>
  <cp:keywords>Version 2015</cp:keywords>
  <cp:lastModifiedBy>SPB Consultant12</cp:lastModifiedBy>
  <cp:revision>2</cp:revision>
  <dcterms:created xsi:type="dcterms:W3CDTF">2015-12-15T14:34:00Z</dcterms:created>
  <dcterms:modified xsi:type="dcterms:W3CDTF">2015-12-15T14:34:00Z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3267400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