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4140CC" w14:paraId="30F4C424" w14:textId="77777777" w:rsidTr="0040017C">
        <w:trPr>
          <w:trHeight w:val="851"/>
        </w:trPr>
        <w:tc>
          <w:tcPr>
            <w:tcW w:w="1259" w:type="dxa"/>
            <w:tcBorders>
              <w:top w:val="nil"/>
              <w:left w:val="nil"/>
              <w:bottom w:val="single" w:sz="4" w:space="0" w:color="auto"/>
              <w:right w:val="nil"/>
            </w:tcBorders>
          </w:tcPr>
          <w:p w14:paraId="4CA4E8E2" w14:textId="77777777" w:rsidR="00E52109" w:rsidRPr="004140CC" w:rsidRDefault="00E52109" w:rsidP="0040017C">
            <w:pPr>
              <w:pStyle w:val="HMG"/>
            </w:pPr>
          </w:p>
        </w:tc>
        <w:tc>
          <w:tcPr>
            <w:tcW w:w="2236" w:type="dxa"/>
            <w:tcBorders>
              <w:top w:val="nil"/>
              <w:left w:val="nil"/>
              <w:bottom w:val="single" w:sz="4" w:space="0" w:color="auto"/>
              <w:right w:val="nil"/>
            </w:tcBorders>
            <w:vAlign w:val="bottom"/>
          </w:tcPr>
          <w:p w14:paraId="6D871478" w14:textId="68A92BAD" w:rsidR="00E52109" w:rsidRPr="004140CC"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2292EC9" w14:textId="4E5E992D" w:rsidR="00E52109" w:rsidRPr="004140CC" w:rsidRDefault="00ED57EC" w:rsidP="00ED57EC">
            <w:pPr>
              <w:suppressAutoHyphens w:val="0"/>
              <w:spacing w:after="20"/>
              <w:jc w:val="right"/>
            </w:pPr>
            <w:r w:rsidRPr="004140CC">
              <w:rPr>
                <w:sz w:val="40"/>
              </w:rPr>
              <w:t>A</w:t>
            </w:r>
            <w:r w:rsidR="001A15EA">
              <w:t>/HRC/</w:t>
            </w:r>
            <w:r w:rsidR="00272677">
              <w:t>S-29</w:t>
            </w:r>
            <w:r w:rsidRPr="004140CC">
              <w:t>/2</w:t>
            </w:r>
          </w:p>
        </w:tc>
      </w:tr>
      <w:tr w:rsidR="00AD5AEF" w:rsidRPr="004140CC" w14:paraId="7728663D" w14:textId="77777777" w:rsidTr="0040017C">
        <w:trPr>
          <w:trHeight w:val="2835"/>
        </w:trPr>
        <w:tc>
          <w:tcPr>
            <w:tcW w:w="1259" w:type="dxa"/>
            <w:tcBorders>
              <w:top w:val="single" w:sz="4" w:space="0" w:color="auto"/>
              <w:left w:val="nil"/>
              <w:bottom w:val="single" w:sz="12" w:space="0" w:color="auto"/>
              <w:right w:val="nil"/>
            </w:tcBorders>
          </w:tcPr>
          <w:p w14:paraId="39155AF1" w14:textId="726B28AB" w:rsidR="00AD5AEF" w:rsidRPr="008E3CB8" w:rsidRDefault="00AD5AEF" w:rsidP="00AD5AEF">
            <w:pPr>
              <w:spacing w:before="120"/>
              <w:jc w:val="center"/>
              <w:rPr>
                <w:highlight w:val="yellow"/>
              </w:rPr>
            </w:pPr>
          </w:p>
        </w:tc>
        <w:tc>
          <w:tcPr>
            <w:tcW w:w="5450" w:type="dxa"/>
            <w:gridSpan w:val="2"/>
            <w:tcBorders>
              <w:top w:val="single" w:sz="4" w:space="0" w:color="auto"/>
              <w:left w:val="nil"/>
              <w:bottom w:val="single" w:sz="12" w:space="0" w:color="auto"/>
              <w:right w:val="nil"/>
            </w:tcBorders>
          </w:tcPr>
          <w:p w14:paraId="034E9C6E" w14:textId="41305707" w:rsidR="00AD5AEF" w:rsidRPr="008E3CB8" w:rsidRDefault="00094A4F" w:rsidP="00AD5AEF">
            <w:pPr>
              <w:spacing w:before="120" w:line="420" w:lineRule="exact"/>
              <w:rPr>
                <w:b/>
                <w:sz w:val="40"/>
                <w:szCs w:val="40"/>
                <w:highlight w:val="yellow"/>
              </w:rPr>
            </w:pPr>
            <w:r>
              <w:rPr>
                <w:rFonts w:eastAsia="Times New Roman"/>
                <w:b/>
                <w:sz w:val="40"/>
                <w:szCs w:val="40"/>
              </w:rPr>
              <w:t>Advance Edited Version</w:t>
            </w:r>
          </w:p>
        </w:tc>
        <w:tc>
          <w:tcPr>
            <w:tcW w:w="2930" w:type="dxa"/>
            <w:tcBorders>
              <w:top w:val="single" w:sz="4" w:space="0" w:color="auto"/>
              <w:left w:val="nil"/>
              <w:bottom w:val="single" w:sz="12" w:space="0" w:color="auto"/>
              <w:right w:val="nil"/>
            </w:tcBorders>
          </w:tcPr>
          <w:p w14:paraId="79D3E95F" w14:textId="77777777" w:rsidR="00AD5AEF" w:rsidRPr="004140CC" w:rsidRDefault="00AD5AEF" w:rsidP="00AD5AEF">
            <w:pPr>
              <w:spacing w:before="240"/>
            </w:pPr>
            <w:r w:rsidRPr="004140CC">
              <w:t>Distr.: General</w:t>
            </w:r>
          </w:p>
          <w:p w14:paraId="51ACD14E" w14:textId="7A9B6F9B" w:rsidR="00AD5AEF" w:rsidRPr="004140CC" w:rsidRDefault="009C6154" w:rsidP="00AD5AEF">
            <w:pPr>
              <w:suppressAutoHyphens w:val="0"/>
            </w:pPr>
            <w:r>
              <w:t>5</w:t>
            </w:r>
            <w:r w:rsidR="00CE770B">
              <w:t xml:space="preserve"> May</w:t>
            </w:r>
            <w:r w:rsidR="00AD5AEF">
              <w:t xml:space="preserve"> 2021</w:t>
            </w:r>
          </w:p>
          <w:p w14:paraId="6DE68E8D" w14:textId="77777777" w:rsidR="00AD5AEF" w:rsidRPr="004140CC" w:rsidRDefault="00AD5AEF" w:rsidP="00AD5AEF">
            <w:pPr>
              <w:suppressAutoHyphens w:val="0"/>
            </w:pPr>
          </w:p>
          <w:p w14:paraId="40F7A2AC" w14:textId="77777777" w:rsidR="00AD5AEF" w:rsidRPr="004140CC" w:rsidRDefault="00AD5AEF" w:rsidP="00AD5AEF">
            <w:pPr>
              <w:suppressAutoHyphens w:val="0"/>
            </w:pPr>
            <w:r w:rsidRPr="004140CC">
              <w:t>Original: English</w:t>
            </w:r>
          </w:p>
        </w:tc>
      </w:tr>
    </w:tbl>
    <w:p w14:paraId="63E7367B" w14:textId="77777777" w:rsidR="00811E3B" w:rsidRPr="004140CC" w:rsidRDefault="00811E3B" w:rsidP="00811E3B">
      <w:pPr>
        <w:spacing w:before="120"/>
        <w:rPr>
          <w:rFonts w:eastAsia="Times New Roman"/>
          <w:b/>
          <w:sz w:val="24"/>
          <w:szCs w:val="24"/>
        </w:rPr>
      </w:pPr>
      <w:r w:rsidRPr="004140CC">
        <w:rPr>
          <w:rFonts w:eastAsia="Times New Roman"/>
          <w:b/>
          <w:sz w:val="24"/>
          <w:szCs w:val="24"/>
        </w:rPr>
        <w:t>Human Rights Council</w:t>
      </w:r>
    </w:p>
    <w:p w14:paraId="3822047F" w14:textId="77777777" w:rsidR="00811E3B" w:rsidRPr="004140CC" w:rsidRDefault="00257F6E" w:rsidP="00811E3B">
      <w:pPr>
        <w:rPr>
          <w:rFonts w:eastAsia="Times New Roman"/>
          <w:b/>
        </w:rPr>
      </w:pPr>
      <w:r>
        <w:rPr>
          <w:rFonts w:eastAsia="Times New Roman"/>
          <w:b/>
        </w:rPr>
        <w:t>Twenty-nin</w:t>
      </w:r>
      <w:r w:rsidR="00811E3B" w:rsidRPr="004140CC">
        <w:rPr>
          <w:rFonts w:eastAsia="Times New Roman"/>
          <w:b/>
        </w:rPr>
        <w:t>th special session</w:t>
      </w:r>
    </w:p>
    <w:p w14:paraId="0C1340A0" w14:textId="77777777" w:rsidR="00811E3B" w:rsidRPr="004140CC" w:rsidRDefault="00257F6E" w:rsidP="00811E3B">
      <w:pPr>
        <w:rPr>
          <w:b/>
          <w:bCs/>
        </w:rPr>
      </w:pPr>
      <w:r>
        <w:rPr>
          <w:rFonts w:eastAsia="Times New Roman"/>
        </w:rPr>
        <w:t>12</w:t>
      </w:r>
      <w:r w:rsidR="00811E3B" w:rsidRPr="004140CC">
        <w:rPr>
          <w:rFonts w:eastAsia="Times New Roman"/>
        </w:rPr>
        <w:t xml:space="preserve"> </w:t>
      </w:r>
      <w:r>
        <w:rPr>
          <w:rFonts w:eastAsia="Times New Roman"/>
        </w:rPr>
        <w:t>February 2021</w:t>
      </w:r>
    </w:p>
    <w:p w14:paraId="59A2EE59" w14:textId="77777777" w:rsidR="00811E3B" w:rsidRPr="004140CC" w:rsidRDefault="00811E3B" w:rsidP="00811E3B">
      <w:pPr>
        <w:pStyle w:val="HMG"/>
      </w:pPr>
      <w:r w:rsidRPr="004140CC">
        <w:tab/>
      </w:r>
      <w:r w:rsidRPr="004140CC">
        <w:tab/>
        <w:t>Report of the Human Ri</w:t>
      </w:r>
      <w:r w:rsidR="00257F6E">
        <w:t xml:space="preserve">ghts Council </w:t>
      </w:r>
      <w:r w:rsidR="00257F6E">
        <w:br/>
        <w:t>on its twenty-nin</w:t>
      </w:r>
      <w:r w:rsidRPr="004140CC">
        <w:t>th special session</w:t>
      </w:r>
    </w:p>
    <w:p w14:paraId="5A9EBD53" w14:textId="77777777" w:rsidR="00811E3B" w:rsidRPr="00A10B27" w:rsidRDefault="00811E3B" w:rsidP="00811E3B">
      <w:pPr>
        <w:pStyle w:val="SingleTxtG"/>
        <w:rPr>
          <w:i/>
          <w:iCs/>
        </w:rPr>
      </w:pPr>
      <w:r w:rsidRPr="00A10B27">
        <w:rPr>
          <w:i/>
          <w:iCs/>
        </w:rPr>
        <w:t xml:space="preserve">Vice-President and Rapporteur: </w:t>
      </w:r>
      <w:r w:rsidR="00257F6E" w:rsidRPr="00A10B27">
        <w:rPr>
          <w:i/>
          <w:iCs/>
        </w:rPr>
        <w:t>Monique T.G. Van Daalen</w:t>
      </w:r>
    </w:p>
    <w:p w14:paraId="16D1EFB3" w14:textId="77777777" w:rsidR="00811E3B" w:rsidRPr="004140CC" w:rsidRDefault="00811E3B" w:rsidP="00811E3B">
      <w:pPr>
        <w:pStyle w:val="HChG"/>
      </w:pPr>
      <w:r w:rsidRPr="00257F6E">
        <w:br w:type="page"/>
      </w:r>
      <w:r w:rsidRPr="00257F6E">
        <w:lastRenderedPageBreak/>
        <w:tab/>
      </w:r>
      <w:r w:rsidRPr="004140CC">
        <w:t>I.</w:t>
      </w:r>
      <w:r w:rsidRPr="004140CC">
        <w:tab/>
        <w:t>Resolution adopted by the Human R</w:t>
      </w:r>
      <w:r w:rsidR="00A10B27">
        <w:t>ights Council at its twenty-nin</w:t>
      </w:r>
      <w:r w:rsidRPr="004140CC">
        <w:t xml:space="preserve">th special session </w:t>
      </w:r>
    </w:p>
    <w:p w14:paraId="0EE551A4" w14:textId="77777777" w:rsidR="00A10B27" w:rsidRPr="00676C8C" w:rsidRDefault="00A10B27" w:rsidP="00A10B27">
      <w:pPr>
        <w:keepNext/>
        <w:keepLines/>
        <w:spacing w:before="360" w:after="240" w:line="270" w:lineRule="exact"/>
        <w:ind w:left="1134" w:right="1134" w:hanging="850"/>
        <w:rPr>
          <w:b/>
          <w:sz w:val="24"/>
        </w:rPr>
      </w:pPr>
      <w:r>
        <w:rPr>
          <w:b/>
          <w:sz w:val="24"/>
        </w:rPr>
        <w:t>S-29</w:t>
      </w:r>
      <w:r w:rsidRPr="00676C8C">
        <w:rPr>
          <w:b/>
          <w:sz w:val="24"/>
        </w:rPr>
        <w:t>/</w:t>
      </w:r>
      <w:r>
        <w:rPr>
          <w:b/>
          <w:sz w:val="24"/>
        </w:rPr>
        <w:t>1.</w:t>
      </w:r>
      <w:r>
        <w:rPr>
          <w:b/>
          <w:sz w:val="24"/>
        </w:rPr>
        <w:tab/>
      </w:r>
      <w:r w:rsidRPr="00640E97">
        <w:rPr>
          <w:b/>
          <w:sz w:val="24"/>
        </w:rPr>
        <w:t>Human rights implications of the crisis in Myanmar</w:t>
      </w:r>
    </w:p>
    <w:p w14:paraId="0E79A91E" w14:textId="3593AEA3" w:rsidR="00A10B27" w:rsidRDefault="00A10B27" w:rsidP="00A10B27">
      <w:pPr>
        <w:spacing w:after="120"/>
        <w:ind w:left="1134" w:right="1134"/>
        <w:jc w:val="both"/>
      </w:pPr>
      <w:r>
        <w:tab/>
      </w:r>
      <w:r w:rsidR="00CE770B">
        <w:tab/>
      </w:r>
      <w:r w:rsidRPr="00676C8C">
        <w:rPr>
          <w:i/>
        </w:rPr>
        <w:t>The Human Rights Council</w:t>
      </w:r>
      <w:r w:rsidRPr="00676C8C">
        <w:t>,</w:t>
      </w:r>
    </w:p>
    <w:p w14:paraId="6C59A1A3" w14:textId="77777777" w:rsidR="00A10B27" w:rsidRPr="00640E97" w:rsidRDefault="00A10B27" w:rsidP="00A10B27">
      <w:pPr>
        <w:spacing w:after="120"/>
        <w:ind w:left="1134" w:right="1134" w:firstLine="567"/>
        <w:jc w:val="both"/>
      </w:pPr>
      <w:r w:rsidRPr="00640E97">
        <w:rPr>
          <w:i/>
        </w:rPr>
        <w:t xml:space="preserve">Guided </w:t>
      </w:r>
      <w:r w:rsidRPr="00640E97">
        <w:t>by the purposes and principles of the Charter of the United Nations, reaffirming the Universal Declaration of Human Rights, and recalling the International Covenants on Human Rights and other relevant instruments</w:t>
      </w:r>
      <w:r>
        <w:t>,</w:t>
      </w:r>
      <w:r w:rsidRPr="00640E97">
        <w:t xml:space="preserve"> </w:t>
      </w:r>
    </w:p>
    <w:p w14:paraId="459ADDD4" w14:textId="77777777" w:rsidR="00A10B27" w:rsidRPr="00640E97" w:rsidRDefault="00A10B27" w:rsidP="00A10B27">
      <w:pPr>
        <w:spacing w:after="120"/>
        <w:ind w:left="1134" w:right="1134" w:firstLine="567"/>
        <w:jc w:val="both"/>
      </w:pPr>
      <w:r w:rsidRPr="00640E97">
        <w:rPr>
          <w:i/>
        </w:rPr>
        <w:t xml:space="preserve">Expressing </w:t>
      </w:r>
      <w:r w:rsidRPr="00B3038D">
        <w:rPr>
          <w:i/>
        </w:rPr>
        <w:t>deep concern</w:t>
      </w:r>
      <w:r w:rsidRPr="00640E97">
        <w:t xml:space="preserve"> at the declaration of the state of emergency imposed in Myanmar by the military on 1 February </w:t>
      </w:r>
      <w:r>
        <w:t>2021,</w:t>
      </w:r>
    </w:p>
    <w:p w14:paraId="613CF258" w14:textId="77777777" w:rsidR="00A10B27" w:rsidRPr="00640E97" w:rsidRDefault="00A10B27" w:rsidP="00A10B27">
      <w:pPr>
        <w:spacing w:after="120"/>
        <w:ind w:left="1134" w:right="1134" w:firstLine="567"/>
        <w:jc w:val="both"/>
      </w:pPr>
      <w:bookmarkStart w:id="1" w:name="_heading=h.gjdgxs" w:colFirst="0" w:colLast="0"/>
      <w:bookmarkEnd w:id="1"/>
      <w:r>
        <w:rPr>
          <w:i/>
        </w:rPr>
        <w:t>D</w:t>
      </w:r>
      <w:r w:rsidRPr="00640E97">
        <w:rPr>
          <w:i/>
        </w:rPr>
        <w:t>eploring</w:t>
      </w:r>
      <w:r w:rsidRPr="00640E97">
        <w:t xml:space="preserve"> the arbitrary detention of democratically elected members of the Government, including State Counsellor Aung San Suu Kyi and President Win Myint, </w:t>
      </w:r>
      <w:r w:rsidRPr="007461B5">
        <w:t>and other persons arbitrarily detained</w:t>
      </w:r>
      <w:r>
        <w:t>,</w:t>
      </w:r>
      <w:r w:rsidRPr="00640E97">
        <w:t xml:space="preserve"> </w:t>
      </w:r>
    </w:p>
    <w:p w14:paraId="7A29FC1F" w14:textId="77777777" w:rsidR="00A10B27" w:rsidRPr="00640E97" w:rsidRDefault="00A10B27" w:rsidP="00A10B27">
      <w:pPr>
        <w:spacing w:after="120"/>
        <w:ind w:left="1134" w:right="1134" w:firstLine="567"/>
        <w:jc w:val="both"/>
      </w:pPr>
      <w:r w:rsidRPr="00640E97">
        <w:rPr>
          <w:i/>
        </w:rPr>
        <w:t>Expressing</w:t>
      </w:r>
      <w:r w:rsidRPr="00640E97">
        <w:t xml:space="preserve"> </w:t>
      </w:r>
      <w:r w:rsidRPr="00B3038D">
        <w:rPr>
          <w:i/>
        </w:rPr>
        <w:t>concern</w:t>
      </w:r>
      <w:r w:rsidRPr="00640E97">
        <w:t xml:space="preserve"> at the restrictions</w:t>
      </w:r>
      <w:r>
        <w:t xml:space="preserve"> </w:t>
      </w:r>
      <w:r w:rsidRPr="00640E97">
        <w:t>on civil society, journalists and media workers</w:t>
      </w:r>
      <w:r>
        <w:t>,</w:t>
      </w:r>
      <w:r w:rsidRPr="00640E97">
        <w:t xml:space="preserve"> </w:t>
      </w:r>
    </w:p>
    <w:p w14:paraId="37BA2F84" w14:textId="77777777" w:rsidR="00A10B27" w:rsidRPr="00640E97" w:rsidRDefault="00A10B27" w:rsidP="00A10B27">
      <w:pPr>
        <w:spacing w:after="120"/>
        <w:ind w:left="1134" w:right="1134" w:firstLine="567"/>
        <w:jc w:val="both"/>
      </w:pPr>
      <w:r w:rsidRPr="00640E97">
        <w:rPr>
          <w:i/>
        </w:rPr>
        <w:t>Emphasizing</w:t>
      </w:r>
      <w:r w:rsidRPr="00640E97">
        <w:t xml:space="preserve"> that States have the primary responsibility for the promotion and protection of human rights and that the Myanmar military and other security forces and authorities should respect the right to peaceful assembly and refrain from using any unnecessary or excessive force against the public</w:t>
      </w:r>
      <w:r>
        <w:t>,</w:t>
      </w:r>
      <w:r w:rsidRPr="00640E97">
        <w:t xml:space="preserve"> </w:t>
      </w:r>
    </w:p>
    <w:p w14:paraId="7CBDB756" w14:textId="77777777" w:rsidR="00A10B27" w:rsidRPr="00640E97" w:rsidRDefault="00A10B27" w:rsidP="00A10B27">
      <w:pPr>
        <w:spacing w:after="120"/>
        <w:ind w:left="1134" w:right="1134" w:firstLine="567"/>
        <w:jc w:val="both"/>
      </w:pPr>
      <w:r w:rsidRPr="00640E97">
        <w:rPr>
          <w:i/>
        </w:rPr>
        <w:t>Emphasizing</w:t>
      </w:r>
      <w:r>
        <w:rPr>
          <w:i/>
        </w:rPr>
        <w:t xml:space="preserve"> also</w:t>
      </w:r>
      <w:r w:rsidRPr="00640E97">
        <w:t xml:space="preserve"> the need for continued support </w:t>
      </w:r>
      <w:r>
        <w:t>for</w:t>
      </w:r>
      <w:r w:rsidRPr="00640E97">
        <w:t xml:space="preserve"> the democratic transition in Myanmar, and stressing the need to uphold democratic institutions and processes, </w:t>
      </w:r>
    </w:p>
    <w:p w14:paraId="152F5D06" w14:textId="77777777" w:rsidR="00A10B27" w:rsidRPr="00640E97" w:rsidRDefault="00A10B27" w:rsidP="00A10B27">
      <w:pPr>
        <w:spacing w:after="120"/>
        <w:ind w:left="1134" w:right="1134" w:firstLine="567"/>
        <w:jc w:val="both"/>
      </w:pPr>
      <w:bookmarkStart w:id="2" w:name="_heading=h.30j0zll" w:colFirst="0" w:colLast="0"/>
      <w:bookmarkEnd w:id="2"/>
      <w:r w:rsidRPr="00640E97">
        <w:rPr>
          <w:i/>
        </w:rPr>
        <w:t xml:space="preserve">Reaffirming </w:t>
      </w:r>
      <w:r w:rsidRPr="00640E97">
        <w:t>its strong commitment to the sovereignty, political independence, territorial integrity and unity of Myanmar</w:t>
      </w:r>
      <w:r>
        <w:t>,</w:t>
      </w:r>
    </w:p>
    <w:p w14:paraId="55106F8B" w14:textId="77777777" w:rsidR="00A10B27" w:rsidRPr="00640E97" w:rsidRDefault="00A10B27" w:rsidP="00A10B27">
      <w:pPr>
        <w:spacing w:after="120"/>
        <w:ind w:left="1134" w:right="1134" w:firstLine="567"/>
        <w:jc w:val="both"/>
      </w:pPr>
      <w:r w:rsidRPr="00640E97">
        <w:rPr>
          <w:i/>
        </w:rPr>
        <w:t>Reiterating</w:t>
      </w:r>
      <w:r w:rsidRPr="00640E97">
        <w:t xml:space="preserve"> </w:t>
      </w:r>
      <w:r>
        <w:t xml:space="preserve">its </w:t>
      </w:r>
      <w:r w:rsidRPr="00640E97">
        <w:t xml:space="preserve">strong support </w:t>
      </w:r>
      <w:r>
        <w:t>for</w:t>
      </w:r>
      <w:r w:rsidRPr="00640E97">
        <w:t xml:space="preserve"> regional organizations, in particular the Association of Southeast Asian Nations</w:t>
      </w:r>
      <w:r>
        <w:t>,</w:t>
      </w:r>
      <w:r w:rsidRPr="00640E97">
        <w:t xml:space="preserve"> for their initiatives and efforts to respond to the recent developments in Myanmar, and welcoming the </w:t>
      </w:r>
      <w:r>
        <w:t xml:space="preserve">statement made by the Association’s </w:t>
      </w:r>
      <w:r w:rsidRPr="00640E97">
        <w:t xml:space="preserve">Chairman </w:t>
      </w:r>
      <w:r>
        <w:t>on</w:t>
      </w:r>
      <w:r w:rsidRPr="00640E97">
        <w:t xml:space="preserve"> 1 February recall</w:t>
      </w:r>
      <w:r>
        <w:t>ing</w:t>
      </w:r>
      <w:r w:rsidRPr="00640E97">
        <w:t xml:space="preserve"> the purposes and principles enshrined in the Charter</w:t>
      </w:r>
      <w:r>
        <w:t xml:space="preserve"> of the Association</w:t>
      </w:r>
      <w:r w:rsidRPr="00640E97">
        <w:t xml:space="preserve">, including adherence to the principles of democracy, the rule of law and good governance, </w:t>
      </w:r>
      <w:r>
        <w:t xml:space="preserve">and </w:t>
      </w:r>
      <w:r w:rsidRPr="00640E97">
        <w:t xml:space="preserve">respect for and </w:t>
      </w:r>
      <w:r>
        <w:t xml:space="preserve">the </w:t>
      </w:r>
      <w:r w:rsidRPr="00640E97">
        <w:t>protection of human rights and fundamental freedoms</w:t>
      </w:r>
      <w:r>
        <w:t>,</w:t>
      </w:r>
    </w:p>
    <w:p w14:paraId="72940275" w14:textId="77777777" w:rsidR="00A10B27" w:rsidRPr="00640E97" w:rsidRDefault="00A10B27" w:rsidP="00A10B27">
      <w:pPr>
        <w:spacing w:after="120"/>
        <w:ind w:left="1134" w:right="1134" w:firstLine="567"/>
        <w:jc w:val="both"/>
      </w:pPr>
      <w:r w:rsidRPr="00640E97">
        <w:rPr>
          <w:i/>
        </w:rPr>
        <w:t>Taking note</w:t>
      </w:r>
      <w:r w:rsidRPr="00640E97">
        <w:t xml:space="preserve"> of the </w:t>
      </w:r>
      <w:r>
        <w:t>p</w:t>
      </w:r>
      <w:r w:rsidRPr="00640E97">
        <w:t xml:space="preserve">ress </w:t>
      </w:r>
      <w:r>
        <w:t>s</w:t>
      </w:r>
      <w:r w:rsidRPr="00640E97">
        <w:t xml:space="preserve">tatement </w:t>
      </w:r>
      <w:r>
        <w:t xml:space="preserve">issued by the </w:t>
      </w:r>
      <w:r w:rsidRPr="00640E97">
        <w:t>Security Council o</w:t>
      </w:r>
      <w:r>
        <w:t>n</w:t>
      </w:r>
      <w:r w:rsidRPr="00640E97">
        <w:t xml:space="preserve"> 4 February 2021</w:t>
      </w:r>
      <w:r>
        <w:t xml:space="preserve"> </w:t>
      </w:r>
      <w:r w:rsidRPr="00640E97">
        <w:t xml:space="preserve">on the </w:t>
      </w:r>
      <w:r>
        <w:t>s</w:t>
      </w:r>
      <w:r w:rsidRPr="00640E97">
        <w:t>ituation in Myanmar,</w:t>
      </w:r>
    </w:p>
    <w:p w14:paraId="332F2FFA" w14:textId="77777777" w:rsidR="00A10B27" w:rsidRPr="00640E97" w:rsidRDefault="00A10B27" w:rsidP="00A10B27">
      <w:pPr>
        <w:spacing w:after="120"/>
        <w:ind w:left="1134" w:right="1134" w:firstLine="567"/>
        <w:jc w:val="both"/>
      </w:pPr>
      <w:r>
        <w:t>1.</w:t>
      </w:r>
      <w:r>
        <w:tab/>
      </w:r>
      <w:r>
        <w:rPr>
          <w:i/>
        </w:rPr>
        <w:t>D</w:t>
      </w:r>
      <w:r w:rsidRPr="00640E97">
        <w:rPr>
          <w:i/>
        </w:rPr>
        <w:t>eplores</w:t>
      </w:r>
      <w:r w:rsidRPr="00640E97">
        <w:t xml:space="preserve"> the removal of the </w:t>
      </w:r>
      <w:r>
        <w:t>G</w:t>
      </w:r>
      <w:r w:rsidRPr="00640E97">
        <w:t xml:space="preserve">overnment elected by the people of Myanmar </w:t>
      </w:r>
      <w:r>
        <w:t>in</w:t>
      </w:r>
      <w:r w:rsidRPr="00640E97">
        <w:t xml:space="preserve"> the general election </w:t>
      </w:r>
      <w:r>
        <w:t xml:space="preserve">held </w:t>
      </w:r>
      <w:r w:rsidRPr="00640E97">
        <w:t>on 8 November 2020</w:t>
      </w:r>
      <w:r>
        <w:t>,</w:t>
      </w:r>
      <w:r w:rsidRPr="00640E97">
        <w:t xml:space="preserve"> and the suspension of mandates of members of all parliaments, and calls for the restoration of the elected </w:t>
      </w:r>
      <w:r>
        <w:t>G</w:t>
      </w:r>
      <w:r w:rsidRPr="00640E97">
        <w:t xml:space="preserve">overnment; </w:t>
      </w:r>
    </w:p>
    <w:p w14:paraId="34504BD5" w14:textId="77777777" w:rsidR="00A10B27" w:rsidRPr="00640E97" w:rsidRDefault="00A10B27" w:rsidP="00A10B27">
      <w:pPr>
        <w:spacing w:after="120"/>
        <w:ind w:left="1134" w:right="1134" w:firstLine="567"/>
        <w:jc w:val="both"/>
      </w:pPr>
      <w:r>
        <w:t>2.</w:t>
      </w:r>
      <w:r>
        <w:tab/>
      </w:r>
      <w:r w:rsidRPr="00640E97">
        <w:rPr>
          <w:i/>
        </w:rPr>
        <w:t xml:space="preserve">Calls </w:t>
      </w:r>
      <w:r w:rsidRPr="00B3038D">
        <w:rPr>
          <w:i/>
        </w:rPr>
        <w:t>urgently for</w:t>
      </w:r>
      <w:r w:rsidRPr="00640E97">
        <w:t xml:space="preserve"> the immediate and unconditional release of all persons arbitrarily detained, including State Counsellor Aung San Suu Kyi and President Win Myint</w:t>
      </w:r>
      <w:r>
        <w:t>,</w:t>
      </w:r>
      <w:r w:rsidRPr="00640E97">
        <w:t xml:space="preserve"> and others, and the lifting of the state of emergency;</w:t>
      </w:r>
    </w:p>
    <w:p w14:paraId="077A0532" w14:textId="77777777" w:rsidR="00A10B27" w:rsidRPr="00640E97" w:rsidRDefault="00A10B27" w:rsidP="00A10B27">
      <w:pPr>
        <w:spacing w:after="120"/>
        <w:ind w:left="1134" w:right="1134" w:firstLine="567"/>
        <w:jc w:val="both"/>
      </w:pPr>
      <w:r>
        <w:t>3.</w:t>
      </w:r>
      <w:r>
        <w:tab/>
      </w:r>
      <w:r w:rsidRPr="0082157B">
        <w:rPr>
          <w:i/>
        </w:rPr>
        <w:t xml:space="preserve">Stresses </w:t>
      </w:r>
      <w:r w:rsidRPr="0082157B">
        <w:t xml:space="preserve">the need to refrain from violence and </w:t>
      </w:r>
      <w:r>
        <w:t xml:space="preserve">to </w:t>
      </w:r>
      <w:r w:rsidRPr="0082157B">
        <w:t>fully respect human rights, fundamental freedoms and the rule of law</w:t>
      </w:r>
      <w:r w:rsidRPr="00640E97">
        <w:t xml:space="preserve">; </w:t>
      </w:r>
    </w:p>
    <w:p w14:paraId="6F260855" w14:textId="77777777" w:rsidR="00A10B27" w:rsidRPr="00640E97" w:rsidRDefault="00A10B27" w:rsidP="00A10B27">
      <w:pPr>
        <w:spacing w:after="120"/>
        <w:ind w:left="1134" w:right="1134" w:firstLine="567"/>
        <w:jc w:val="both"/>
      </w:pPr>
      <w:r>
        <w:t>4.</w:t>
      </w:r>
      <w:r>
        <w:tab/>
      </w:r>
      <w:r w:rsidRPr="00640E97">
        <w:rPr>
          <w:i/>
        </w:rPr>
        <w:t>Strongly calls</w:t>
      </w:r>
      <w:r w:rsidRPr="00640E97">
        <w:t xml:space="preserve"> </w:t>
      </w:r>
      <w:r w:rsidRPr="00B3038D">
        <w:rPr>
          <w:i/>
        </w:rPr>
        <w:t>upon</w:t>
      </w:r>
      <w:r w:rsidRPr="00640E97">
        <w:t xml:space="preserve"> the Myanmar military and other security forces and authorities to take steps immediately to protect the rights to freedom of opinion and expression, religion or belief, association and peaceful assembly in accordance with international human rights law, and to ensure that members of civil society organizations and the media </w:t>
      </w:r>
      <w:r>
        <w:t xml:space="preserve">are able to </w:t>
      </w:r>
      <w:r w:rsidRPr="00640E97">
        <w:t xml:space="preserve">operate freely and without fear of violence, harassment or intimidation; </w:t>
      </w:r>
    </w:p>
    <w:p w14:paraId="211A956C" w14:textId="77777777" w:rsidR="00A10B27" w:rsidRPr="00310D9E" w:rsidRDefault="00A10B27" w:rsidP="00A10B27">
      <w:pPr>
        <w:spacing w:after="120"/>
        <w:ind w:left="1134" w:right="1134" w:firstLine="567"/>
        <w:jc w:val="both"/>
        <w:rPr>
          <w:sz w:val="24"/>
          <w:szCs w:val="24"/>
        </w:rPr>
      </w:pPr>
      <w:r>
        <w:t>5.</w:t>
      </w:r>
      <w:r>
        <w:tab/>
      </w:r>
      <w:r w:rsidRPr="00640E97">
        <w:rPr>
          <w:i/>
        </w:rPr>
        <w:t>Calls</w:t>
      </w:r>
      <w:r w:rsidRPr="00640E97">
        <w:t xml:space="preserve"> </w:t>
      </w:r>
      <w:r w:rsidRPr="00B3038D">
        <w:rPr>
          <w:i/>
        </w:rPr>
        <w:t>for</w:t>
      </w:r>
      <w:r w:rsidRPr="00640E97">
        <w:t xml:space="preserve"> the immediate lifting of restrictions on the </w:t>
      </w:r>
      <w:r>
        <w:t>I</w:t>
      </w:r>
      <w:r w:rsidRPr="00640E97">
        <w:t>nternet, telecommunication</w:t>
      </w:r>
      <w:r>
        <w:t>s</w:t>
      </w:r>
      <w:r w:rsidRPr="00640E97">
        <w:t xml:space="preserve"> and social media, in accordance with international human rights law; </w:t>
      </w:r>
    </w:p>
    <w:p w14:paraId="13E3237C" w14:textId="77777777" w:rsidR="00A10B27" w:rsidRDefault="00A10B27" w:rsidP="00A10B27">
      <w:pPr>
        <w:spacing w:after="120"/>
        <w:ind w:left="1134" w:right="1134" w:firstLine="567"/>
        <w:jc w:val="both"/>
      </w:pPr>
      <w:r>
        <w:t>6.</w:t>
      </w:r>
      <w:r>
        <w:tab/>
      </w:r>
      <w:r w:rsidRPr="00B3038D">
        <w:rPr>
          <w:i/>
        </w:rPr>
        <w:t>Also</w:t>
      </w:r>
      <w:r>
        <w:t xml:space="preserve"> </w:t>
      </w:r>
      <w:r>
        <w:rPr>
          <w:i/>
        </w:rPr>
        <w:t>c</w:t>
      </w:r>
      <w:r w:rsidRPr="00640E97">
        <w:rPr>
          <w:i/>
        </w:rPr>
        <w:t>alls</w:t>
      </w:r>
      <w:r w:rsidRPr="00640E97">
        <w:t xml:space="preserve"> </w:t>
      </w:r>
      <w:r w:rsidRPr="00B3038D">
        <w:rPr>
          <w:i/>
        </w:rPr>
        <w:t>for</w:t>
      </w:r>
      <w:r w:rsidRPr="00640E97">
        <w:t xml:space="preserve"> safe and unimpeded humanitarian access to all people in need, including through the re</w:t>
      </w:r>
      <w:r w:rsidRPr="00C9704F">
        <w:rPr>
          <w:rFonts w:ascii="Cambria Math" w:hAnsi="Cambria Math" w:cs="Cambria Math"/>
        </w:rPr>
        <w:t>‑</w:t>
      </w:r>
      <w:r w:rsidRPr="00640E97">
        <w:t>establishment of United Nations relief flights;</w:t>
      </w:r>
    </w:p>
    <w:p w14:paraId="0BD4F7F5" w14:textId="77777777" w:rsidR="00A10B27" w:rsidRPr="00640E97" w:rsidRDefault="00A10B27" w:rsidP="00A10B27">
      <w:pPr>
        <w:spacing w:after="120"/>
        <w:ind w:left="1134" w:right="1134" w:firstLine="567"/>
        <w:jc w:val="both"/>
      </w:pPr>
      <w:r>
        <w:lastRenderedPageBreak/>
        <w:t>7.</w:t>
      </w:r>
      <w:r>
        <w:tab/>
      </w:r>
      <w:r w:rsidRPr="00640E97">
        <w:rPr>
          <w:i/>
        </w:rPr>
        <w:t>Strongly encourages</w:t>
      </w:r>
      <w:r w:rsidRPr="00640E97">
        <w:t xml:space="preserve"> the pursuance of dialogue and reconciliation in accordance with the will of the people of Myanmar, </w:t>
      </w:r>
      <w:r>
        <w:t xml:space="preserve">and </w:t>
      </w:r>
      <w:r w:rsidRPr="00640E97">
        <w:t>recall</w:t>
      </w:r>
      <w:r>
        <w:t xml:space="preserve">s </w:t>
      </w:r>
      <w:r w:rsidRPr="00640E97">
        <w:t xml:space="preserve">the role of the Special Envoy </w:t>
      </w:r>
      <w:r>
        <w:t xml:space="preserve">of the Secretary-General </w:t>
      </w:r>
      <w:r w:rsidRPr="00640E97">
        <w:t>on Myanmar in this regard;</w:t>
      </w:r>
    </w:p>
    <w:p w14:paraId="0439366B" w14:textId="77777777" w:rsidR="00A10B27" w:rsidRPr="00640E97" w:rsidRDefault="00A10B27" w:rsidP="00A10B27">
      <w:pPr>
        <w:spacing w:after="120"/>
        <w:ind w:left="1134" w:right="1134" w:firstLine="567"/>
        <w:jc w:val="both"/>
      </w:pPr>
      <w:r>
        <w:t>8.</w:t>
      </w:r>
      <w:r>
        <w:tab/>
      </w:r>
      <w:r w:rsidRPr="00640E97">
        <w:rPr>
          <w:i/>
        </w:rPr>
        <w:t>Stresses</w:t>
      </w:r>
      <w:r w:rsidRPr="00640E97">
        <w:t xml:space="preserve"> the need to address the root causes of the crisis in Rakhine State and to create </w:t>
      </w:r>
      <w:r>
        <w:t xml:space="preserve">the </w:t>
      </w:r>
      <w:r w:rsidRPr="00640E97">
        <w:t xml:space="preserve">conditions necessary for the safe, voluntary, sustainable and dignified return of displaced persons, including </w:t>
      </w:r>
      <w:r>
        <w:t>of</w:t>
      </w:r>
      <w:r w:rsidRPr="00640E97">
        <w:t xml:space="preserve"> Rohingya Muslims and other minorities;</w:t>
      </w:r>
    </w:p>
    <w:p w14:paraId="21E95421" w14:textId="77777777" w:rsidR="00A10B27" w:rsidRPr="00640E97" w:rsidRDefault="00A10B27" w:rsidP="00A10B27">
      <w:pPr>
        <w:spacing w:after="120"/>
        <w:ind w:left="1134" w:right="1134" w:firstLine="567"/>
        <w:jc w:val="both"/>
      </w:pPr>
      <w:r>
        <w:t>9.</w:t>
      </w:r>
      <w:r>
        <w:tab/>
      </w:r>
      <w:r w:rsidRPr="00FB4610">
        <w:rPr>
          <w:i/>
        </w:rPr>
        <w:t>Requests</w:t>
      </w:r>
      <w:r w:rsidRPr="00817E6B">
        <w:t xml:space="preserve"> the United Nations High Commissioner for Human Rights and the Special Rapporteur on the situation of human rights in Myanmar to assess the current situation </w:t>
      </w:r>
      <w:r>
        <w:t xml:space="preserve">of </w:t>
      </w:r>
      <w:r w:rsidRPr="00817E6B">
        <w:t xml:space="preserve">human rights in Myanmar, and to provide updates </w:t>
      </w:r>
      <w:r>
        <w:t xml:space="preserve">thereon </w:t>
      </w:r>
      <w:r w:rsidRPr="00817E6B">
        <w:t xml:space="preserve">in their reports to the Human Rights Council, calls upon </w:t>
      </w:r>
      <w:r>
        <w:t xml:space="preserve">the </w:t>
      </w:r>
      <w:r w:rsidRPr="00817E6B">
        <w:t>Myanmar authorities to engage and cooperate with U</w:t>
      </w:r>
      <w:r>
        <w:t xml:space="preserve">nited </w:t>
      </w:r>
      <w:r w:rsidRPr="00817E6B">
        <w:t>N</w:t>
      </w:r>
      <w:r>
        <w:t>ations</w:t>
      </w:r>
      <w:r w:rsidRPr="00817E6B">
        <w:t xml:space="preserve"> human rights m</w:t>
      </w:r>
      <w:r>
        <w:t xml:space="preserve">echanisms, and </w:t>
      </w:r>
      <w:r w:rsidRPr="00FB4610">
        <w:t>requests</w:t>
      </w:r>
      <w:r>
        <w:t xml:space="preserve"> the Secretary-General to provide the High Commissioner and the Special Rapporteur with increased assistance and the resources and expertise necessary to</w:t>
      </w:r>
      <w:r w:rsidRPr="00640E97">
        <w:t xml:space="preserve"> enable </w:t>
      </w:r>
      <w:r>
        <w:t>them</w:t>
      </w:r>
      <w:r w:rsidRPr="00640E97">
        <w:t xml:space="preserve"> to discharge </w:t>
      </w:r>
      <w:r>
        <w:t>their</w:t>
      </w:r>
      <w:r w:rsidRPr="00640E97">
        <w:t xml:space="preserve"> mandate</w:t>
      </w:r>
      <w:r>
        <w:t>s</w:t>
      </w:r>
      <w:r w:rsidRPr="00640E97">
        <w:t xml:space="preserve"> fully; </w:t>
      </w:r>
    </w:p>
    <w:p w14:paraId="0F4D44BE" w14:textId="77777777" w:rsidR="00A10B27" w:rsidRDefault="00A10B27" w:rsidP="00A10B27">
      <w:pPr>
        <w:spacing w:after="120"/>
        <w:ind w:left="1134" w:right="1134" w:firstLine="567"/>
        <w:jc w:val="both"/>
      </w:pPr>
      <w:r>
        <w:t>10.</w:t>
      </w:r>
      <w:r>
        <w:tab/>
      </w:r>
      <w:r w:rsidRPr="00692DF7">
        <w:rPr>
          <w:i/>
        </w:rPr>
        <w:t>Decides</w:t>
      </w:r>
      <w:r w:rsidRPr="00640E97">
        <w:t xml:space="preserve"> to remain seized of this matter.</w:t>
      </w:r>
    </w:p>
    <w:p w14:paraId="2252DCD4" w14:textId="77777777" w:rsidR="00A10B27" w:rsidRPr="00FB162D" w:rsidRDefault="00A10B27" w:rsidP="00A10B27">
      <w:pPr>
        <w:spacing w:after="120"/>
        <w:ind w:left="1134" w:right="1134" w:firstLine="567"/>
        <w:jc w:val="right"/>
        <w:rPr>
          <w:i/>
        </w:rPr>
      </w:pPr>
      <w:r>
        <w:tab/>
      </w:r>
      <w:r>
        <w:tab/>
      </w:r>
      <w:r>
        <w:rPr>
          <w:i/>
        </w:rPr>
        <w:t xml:space="preserve">2nd </w:t>
      </w:r>
      <w:r w:rsidRPr="00FB162D">
        <w:rPr>
          <w:i/>
        </w:rPr>
        <w:t>meeting</w:t>
      </w:r>
      <w:r w:rsidRPr="00FB162D">
        <w:rPr>
          <w:i/>
        </w:rPr>
        <w:br/>
      </w:r>
      <w:r>
        <w:rPr>
          <w:i/>
        </w:rPr>
        <w:t>12 February 2021</w:t>
      </w:r>
    </w:p>
    <w:p w14:paraId="5FEE8682" w14:textId="77777777" w:rsidR="00A10B27" w:rsidRDefault="00A10B27" w:rsidP="00A10B27">
      <w:pPr>
        <w:spacing w:after="120"/>
        <w:ind w:left="567" w:right="1134" w:firstLine="567"/>
        <w:jc w:val="both"/>
      </w:pPr>
      <w:r w:rsidRPr="00FB162D">
        <w:rPr>
          <w:rFonts w:eastAsia="SimSun"/>
          <w:lang w:eastAsia="ar-SA"/>
        </w:rPr>
        <w:t>[Adopted</w:t>
      </w:r>
      <w:r>
        <w:rPr>
          <w:rFonts w:eastAsia="SimSun"/>
          <w:lang w:eastAsia="ar-SA"/>
        </w:rPr>
        <w:t xml:space="preserve"> without a vote.]</w:t>
      </w:r>
    </w:p>
    <w:p w14:paraId="5CAB0CBB" w14:textId="77777777" w:rsidR="00811E3B" w:rsidRPr="004140CC" w:rsidRDefault="00811E3B" w:rsidP="009C6154">
      <w:pPr>
        <w:pStyle w:val="HChG"/>
        <w:spacing w:line="232" w:lineRule="atLeast"/>
      </w:pPr>
      <w:r w:rsidRPr="004140CC">
        <w:rPr>
          <w:rFonts w:eastAsia="SimSun"/>
          <w:lang w:eastAsia="ar-SA"/>
        </w:rPr>
        <w:br w:type="page"/>
      </w:r>
      <w:r w:rsidR="0052151C" w:rsidRPr="004140CC">
        <w:rPr>
          <w:rFonts w:eastAsia="SimSun"/>
          <w:lang w:eastAsia="ar-SA"/>
        </w:rPr>
        <w:lastRenderedPageBreak/>
        <w:tab/>
      </w:r>
      <w:r w:rsidRPr="004140CC">
        <w:t>II.</w:t>
      </w:r>
      <w:r w:rsidRPr="004140CC">
        <w:tab/>
        <w:t>Organiz</w:t>
      </w:r>
      <w:r w:rsidR="00995534">
        <w:t>ation of work of the twenty-nin</w:t>
      </w:r>
      <w:r w:rsidRPr="004140CC">
        <w:t>th special session</w:t>
      </w:r>
    </w:p>
    <w:p w14:paraId="2914442B" w14:textId="77777777" w:rsidR="00811E3B" w:rsidRPr="004140CC" w:rsidRDefault="00811E3B" w:rsidP="009C6154">
      <w:pPr>
        <w:pStyle w:val="SingleTxtG"/>
        <w:spacing w:line="232" w:lineRule="atLeast"/>
      </w:pPr>
      <w:r w:rsidRPr="004140CC">
        <w:t>1.</w:t>
      </w:r>
      <w:r w:rsidRPr="004140CC">
        <w:tab/>
        <w:t>Pursuant to paragraph 10 of General Assembly resolution 60/251, and in accordance with rule 6 of the rules of procedure of the Human Rights Council as contained in the annex to Council resolution 5/1, the Council shall hold special sessions, when needed, at the request of a member of the Council with the support of one third of the membership of the Council.</w:t>
      </w:r>
    </w:p>
    <w:p w14:paraId="0987DE1F" w14:textId="51DFF477" w:rsidR="00EE67AF" w:rsidRPr="004140CC" w:rsidRDefault="00995534" w:rsidP="009C6154">
      <w:pPr>
        <w:pStyle w:val="SingleTxtG"/>
        <w:spacing w:line="232" w:lineRule="atLeast"/>
      </w:pPr>
      <w:r>
        <w:t>2.</w:t>
      </w:r>
      <w:r>
        <w:tab/>
        <w:t>On 8</w:t>
      </w:r>
      <w:r w:rsidR="00811E3B" w:rsidRPr="004140CC">
        <w:t xml:space="preserve"> </w:t>
      </w:r>
      <w:r>
        <w:t>February 2021</w:t>
      </w:r>
      <w:r w:rsidR="00811E3B" w:rsidRPr="004140CC">
        <w:t xml:space="preserve">, </w:t>
      </w:r>
      <w:r w:rsidR="00EE67AF" w:rsidRPr="00144C60">
        <w:t>the Permanent Representative of the United Kingdom of Great Britain and Northern Ireland to the United Nations Office at Geneva</w:t>
      </w:r>
      <w:r w:rsidR="00144C60" w:rsidRPr="00144C60">
        <w:t>, jointly with the European Union</w:t>
      </w:r>
      <w:r w:rsidR="00144C60">
        <w:t>,</w:t>
      </w:r>
      <w:r w:rsidR="00EE67AF" w:rsidRPr="00144C60">
        <w:t xml:space="preserve"> requested the convening of a special session of the Human Rights Council on 11 February 2021 to address the human rights implications of the crisis in Myanmar (see A/HRC/S-29/1).</w:t>
      </w:r>
    </w:p>
    <w:p w14:paraId="3C60FD17" w14:textId="381582CC" w:rsidR="00811E3B" w:rsidRPr="004140CC" w:rsidRDefault="00811E3B" w:rsidP="009C6154">
      <w:pPr>
        <w:pStyle w:val="SingleTxtG"/>
        <w:spacing w:line="232" w:lineRule="atLeast"/>
      </w:pPr>
      <w:r w:rsidRPr="004140CC">
        <w:t>3.</w:t>
      </w:r>
      <w:r w:rsidRPr="004140CC">
        <w:tab/>
        <w:t>The above-menti</w:t>
      </w:r>
      <w:r w:rsidR="00EE67AF">
        <w:t>oned request was supported by 19</w:t>
      </w:r>
      <w:r w:rsidRPr="004140CC">
        <w:t xml:space="preserve"> States </w:t>
      </w:r>
      <w:r w:rsidR="00D64BE8">
        <w:t>m</w:t>
      </w:r>
      <w:r w:rsidRPr="004140CC">
        <w:t xml:space="preserve">embers of the Human Rights Council, namely, </w:t>
      </w:r>
      <w:r w:rsidR="00EE67AF">
        <w:t>Argentina, Austria, the Bahamas, Brazil, Bulgaria, Czechia, Denmark, France, Germany, Italy, Japan, Malawi, the Marshall Islands, Mexico, the Netherlands, Poland, the Republic of Korea, Ukraine and the United Kingdom of Great Britain and Northern Ireland</w:t>
      </w:r>
      <w:r w:rsidRPr="004140CC">
        <w:t>. The req</w:t>
      </w:r>
      <w:r w:rsidR="0071297B">
        <w:t>uest was also supported by 28</w:t>
      </w:r>
      <w:r w:rsidRPr="004140CC">
        <w:t xml:space="preserve"> observer States of the Council, namely, </w:t>
      </w:r>
      <w:r w:rsidR="00FF03B6">
        <w:t>Australia, Belgium, Canada, Croatia, Cyprus, Estonia, Finland, Greece, Hungary, Iceland, Ireland, Latvia, Liechtenstein, Lithuania, Luxembourg, Malta, Monaco, New Zealand, Norway, Portugal, Romania, Slovakia, Slovenia, Spa</w:t>
      </w:r>
      <w:r w:rsidR="0071297B">
        <w:t>in, Sweden, Switzerland, Turkey and the</w:t>
      </w:r>
      <w:r w:rsidR="00FF03B6">
        <w:t xml:space="preserve"> United States of America.</w:t>
      </w:r>
    </w:p>
    <w:p w14:paraId="6FDA2D2D" w14:textId="691E9E25" w:rsidR="00811E3B" w:rsidRPr="004140CC" w:rsidRDefault="00811E3B" w:rsidP="009C6154">
      <w:pPr>
        <w:pStyle w:val="SingleTxtG"/>
        <w:spacing w:line="232" w:lineRule="atLeast"/>
      </w:pPr>
      <w:r w:rsidRPr="004140CC">
        <w:t>4.</w:t>
      </w:r>
      <w:r w:rsidRPr="004140CC">
        <w:tab/>
        <w:t xml:space="preserve">Subsequently, the request was also supported by Member </w:t>
      </w:r>
      <w:r w:rsidR="00CE770B">
        <w:t xml:space="preserve">States </w:t>
      </w:r>
      <w:r w:rsidR="00D64BE8">
        <w:t>Fiji, Libya</w:t>
      </w:r>
      <w:r w:rsidR="00D64BE8" w:rsidRPr="00D64BE8">
        <w:t xml:space="preserve"> </w:t>
      </w:r>
      <w:r w:rsidR="00D64BE8">
        <w:t xml:space="preserve">and Uruguay, </w:t>
      </w:r>
      <w:r w:rsidRPr="004140CC">
        <w:t>and observer States</w:t>
      </w:r>
      <w:r w:rsidR="008A2F55">
        <w:t xml:space="preserve"> Costa Rica</w:t>
      </w:r>
      <w:r w:rsidRPr="004140CC">
        <w:t xml:space="preserve"> </w:t>
      </w:r>
      <w:r w:rsidR="00D64BE8">
        <w:t xml:space="preserve">and </w:t>
      </w:r>
      <w:r w:rsidR="005D1D15">
        <w:t>Montenegro</w:t>
      </w:r>
      <w:r w:rsidR="0071297B">
        <w:t>.</w:t>
      </w:r>
    </w:p>
    <w:p w14:paraId="2003FEAD" w14:textId="77777777" w:rsidR="00811E3B" w:rsidRPr="004140CC" w:rsidRDefault="00811E3B" w:rsidP="009C6154">
      <w:pPr>
        <w:pStyle w:val="SingleTxtG"/>
        <w:spacing w:line="232" w:lineRule="atLeast"/>
      </w:pPr>
      <w:r w:rsidRPr="004140CC">
        <w:t>5.</w:t>
      </w:r>
      <w:r w:rsidRPr="004140CC">
        <w:tab/>
        <w:t>As more than one third of the membership of the Human Rights Council supported the above-mentioned request, the President of the Council, following consultations with the main sponsors, decided to convene an open-ended informative consultation on the conduct and organizat</w:t>
      </w:r>
      <w:r w:rsidR="00F923AC">
        <w:t>ion of the special session on 11</w:t>
      </w:r>
      <w:r w:rsidRPr="004140CC">
        <w:t xml:space="preserve"> </w:t>
      </w:r>
      <w:r w:rsidR="00F923AC">
        <w:t>February 2021</w:t>
      </w:r>
      <w:r w:rsidRPr="004140CC">
        <w:t xml:space="preserve">, and the special session on </w:t>
      </w:r>
      <w:r w:rsidR="00F923AC">
        <w:t>12</w:t>
      </w:r>
      <w:r w:rsidRPr="004140CC">
        <w:t xml:space="preserve"> </w:t>
      </w:r>
      <w:r w:rsidR="00F923AC">
        <w:t>February</w:t>
      </w:r>
      <w:r w:rsidRPr="004140CC">
        <w:t>.</w:t>
      </w:r>
    </w:p>
    <w:p w14:paraId="544DF8E8" w14:textId="77777777" w:rsidR="00811E3B" w:rsidRPr="004140CC" w:rsidRDefault="00811E3B" w:rsidP="009C6154">
      <w:pPr>
        <w:pStyle w:val="H1G"/>
        <w:spacing w:line="232" w:lineRule="atLeast"/>
      </w:pPr>
      <w:r w:rsidRPr="004140CC">
        <w:tab/>
        <w:t>A.</w:t>
      </w:r>
      <w:r w:rsidRPr="004140CC">
        <w:tab/>
        <w:t>Opening and duration of the session</w:t>
      </w:r>
    </w:p>
    <w:p w14:paraId="4E52AFC0" w14:textId="77777777" w:rsidR="00811E3B" w:rsidRPr="004140CC" w:rsidRDefault="00811E3B" w:rsidP="009C6154">
      <w:pPr>
        <w:pStyle w:val="SingleTxtG"/>
        <w:spacing w:line="232" w:lineRule="atLeast"/>
      </w:pPr>
      <w:r w:rsidRPr="004140CC">
        <w:t>6.</w:t>
      </w:r>
      <w:r w:rsidRPr="004140CC">
        <w:tab/>
        <w:t>The Human Ri</w:t>
      </w:r>
      <w:r w:rsidR="00F923AC">
        <w:t>ghts Council held its twenty-nin</w:t>
      </w:r>
      <w:r w:rsidRPr="004140CC">
        <w:t xml:space="preserve">th special session at the United Nations Office at Geneva on </w:t>
      </w:r>
      <w:r w:rsidR="00F923AC">
        <w:t>12</w:t>
      </w:r>
      <w:r w:rsidRPr="004140CC">
        <w:t xml:space="preserve"> </w:t>
      </w:r>
      <w:r w:rsidR="00F923AC">
        <w:t>February 2021</w:t>
      </w:r>
      <w:r w:rsidRPr="004140CC">
        <w:t>. It held two meetings during the session.</w:t>
      </w:r>
    </w:p>
    <w:p w14:paraId="552D3FED" w14:textId="77777777" w:rsidR="00811E3B" w:rsidRPr="004140CC" w:rsidRDefault="00F923AC" w:rsidP="009C6154">
      <w:pPr>
        <w:pStyle w:val="SingleTxtG"/>
        <w:spacing w:line="232" w:lineRule="atLeast"/>
      </w:pPr>
      <w:r>
        <w:t>7.</w:t>
      </w:r>
      <w:r>
        <w:tab/>
        <w:t>The twenty-nin</w:t>
      </w:r>
      <w:r w:rsidR="00811E3B" w:rsidRPr="004140CC">
        <w:t>th special session was opened by the President of the Human Rights Council.</w:t>
      </w:r>
    </w:p>
    <w:p w14:paraId="43FA4582" w14:textId="77777777" w:rsidR="00811E3B" w:rsidRPr="004140CC" w:rsidRDefault="00811E3B" w:rsidP="009C6154">
      <w:pPr>
        <w:pStyle w:val="H1G"/>
        <w:spacing w:line="232" w:lineRule="atLeast"/>
      </w:pPr>
      <w:r w:rsidRPr="004140CC">
        <w:tab/>
        <w:t>B.</w:t>
      </w:r>
      <w:r w:rsidRPr="004140CC">
        <w:tab/>
        <w:t>Attendance</w:t>
      </w:r>
    </w:p>
    <w:p w14:paraId="734960F8" w14:textId="77777777" w:rsidR="00811E3B" w:rsidRPr="004140CC" w:rsidRDefault="00811E3B" w:rsidP="009C6154">
      <w:pPr>
        <w:pStyle w:val="SingleTxtG"/>
        <w:spacing w:line="232" w:lineRule="atLeast"/>
      </w:pPr>
      <w:r w:rsidRPr="004140CC">
        <w:t>8.</w:t>
      </w:r>
      <w:r w:rsidRPr="004140CC">
        <w:tab/>
        <w:t xml:space="preserve">The special session was attended by representatives of States </w:t>
      </w:r>
      <w:r w:rsidR="00E60611">
        <w:t>m</w:t>
      </w:r>
      <w:r w:rsidRPr="004140CC">
        <w:t>embers of the Human Rights Council, observer States of the Council, observers for non-Member States of the United Nations and other observers, and observers for United Nations entities, specialized agencies and related organizations, intergovernmental organizations and other entities, national human rights institutions and non-governmental organizations.</w:t>
      </w:r>
    </w:p>
    <w:p w14:paraId="6119F4A4" w14:textId="77777777" w:rsidR="00811E3B" w:rsidRPr="004140CC" w:rsidRDefault="00811E3B" w:rsidP="009C6154">
      <w:pPr>
        <w:pStyle w:val="H1G"/>
        <w:spacing w:line="232" w:lineRule="atLeast"/>
      </w:pPr>
      <w:r w:rsidRPr="004140CC">
        <w:tab/>
        <w:t>C.</w:t>
      </w:r>
      <w:r w:rsidRPr="004140CC">
        <w:tab/>
        <w:t>Officers</w:t>
      </w:r>
    </w:p>
    <w:p w14:paraId="3BCB1CCF" w14:textId="7EC6AA54" w:rsidR="00811E3B" w:rsidRPr="004140CC" w:rsidRDefault="00811E3B" w:rsidP="009C6154">
      <w:pPr>
        <w:pStyle w:val="SingleTxtG"/>
        <w:spacing w:line="232" w:lineRule="atLeast"/>
      </w:pPr>
      <w:r w:rsidRPr="004140CC">
        <w:t>9.</w:t>
      </w:r>
      <w:r w:rsidRPr="004140CC">
        <w:tab/>
        <w:t xml:space="preserve">The following members of the Bureau of the Human Rights Council </w:t>
      </w:r>
      <w:r w:rsidR="00367CDB">
        <w:t xml:space="preserve">appointed </w:t>
      </w:r>
      <w:r w:rsidRPr="004140CC">
        <w:t xml:space="preserve">for the </w:t>
      </w:r>
      <w:r w:rsidR="002F4E2A">
        <w:t>fifteen</w:t>
      </w:r>
      <w:r w:rsidR="002F4E2A" w:rsidRPr="004140CC">
        <w:t>th</w:t>
      </w:r>
      <w:r w:rsidRPr="004140CC">
        <w:t xml:space="preserve"> cycle also served as officers fo</w:t>
      </w:r>
      <w:r w:rsidR="00907C2D">
        <w:t>r the twenty-nin</w:t>
      </w:r>
      <w:r w:rsidRPr="004140CC">
        <w:t xml:space="preserve">th special session: </w:t>
      </w:r>
    </w:p>
    <w:p w14:paraId="7A1CF3E2" w14:textId="77777777" w:rsidR="00811E3B" w:rsidRPr="004140CC" w:rsidRDefault="00811E3B" w:rsidP="009C6154">
      <w:pPr>
        <w:spacing w:after="120" w:line="232" w:lineRule="atLeast"/>
        <w:ind w:left="1701" w:right="1134"/>
        <w:jc w:val="both"/>
      </w:pPr>
      <w:r w:rsidRPr="004140CC">
        <w:rPr>
          <w:i/>
          <w:iCs/>
        </w:rPr>
        <w:t>President</w:t>
      </w:r>
      <w:r w:rsidRPr="004140CC">
        <w:tab/>
      </w:r>
      <w:r w:rsidRPr="004140CC">
        <w:tab/>
      </w:r>
      <w:r w:rsidR="002F4E2A" w:rsidRPr="002F4E2A">
        <w:t>Nazhat Shameem Khan</w:t>
      </w:r>
      <w:r w:rsidR="002F4E2A">
        <w:t xml:space="preserve"> (Fiji</w:t>
      </w:r>
      <w:r w:rsidRPr="004140CC">
        <w:t>)</w:t>
      </w:r>
    </w:p>
    <w:p w14:paraId="43C51844" w14:textId="77777777" w:rsidR="00811E3B" w:rsidRPr="004140CC" w:rsidRDefault="00811E3B" w:rsidP="009C6154">
      <w:pPr>
        <w:spacing w:after="120" w:line="232" w:lineRule="atLeast"/>
        <w:ind w:left="1701" w:right="1134"/>
        <w:jc w:val="both"/>
        <w:rPr>
          <w:iCs/>
        </w:rPr>
      </w:pPr>
      <w:r w:rsidRPr="004140CC">
        <w:rPr>
          <w:i/>
          <w:iCs/>
        </w:rPr>
        <w:t>Vice-Presidents</w:t>
      </w:r>
      <w:r w:rsidRPr="004140CC">
        <w:tab/>
      </w:r>
      <w:r w:rsidR="002F4E2A">
        <w:rPr>
          <w:iCs/>
        </w:rPr>
        <w:t>Keva Lorraine Bain (Bahamas</w:t>
      </w:r>
      <w:r w:rsidRPr="004140CC">
        <w:rPr>
          <w:iCs/>
        </w:rPr>
        <w:t>)</w:t>
      </w:r>
      <w:r w:rsidR="002F4E2A" w:rsidRPr="002F4E2A">
        <w:rPr>
          <w:iCs/>
        </w:rPr>
        <w:t xml:space="preserve"> </w:t>
      </w:r>
    </w:p>
    <w:p w14:paraId="7B40C995" w14:textId="77777777" w:rsidR="00811E3B" w:rsidRDefault="002F4E2A" w:rsidP="009C6154">
      <w:pPr>
        <w:spacing w:after="120" w:line="232" w:lineRule="atLeast"/>
        <w:ind w:left="2835" w:right="1134" w:firstLine="567"/>
        <w:jc w:val="both"/>
        <w:rPr>
          <w:iCs/>
        </w:rPr>
      </w:pPr>
      <w:r w:rsidRPr="002F4E2A">
        <w:rPr>
          <w:iCs/>
        </w:rPr>
        <w:t>Ali Ibn Abi Talib Abdelrahman Mahmoud (Sudan</w:t>
      </w:r>
      <w:r w:rsidR="00811E3B" w:rsidRPr="002F4E2A">
        <w:rPr>
          <w:iCs/>
        </w:rPr>
        <w:t>)</w:t>
      </w:r>
    </w:p>
    <w:p w14:paraId="7F825402" w14:textId="77777777" w:rsidR="002F4E2A" w:rsidRPr="002F4E2A" w:rsidRDefault="002F4E2A" w:rsidP="009C6154">
      <w:pPr>
        <w:spacing w:after="120" w:line="232" w:lineRule="atLeast"/>
        <w:ind w:left="2835" w:right="1134" w:firstLine="567"/>
        <w:jc w:val="both"/>
        <w:rPr>
          <w:iCs/>
        </w:rPr>
      </w:pPr>
      <w:r w:rsidRPr="002F4E2A">
        <w:rPr>
          <w:iCs/>
        </w:rPr>
        <w:t>Yuri Borissov Sterk</w:t>
      </w:r>
      <w:r>
        <w:rPr>
          <w:iCs/>
        </w:rPr>
        <w:t xml:space="preserve"> (Bulgaria)</w:t>
      </w:r>
    </w:p>
    <w:p w14:paraId="45DDCCBC" w14:textId="77777777" w:rsidR="00811E3B" w:rsidRPr="002F4E2A" w:rsidRDefault="00811E3B" w:rsidP="009C6154">
      <w:pPr>
        <w:pStyle w:val="SingleTxtG"/>
        <w:spacing w:after="0" w:line="232" w:lineRule="atLeast"/>
        <w:ind w:left="1701"/>
      </w:pPr>
      <w:r w:rsidRPr="002F4E2A">
        <w:rPr>
          <w:i/>
        </w:rPr>
        <w:t xml:space="preserve">Vice-President </w:t>
      </w:r>
      <w:r w:rsidRPr="002F4E2A">
        <w:tab/>
      </w:r>
    </w:p>
    <w:p w14:paraId="69041373" w14:textId="77777777" w:rsidR="00811E3B" w:rsidRPr="001A15EA" w:rsidRDefault="00811E3B" w:rsidP="009C6154">
      <w:pPr>
        <w:pStyle w:val="SingleTxtG"/>
        <w:spacing w:line="236" w:lineRule="atLeast"/>
        <w:ind w:left="1701"/>
        <w:rPr>
          <w:lang w:val="fr-FR"/>
        </w:rPr>
      </w:pPr>
      <w:r w:rsidRPr="001A15EA">
        <w:rPr>
          <w:i/>
          <w:lang w:val="fr-FR"/>
        </w:rPr>
        <w:t>and Rapporteur</w:t>
      </w:r>
      <w:r w:rsidRPr="001A15EA">
        <w:rPr>
          <w:lang w:val="fr-FR"/>
        </w:rPr>
        <w:tab/>
      </w:r>
      <w:r w:rsidR="002F4E2A" w:rsidRPr="001A15EA">
        <w:rPr>
          <w:lang w:val="fr-FR"/>
        </w:rPr>
        <w:t xml:space="preserve">Monique T.G. Van Daalen </w:t>
      </w:r>
      <w:r w:rsidRPr="001A15EA">
        <w:rPr>
          <w:lang w:val="fr-FR"/>
        </w:rPr>
        <w:t>(</w:t>
      </w:r>
      <w:r w:rsidR="002F4E2A" w:rsidRPr="001A15EA">
        <w:rPr>
          <w:lang w:val="fr-FR"/>
        </w:rPr>
        <w:t>Netherlands</w:t>
      </w:r>
      <w:r w:rsidRPr="001A15EA">
        <w:rPr>
          <w:lang w:val="fr-FR"/>
        </w:rPr>
        <w:t>)</w:t>
      </w:r>
    </w:p>
    <w:p w14:paraId="5C6B03BC" w14:textId="77777777" w:rsidR="00811E3B" w:rsidRPr="004140CC" w:rsidRDefault="00811E3B" w:rsidP="00811E3B">
      <w:pPr>
        <w:pStyle w:val="H1G"/>
      </w:pPr>
      <w:r w:rsidRPr="001A15EA">
        <w:rPr>
          <w:lang w:val="fr-FR"/>
        </w:rPr>
        <w:lastRenderedPageBreak/>
        <w:tab/>
      </w:r>
      <w:r w:rsidRPr="004140CC">
        <w:t>D.</w:t>
      </w:r>
      <w:r w:rsidRPr="004140CC">
        <w:tab/>
        <w:t>Organization of work</w:t>
      </w:r>
    </w:p>
    <w:p w14:paraId="107B1ECA" w14:textId="77777777" w:rsidR="00811E3B" w:rsidRPr="004140CC" w:rsidRDefault="00811E3B" w:rsidP="00811E3B">
      <w:pPr>
        <w:pStyle w:val="SingleTxtG"/>
      </w:pPr>
      <w:r w:rsidRPr="004140CC">
        <w:t>10.</w:t>
      </w:r>
      <w:r w:rsidRPr="004140CC">
        <w:tab/>
        <w:t xml:space="preserve">Pursuant to paragraph 124 of the annex to Human Rights Council resolution 5/1, an open-ended informative consultation was held on </w:t>
      </w:r>
      <w:r w:rsidR="002F4E2A">
        <w:t>11 February 2021</w:t>
      </w:r>
      <w:r w:rsidRPr="004140CC">
        <w:t xml:space="preserve"> in</w:t>
      </w:r>
      <w:r w:rsidR="002F4E2A">
        <w:t xml:space="preserve"> preparation for the twenty-nin</w:t>
      </w:r>
      <w:r w:rsidRPr="004140CC">
        <w:t>th special session.</w:t>
      </w:r>
    </w:p>
    <w:p w14:paraId="5E58D68A" w14:textId="77777777" w:rsidR="00811E3B" w:rsidRDefault="00811E3B" w:rsidP="00811E3B">
      <w:pPr>
        <w:pStyle w:val="SingleTxtG"/>
      </w:pPr>
      <w:r w:rsidRPr="004140CC">
        <w:t>11.</w:t>
      </w:r>
      <w:r w:rsidRPr="004140CC">
        <w:tab/>
        <w:t xml:space="preserve">At its first meeting, on </w:t>
      </w:r>
      <w:r w:rsidR="000123F0">
        <w:t>12 February 2021</w:t>
      </w:r>
      <w:r w:rsidRPr="00A53459">
        <w:t>, the Human Rights Council considered the organization of its work, including speaking</w:t>
      </w:r>
      <w:r w:rsidR="000D1EA4" w:rsidRPr="00A53459">
        <w:t xml:space="preserve"> time limits, which would be 2</w:t>
      </w:r>
      <w:r w:rsidRPr="00A53459">
        <w:t xml:space="preserve"> minutes and 30 seconds for State</w:t>
      </w:r>
      <w:r w:rsidR="000D1EA4" w:rsidRPr="00A53459">
        <w:t xml:space="preserve">s </w:t>
      </w:r>
      <w:r w:rsidR="00E60611">
        <w:t>m</w:t>
      </w:r>
      <w:r w:rsidR="000D1EA4" w:rsidRPr="00A53459">
        <w:t>embers of the Council and 1</w:t>
      </w:r>
      <w:r w:rsidRPr="00A53459">
        <w:t xml:space="preserve"> minute and 30 seconds for observer States of t</w:t>
      </w:r>
      <w:r w:rsidR="00DF48A7">
        <w:t>he Council and other observers.</w:t>
      </w:r>
    </w:p>
    <w:p w14:paraId="112B5DF4" w14:textId="2E679364" w:rsidR="00A616D8" w:rsidRPr="00715506" w:rsidRDefault="00A616D8" w:rsidP="00811E3B">
      <w:pPr>
        <w:pStyle w:val="SingleTxtG"/>
      </w:pPr>
      <w:r w:rsidRPr="00715506">
        <w:t>12.</w:t>
      </w:r>
      <w:r w:rsidRPr="00715506">
        <w:tab/>
        <w:t xml:space="preserve">At the same meeting, </w:t>
      </w:r>
      <w:r w:rsidR="00774C07" w:rsidRPr="00715506">
        <w:rPr>
          <w:rFonts w:eastAsia="Malgun Gothic"/>
        </w:rPr>
        <w:t>the Human Rights Council decided to endorse extraordinary measures and modalities proposed by the Bureau of the Council</w:t>
      </w:r>
      <w:r w:rsidR="00BA4570" w:rsidRPr="00715506">
        <w:t xml:space="preserve"> </w:t>
      </w:r>
      <w:r w:rsidR="00BA4570" w:rsidRPr="00715506">
        <w:rPr>
          <w:rFonts w:eastAsia="Malgun Gothic"/>
        </w:rPr>
        <w:t xml:space="preserve">in the annexes </w:t>
      </w:r>
      <w:r w:rsidR="00367CDB">
        <w:rPr>
          <w:rFonts w:eastAsia="Malgun Gothic"/>
        </w:rPr>
        <w:t>to</w:t>
      </w:r>
      <w:r w:rsidR="00367CDB" w:rsidRPr="00715506">
        <w:rPr>
          <w:rFonts w:eastAsia="Malgun Gothic"/>
        </w:rPr>
        <w:t xml:space="preserve"> </w:t>
      </w:r>
      <w:r w:rsidR="00BA4570" w:rsidRPr="00715506">
        <w:rPr>
          <w:rFonts w:eastAsia="Malgun Gothic"/>
        </w:rPr>
        <w:t xml:space="preserve">the minutes of the Bureau meeting of 10 February 2021 </w:t>
      </w:r>
      <w:r w:rsidR="00B45B77" w:rsidRPr="00715506">
        <w:rPr>
          <w:rFonts w:eastAsia="Malgun Gothic"/>
        </w:rPr>
        <w:t xml:space="preserve">for the </w:t>
      </w:r>
      <w:r w:rsidR="00367CDB">
        <w:rPr>
          <w:rFonts w:eastAsia="Malgun Gothic"/>
        </w:rPr>
        <w:t>twenty-ninth</w:t>
      </w:r>
      <w:r w:rsidR="00367CDB" w:rsidRPr="00715506">
        <w:rPr>
          <w:rFonts w:eastAsia="Malgun Gothic"/>
        </w:rPr>
        <w:t xml:space="preserve"> </w:t>
      </w:r>
      <w:r w:rsidR="00B45B77" w:rsidRPr="00715506">
        <w:rPr>
          <w:rFonts w:eastAsia="Malgun Gothic"/>
        </w:rPr>
        <w:t>special session</w:t>
      </w:r>
      <w:r w:rsidR="00774C07" w:rsidRPr="00715506">
        <w:rPr>
          <w:rFonts w:eastAsia="Malgun Gothic"/>
        </w:rPr>
        <w:t xml:space="preserve"> in </w:t>
      </w:r>
      <w:r w:rsidR="00367CDB">
        <w:rPr>
          <w:rFonts w:eastAsia="Malgun Gothic"/>
        </w:rPr>
        <w:t>the light</w:t>
      </w:r>
      <w:r w:rsidR="00367CDB" w:rsidRPr="00715506">
        <w:rPr>
          <w:rFonts w:eastAsia="Malgun Gothic"/>
        </w:rPr>
        <w:t xml:space="preserve"> </w:t>
      </w:r>
      <w:r w:rsidR="00774C07" w:rsidRPr="00715506">
        <w:rPr>
          <w:rFonts w:eastAsia="Malgun Gothic"/>
        </w:rPr>
        <w:t>of</w:t>
      </w:r>
      <w:r w:rsidR="00144C60" w:rsidRPr="00715506">
        <w:rPr>
          <w:rFonts w:eastAsia="Malgun Gothic"/>
        </w:rPr>
        <w:t xml:space="preserve"> the coronavirus disease (COVID-19) pandemic</w:t>
      </w:r>
      <w:r w:rsidR="00774C07" w:rsidRPr="00715506">
        <w:rPr>
          <w:rFonts w:eastAsia="Malgun Gothic"/>
        </w:rPr>
        <w:t>. The measures included encouraging</w:t>
      </w:r>
      <w:r w:rsidR="00367CDB">
        <w:rPr>
          <w:rFonts w:eastAsia="Malgun Gothic"/>
        </w:rPr>
        <w:t xml:space="preserve"> parties to</w:t>
      </w:r>
      <w:r w:rsidR="00774C07" w:rsidRPr="00715506">
        <w:rPr>
          <w:rFonts w:eastAsia="Malgun Gothic"/>
        </w:rPr>
        <w:t xml:space="preserve"> deliver </w:t>
      </w:r>
      <w:r w:rsidR="00367CDB">
        <w:rPr>
          <w:rFonts w:eastAsia="Malgun Gothic"/>
        </w:rPr>
        <w:t>the</w:t>
      </w:r>
      <w:r w:rsidR="0066390F">
        <w:rPr>
          <w:rFonts w:eastAsia="Malgun Gothic"/>
        </w:rPr>
        <w:t>i</w:t>
      </w:r>
      <w:r w:rsidR="00367CDB">
        <w:rPr>
          <w:rFonts w:eastAsia="Malgun Gothic"/>
        </w:rPr>
        <w:t>r</w:t>
      </w:r>
      <w:r w:rsidR="00367CDB" w:rsidRPr="00715506">
        <w:rPr>
          <w:rFonts w:eastAsia="Malgun Gothic"/>
        </w:rPr>
        <w:t xml:space="preserve"> </w:t>
      </w:r>
      <w:r w:rsidR="00774C07" w:rsidRPr="00715506">
        <w:rPr>
          <w:rFonts w:eastAsia="Malgun Gothic"/>
        </w:rPr>
        <w:t>statements</w:t>
      </w:r>
      <w:r w:rsidR="00621E95" w:rsidRPr="00715506">
        <w:rPr>
          <w:rFonts w:eastAsia="Malgun Gothic"/>
        </w:rPr>
        <w:t xml:space="preserve"> remotely or</w:t>
      </w:r>
      <w:r w:rsidR="008966C2">
        <w:rPr>
          <w:rFonts w:eastAsia="Malgun Gothic"/>
        </w:rPr>
        <w:t xml:space="preserve"> by pre-recorded video </w:t>
      </w:r>
      <w:r w:rsidR="00774C07" w:rsidRPr="00715506">
        <w:rPr>
          <w:rFonts w:eastAsia="Malgun Gothic"/>
        </w:rPr>
        <w:t xml:space="preserve">message, </w:t>
      </w:r>
      <w:r w:rsidR="004534A7">
        <w:rPr>
          <w:rFonts w:eastAsia="Malgun Gothic"/>
        </w:rPr>
        <w:t xml:space="preserve">and </w:t>
      </w:r>
      <w:r w:rsidR="00367CDB">
        <w:rPr>
          <w:rFonts w:eastAsia="Malgun Gothic"/>
        </w:rPr>
        <w:t>allowing</w:t>
      </w:r>
      <w:r w:rsidR="00367CDB" w:rsidRPr="00715506">
        <w:rPr>
          <w:rFonts w:eastAsia="Malgun Gothic"/>
        </w:rPr>
        <w:t xml:space="preserve"> </w:t>
      </w:r>
      <w:r w:rsidR="00774C07" w:rsidRPr="00715506">
        <w:rPr>
          <w:rFonts w:eastAsia="Malgun Gothic"/>
        </w:rPr>
        <w:t>delegations to raise points of order remotely and the virtual exercise of the right of reply. The Council also approved extraordinary modalities</w:t>
      </w:r>
      <w:r w:rsidR="00983559">
        <w:rPr>
          <w:rFonts w:eastAsia="Malgun Gothic"/>
        </w:rPr>
        <w:t>,</w:t>
      </w:r>
      <w:r w:rsidR="00774C07" w:rsidRPr="00715506">
        <w:rPr>
          <w:rFonts w:eastAsia="Malgun Gothic"/>
        </w:rPr>
        <w:t xml:space="preserve"> </w:t>
      </w:r>
      <w:r w:rsidR="00144C60" w:rsidRPr="00715506">
        <w:rPr>
          <w:rFonts w:eastAsia="Malgun Gothic"/>
        </w:rPr>
        <w:t>as contained in a</w:t>
      </w:r>
      <w:r w:rsidR="00913741" w:rsidRPr="00715506">
        <w:rPr>
          <w:rFonts w:eastAsia="Malgun Gothic"/>
        </w:rPr>
        <w:t xml:space="preserve">nnex II </w:t>
      </w:r>
      <w:r w:rsidR="00367CDB">
        <w:rPr>
          <w:rFonts w:eastAsia="Malgun Gothic"/>
        </w:rPr>
        <w:t>to</w:t>
      </w:r>
      <w:r w:rsidR="00367CDB" w:rsidRPr="00715506">
        <w:rPr>
          <w:rFonts w:eastAsia="Malgun Gothic"/>
        </w:rPr>
        <w:t xml:space="preserve"> </w:t>
      </w:r>
      <w:r w:rsidR="00913741" w:rsidRPr="00715506">
        <w:rPr>
          <w:rFonts w:eastAsia="Malgun Gothic"/>
        </w:rPr>
        <w:t>the minutes of the Bureau meeting</w:t>
      </w:r>
      <w:r w:rsidR="00983559">
        <w:rPr>
          <w:rFonts w:eastAsia="Malgun Gothic"/>
        </w:rPr>
        <w:t>,</w:t>
      </w:r>
      <w:r w:rsidR="00913741" w:rsidRPr="00715506">
        <w:rPr>
          <w:rFonts w:eastAsia="Malgun Gothic"/>
        </w:rPr>
        <w:t xml:space="preserve"> </w:t>
      </w:r>
      <w:r w:rsidR="00774C07" w:rsidRPr="00715506">
        <w:rPr>
          <w:rFonts w:eastAsia="Malgun Gothic"/>
        </w:rPr>
        <w:t xml:space="preserve">for </w:t>
      </w:r>
      <w:r w:rsidR="00BA4570" w:rsidRPr="00715506">
        <w:rPr>
          <w:rFonts w:eastAsia="Malgun Gothic"/>
        </w:rPr>
        <w:t xml:space="preserve">virtual </w:t>
      </w:r>
      <w:r w:rsidR="00983559" w:rsidRPr="00715506">
        <w:rPr>
          <w:rFonts w:eastAsia="Malgun Gothic"/>
        </w:rPr>
        <w:t xml:space="preserve">voting </w:t>
      </w:r>
      <w:r w:rsidR="00983559">
        <w:rPr>
          <w:rFonts w:eastAsia="Malgun Gothic"/>
        </w:rPr>
        <w:t>(</w:t>
      </w:r>
      <w:r w:rsidR="00983559" w:rsidRPr="00715506">
        <w:rPr>
          <w:rFonts w:eastAsia="Malgun Gothic"/>
        </w:rPr>
        <w:t>via Zoom</w:t>
      </w:r>
      <w:r w:rsidR="00983559">
        <w:rPr>
          <w:rFonts w:eastAsia="Malgun Gothic"/>
        </w:rPr>
        <w:t xml:space="preserve">) by </w:t>
      </w:r>
      <w:r w:rsidR="00BA4570" w:rsidRPr="00715506">
        <w:rPr>
          <w:rFonts w:eastAsia="Malgun Gothic"/>
        </w:rPr>
        <w:t>roll</w:t>
      </w:r>
      <w:r w:rsidR="00367CDB">
        <w:rPr>
          <w:rFonts w:eastAsia="Malgun Gothic"/>
        </w:rPr>
        <w:t xml:space="preserve"> </w:t>
      </w:r>
      <w:r w:rsidR="00BA4570" w:rsidRPr="00715506">
        <w:rPr>
          <w:rFonts w:eastAsia="Malgun Gothic"/>
        </w:rPr>
        <w:t>call</w:t>
      </w:r>
      <w:r w:rsidR="00B45B77" w:rsidRPr="00715506">
        <w:rPr>
          <w:rFonts w:eastAsia="Malgun Gothic"/>
        </w:rPr>
        <w:t xml:space="preserve">. </w:t>
      </w:r>
    </w:p>
    <w:p w14:paraId="47C009BF" w14:textId="10357BDB" w:rsidR="00DF48A7" w:rsidRPr="00B45B77" w:rsidRDefault="00B45B77" w:rsidP="00811E3B">
      <w:pPr>
        <w:pStyle w:val="SingleTxtG"/>
        <w:rPr>
          <w:lang w:val="en-US"/>
        </w:rPr>
      </w:pPr>
      <w:r w:rsidRPr="00715506">
        <w:t>13</w:t>
      </w:r>
      <w:r w:rsidR="00DF48A7" w:rsidRPr="00715506">
        <w:t>.</w:t>
      </w:r>
      <w:r w:rsidR="00DF48A7" w:rsidRPr="00715506">
        <w:tab/>
        <w:t>A</w:t>
      </w:r>
      <w:r w:rsidR="00A616D8" w:rsidRPr="00715506">
        <w:t>lso a</w:t>
      </w:r>
      <w:r w:rsidR="00DF48A7" w:rsidRPr="00715506">
        <w:t xml:space="preserve">t the same meeting, </w:t>
      </w:r>
      <w:r w:rsidR="00DF48A7" w:rsidRPr="00715506">
        <w:rPr>
          <w:lang w:val="en-US"/>
        </w:rPr>
        <w:t>the Human Rights Council</w:t>
      </w:r>
      <w:r w:rsidR="00367CDB">
        <w:rPr>
          <w:lang w:val="en-US"/>
        </w:rPr>
        <w:t>,</w:t>
      </w:r>
      <w:r w:rsidR="001779DE">
        <w:rPr>
          <w:lang w:val="en-US"/>
        </w:rPr>
        <w:t xml:space="preserve"> given that the measures required to address </w:t>
      </w:r>
      <w:r w:rsidR="001779DE" w:rsidRPr="00715506">
        <w:rPr>
          <w:lang w:val="en-US"/>
        </w:rPr>
        <w:t>the COVID-19 pandemic</w:t>
      </w:r>
      <w:r w:rsidR="001779DE">
        <w:rPr>
          <w:lang w:val="en-US"/>
        </w:rPr>
        <w:t xml:space="preserve"> precluded </w:t>
      </w:r>
      <w:r w:rsidR="007A6A25">
        <w:rPr>
          <w:lang w:val="en-US"/>
        </w:rPr>
        <w:t>in-person</w:t>
      </w:r>
      <w:r w:rsidR="001779DE">
        <w:rPr>
          <w:lang w:val="en-US"/>
        </w:rPr>
        <w:t xml:space="preserve"> participation of non-governmental organizations, </w:t>
      </w:r>
      <w:r w:rsidR="0021473E" w:rsidRPr="00715506">
        <w:rPr>
          <w:lang w:val="en-US"/>
        </w:rPr>
        <w:t xml:space="preserve">adopted a decision </w:t>
      </w:r>
      <w:r w:rsidRPr="00715506">
        <w:rPr>
          <w:lang w:val="en-US"/>
        </w:rPr>
        <w:t>to</w:t>
      </w:r>
      <w:r w:rsidR="001779DE">
        <w:rPr>
          <w:lang w:val="en-US"/>
        </w:rPr>
        <w:t xml:space="preserve"> allow</w:t>
      </w:r>
      <w:r w:rsidR="007A6A25">
        <w:rPr>
          <w:lang w:val="en-US"/>
        </w:rPr>
        <w:t>, exceptionally,</w:t>
      </w:r>
      <w:r w:rsidR="00DF48A7" w:rsidRPr="00715506">
        <w:rPr>
          <w:lang w:val="en-US"/>
        </w:rPr>
        <w:t xml:space="preserve"> </w:t>
      </w:r>
      <w:r w:rsidRPr="00715506">
        <w:rPr>
          <w:lang w:val="en-US"/>
        </w:rPr>
        <w:t>non-governmental organizations</w:t>
      </w:r>
      <w:r w:rsidR="00DF48A7" w:rsidRPr="00715506">
        <w:rPr>
          <w:lang w:val="en-US"/>
        </w:rPr>
        <w:t xml:space="preserve"> in consultative status with the </w:t>
      </w:r>
      <w:r w:rsidRPr="00715506">
        <w:rPr>
          <w:lang w:val="en-US"/>
        </w:rPr>
        <w:t>Economic and Social Council</w:t>
      </w:r>
      <w:r w:rsidR="00DF48A7" w:rsidRPr="00715506">
        <w:rPr>
          <w:lang w:val="en-US"/>
        </w:rPr>
        <w:t xml:space="preserve"> the opportunity to submit pre-recorded</w:t>
      </w:r>
      <w:r w:rsidRPr="00715506">
        <w:rPr>
          <w:lang w:val="en-US"/>
        </w:rPr>
        <w:t xml:space="preserve"> video statements for the special s</w:t>
      </w:r>
      <w:r w:rsidR="00DF48A7" w:rsidRPr="00715506">
        <w:rPr>
          <w:lang w:val="en-US"/>
        </w:rPr>
        <w:t xml:space="preserve">ession. </w:t>
      </w:r>
      <w:r w:rsidR="00BE6633" w:rsidRPr="00715506">
        <w:rPr>
          <w:lang w:val="en-US"/>
        </w:rPr>
        <w:t>T</w:t>
      </w:r>
      <w:r w:rsidR="00DF48A7" w:rsidRPr="00715506">
        <w:rPr>
          <w:lang w:val="en-US"/>
        </w:rPr>
        <w:t xml:space="preserve">he number of </w:t>
      </w:r>
      <w:r w:rsidRPr="00715506">
        <w:rPr>
          <w:lang w:val="en-US"/>
        </w:rPr>
        <w:t>non-governmental organizations</w:t>
      </w:r>
      <w:r w:rsidR="008B6430" w:rsidRPr="00715506">
        <w:rPr>
          <w:lang w:val="en-US"/>
        </w:rPr>
        <w:t xml:space="preserve"> to be</w:t>
      </w:r>
      <w:r w:rsidRPr="00715506">
        <w:rPr>
          <w:lang w:val="en-US"/>
        </w:rPr>
        <w:t xml:space="preserve"> included</w:t>
      </w:r>
      <w:r w:rsidR="00DF48A7" w:rsidRPr="00715506">
        <w:rPr>
          <w:lang w:val="en-US"/>
        </w:rPr>
        <w:t xml:space="preserve"> in the list of speakers </w:t>
      </w:r>
      <w:r w:rsidRPr="00715506">
        <w:rPr>
          <w:lang w:val="en-US"/>
        </w:rPr>
        <w:t>for the special s</w:t>
      </w:r>
      <w:r w:rsidR="00DF48A7" w:rsidRPr="00715506">
        <w:rPr>
          <w:lang w:val="en-US"/>
        </w:rPr>
        <w:t xml:space="preserve">ession was set </w:t>
      </w:r>
      <w:r w:rsidR="001779DE">
        <w:rPr>
          <w:lang w:val="en-US"/>
        </w:rPr>
        <w:t>at</w:t>
      </w:r>
      <w:r w:rsidR="001779DE" w:rsidRPr="00715506">
        <w:rPr>
          <w:lang w:val="en-US"/>
        </w:rPr>
        <w:t xml:space="preserve"> </w:t>
      </w:r>
      <w:r w:rsidR="00DF48A7" w:rsidRPr="00715506">
        <w:rPr>
          <w:lang w:val="en-US"/>
        </w:rPr>
        <w:t xml:space="preserve">18, in </w:t>
      </w:r>
      <w:r w:rsidR="001779DE">
        <w:rPr>
          <w:lang w:val="en-US"/>
        </w:rPr>
        <w:t>accordance</w:t>
      </w:r>
      <w:r w:rsidR="001779DE" w:rsidRPr="00715506">
        <w:rPr>
          <w:lang w:val="en-US"/>
        </w:rPr>
        <w:t xml:space="preserve"> </w:t>
      </w:r>
      <w:r w:rsidR="00DF48A7" w:rsidRPr="00715506">
        <w:rPr>
          <w:lang w:val="en-US"/>
        </w:rPr>
        <w:t xml:space="preserve">with the average number of </w:t>
      </w:r>
      <w:r w:rsidRPr="00715506">
        <w:rPr>
          <w:lang w:val="en-US"/>
        </w:rPr>
        <w:t>non-governmental organizations</w:t>
      </w:r>
      <w:r w:rsidR="00DF48A7" w:rsidRPr="00715506">
        <w:rPr>
          <w:lang w:val="en-US"/>
        </w:rPr>
        <w:t xml:space="preserve"> that </w:t>
      </w:r>
      <w:r w:rsidRPr="00715506">
        <w:rPr>
          <w:lang w:val="en-US"/>
        </w:rPr>
        <w:t xml:space="preserve">had </w:t>
      </w:r>
      <w:r w:rsidR="00DF48A7" w:rsidRPr="00715506">
        <w:rPr>
          <w:lang w:val="en-US"/>
        </w:rPr>
        <w:t xml:space="preserve">participated in the </w:t>
      </w:r>
      <w:r w:rsidR="001779DE" w:rsidRPr="00715506">
        <w:rPr>
          <w:lang w:val="en-US"/>
        </w:rPr>
        <w:t xml:space="preserve">three </w:t>
      </w:r>
      <w:r w:rsidR="00DF48A7" w:rsidRPr="00715506">
        <w:rPr>
          <w:lang w:val="en-US"/>
        </w:rPr>
        <w:t>previous special sessions, held in 2018, 2017 and 2016.</w:t>
      </w:r>
    </w:p>
    <w:p w14:paraId="2D42AF64" w14:textId="529D687D" w:rsidR="00811E3B" w:rsidRPr="004140CC" w:rsidRDefault="00B45B77" w:rsidP="00811E3B">
      <w:pPr>
        <w:pStyle w:val="SingleTxtG"/>
      </w:pPr>
      <w:r>
        <w:t>14</w:t>
      </w:r>
      <w:r w:rsidR="00811E3B" w:rsidRPr="004140CC">
        <w:t>.</w:t>
      </w:r>
      <w:r w:rsidR="00811E3B" w:rsidRPr="004140CC">
        <w:tab/>
        <w:t xml:space="preserve">The special session was conducted in accordance with the relevant provisions contained in </w:t>
      </w:r>
      <w:r w:rsidR="001779DE">
        <w:t xml:space="preserve">the annex to </w:t>
      </w:r>
      <w:r w:rsidR="00811E3B" w:rsidRPr="004140CC">
        <w:t>Human Rights Council resolution 5/1.</w:t>
      </w:r>
    </w:p>
    <w:p w14:paraId="724F6259" w14:textId="77777777" w:rsidR="00811E3B" w:rsidRPr="004140CC" w:rsidRDefault="00811E3B" w:rsidP="00811E3B">
      <w:pPr>
        <w:pStyle w:val="H1G"/>
      </w:pPr>
      <w:r w:rsidRPr="004140CC">
        <w:tab/>
        <w:t>E.</w:t>
      </w:r>
      <w:r w:rsidRPr="004140CC">
        <w:tab/>
        <w:t>Resolution and documentation</w:t>
      </w:r>
    </w:p>
    <w:p w14:paraId="6A7CD40F" w14:textId="77777777" w:rsidR="00811E3B" w:rsidRPr="004140CC" w:rsidRDefault="00DD17EF" w:rsidP="00811E3B">
      <w:pPr>
        <w:pStyle w:val="SingleTxtG"/>
      </w:pPr>
      <w:r>
        <w:t>15</w:t>
      </w:r>
      <w:r w:rsidR="00811E3B" w:rsidRPr="004140CC">
        <w:t>.</w:t>
      </w:r>
      <w:r w:rsidR="00811E3B" w:rsidRPr="004140CC">
        <w:tab/>
        <w:t>The resolution adopted by the Human R</w:t>
      </w:r>
      <w:r w:rsidR="000123F0">
        <w:t>ights Council at its twenty-nin</w:t>
      </w:r>
      <w:r w:rsidR="00811E3B" w:rsidRPr="004140CC">
        <w:t>th special session is reproduced in chapter I of the present report.</w:t>
      </w:r>
    </w:p>
    <w:p w14:paraId="51E03AA9" w14:textId="77777777" w:rsidR="00811E3B" w:rsidRPr="004140CC" w:rsidRDefault="00DD17EF" w:rsidP="00811E3B">
      <w:pPr>
        <w:pStyle w:val="SingleTxtG"/>
      </w:pPr>
      <w:r>
        <w:t>16</w:t>
      </w:r>
      <w:r w:rsidR="00811E3B" w:rsidRPr="004140CC">
        <w:t>.</w:t>
      </w:r>
      <w:r w:rsidR="00811E3B" w:rsidRPr="004140CC">
        <w:tab/>
        <w:t>The list of docu</w:t>
      </w:r>
      <w:r w:rsidR="000123F0">
        <w:t>ments issued for the twenty-nin</w:t>
      </w:r>
      <w:r w:rsidR="00811E3B" w:rsidRPr="004140CC">
        <w:t>th special session is contained in the annex to the present report.</w:t>
      </w:r>
    </w:p>
    <w:p w14:paraId="22373EDC" w14:textId="77777777" w:rsidR="00811E3B" w:rsidRPr="004140CC" w:rsidRDefault="00811E3B" w:rsidP="00811E3B">
      <w:pPr>
        <w:pStyle w:val="H1G"/>
      </w:pPr>
      <w:r w:rsidRPr="004140CC">
        <w:tab/>
        <w:t>F.</w:t>
      </w:r>
      <w:r w:rsidRPr="004140CC">
        <w:tab/>
        <w:t>Statements</w:t>
      </w:r>
    </w:p>
    <w:p w14:paraId="3C73531E" w14:textId="77777777" w:rsidR="00811E3B" w:rsidRPr="004140CC" w:rsidRDefault="00DD17EF" w:rsidP="00811E3B">
      <w:pPr>
        <w:pStyle w:val="SingleTxtG"/>
      </w:pPr>
      <w:r>
        <w:t>17</w:t>
      </w:r>
      <w:r w:rsidR="00811E3B" w:rsidRPr="004140CC">
        <w:t>.</w:t>
      </w:r>
      <w:r w:rsidR="00811E3B" w:rsidRPr="004140CC">
        <w:tab/>
        <w:t xml:space="preserve">At the first meeting, on </w:t>
      </w:r>
      <w:r w:rsidR="00415970">
        <w:t>12 February 2021</w:t>
      </w:r>
      <w:r w:rsidR="00811E3B" w:rsidRPr="004140CC">
        <w:t xml:space="preserve">, the United Nations </w:t>
      </w:r>
      <w:r w:rsidR="00415970">
        <w:t xml:space="preserve">Deputy </w:t>
      </w:r>
      <w:r w:rsidR="00811E3B" w:rsidRPr="004140CC">
        <w:t>High Commissioner for Human Rights made a statement.</w:t>
      </w:r>
    </w:p>
    <w:p w14:paraId="2F486D88" w14:textId="09E1445B" w:rsidR="00811E3B" w:rsidRPr="004140CC" w:rsidRDefault="00415970" w:rsidP="008B6430">
      <w:pPr>
        <w:pStyle w:val="SingleTxtG"/>
      </w:pPr>
      <w:r>
        <w:t>18</w:t>
      </w:r>
      <w:r w:rsidR="00811E3B" w:rsidRPr="004140CC">
        <w:t>.</w:t>
      </w:r>
      <w:r w:rsidR="00811E3B" w:rsidRPr="004140CC">
        <w:tab/>
        <w:t xml:space="preserve">At the same meeting, in the light of the subject of the special session, </w:t>
      </w:r>
      <w:r>
        <w:t xml:space="preserve">the </w:t>
      </w:r>
      <w:r w:rsidRPr="00415970">
        <w:t xml:space="preserve">Special Rapporteur on the </w:t>
      </w:r>
      <w:r w:rsidR="001779DE">
        <w:t>s</w:t>
      </w:r>
      <w:r w:rsidRPr="00415970">
        <w:t xml:space="preserve">ituation of </w:t>
      </w:r>
      <w:r w:rsidR="001779DE">
        <w:t>h</w:t>
      </w:r>
      <w:r w:rsidRPr="00415970">
        <w:t xml:space="preserve">uman </w:t>
      </w:r>
      <w:r w:rsidR="001779DE">
        <w:t>r</w:t>
      </w:r>
      <w:r w:rsidRPr="00415970">
        <w:t>ights in Myanmar</w:t>
      </w:r>
      <w:r w:rsidR="00811E3B" w:rsidRPr="004140CC">
        <w:t xml:space="preserve"> made a stateme</w:t>
      </w:r>
      <w:r w:rsidR="00811E3B" w:rsidRPr="006256C3">
        <w:t>nt by video message</w:t>
      </w:r>
      <w:r w:rsidR="00811E3B" w:rsidRPr="004140CC">
        <w:t xml:space="preserve"> </w:t>
      </w:r>
      <w:r w:rsidR="008B6430">
        <w:t>on behalf of the Coordination Committee of the Special Procedures of the Human Rights Council.</w:t>
      </w:r>
    </w:p>
    <w:p w14:paraId="089EC6C3" w14:textId="2CA257C0" w:rsidR="00811E3B" w:rsidRPr="004140CC" w:rsidRDefault="00415970" w:rsidP="00811E3B">
      <w:pPr>
        <w:pStyle w:val="SingleTxtG"/>
      </w:pPr>
      <w:r>
        <w:t>19</w:t>
      </w:r>
      <w:r w:rsidR="00811E3B" w:rsidRPr="004140CC">
        <w:t>.</w:t>
      </w:r>
      <w:r w:rsidR="00811E3B" w:rsidRPr="004140CC">
        <w:tab/>
        <w:t>Also at the s</w:t>
      </w:r>
      <w:r>
        <w:t>ame meeting, the representative</w:t>
      </w:r>
      <w:r w:rsidR="00811E3B" w:rsidRPr="004140CC">
        <w:t xml:space="preserve"> of </w:t>
      </w:r>
      <w:r>
        <w:t>Myanmar</w:t>
      </w:r>
      <w:r w:rsidR="00811E3B" w:rsidRPr="004140CC">
        <w:t xml:space="preserve"> made </w:t>
      </w:r>
      <w:r>
        <w:t>a statement</w:t>
      </w:r>
      <w:r w:rsidR="00811E3B" w:rsidRPr="004140CC">
        <w:t xml:space="preserve"> as the </w:t>
      </w:r>
      <w:r w:rsidR="001779DE">
        <w:t>State</w:t>
      </w:r>
      <w:r w:rsidR="001779DE" w:rsidRPr="004140CC">
        <w:t xml:space="preserve"> </w:t>
      </w:r>
      <w:r w:rsidR="00811E3B" w:rsidRPr="004140CC">
        <w:t>concerned.</w:t>
      </w:r>
    </w:p>
    <w:p w14:paraId="4E3BDDD6" w14:textId="77777777" w:rsidR="00811E3B" w:rsidRPr="004140CC" w:rsidRDefault="00623FC3" w:rsidP="00811E3B">
      <w:pPr>
        <w:pStyle w:val="SingleTxtG"/>
      </w:pPr>
      <w:r>
        <w:t>20</w:t>
      </w:r>
      <w:r w:rsidR="00811E3B" w:rsidRPr="004140CC">
        <w:t>.</w:t>
      </w:r>
      <w:r w:rsidR="00811E3B" w:rsidRPr="004140CC">
        <w:tab/>
        <w:t>At the same meeting, the following</w:t>
      </w:r>
      <w:r w:rsidR="006256C3">
        <w:t xml:space="preserve"> made statements</w:t>
      </w:r>
      <w:r w:rsidR="00811E3B" w:rsidRPr="004140CC">
        <w:t xml:space="preserve">: </w:t>
      </w:r>
    </w:p>
    <w:p w14:paraId="69BA4104" w14:textId="7582EDDD" w:rsidR="00811E3B" w:rsidRPr="004140CC" w:rsidRDefault="00811E3B" w:rsidP="00843661">
      <w:pPr>
        <w:pStyle w:val="SingleTxtG"/>
        <w:ind w:firstLine="567"/>
      </w:pPr>
      <w:r w:rsidRPr="004140CC">
        <w:tab/>
        <w:t>(a)</w:t>
      </w:r>
      <w:r w:rsidRPr="004140CC">
        <w:tab/>
      </w:r>
      <w:r w:rsidR="006256C3">
        <w:t>Representatives of States m</w:t>
      </w:r>
      <w:r w:rsidRPr="004140CC">
        <w:t>embers of the Human Rights Council:</w:t>
      </w:r>
      <w:r w:rsidR="00437B27">
        <w:t xml:space="preserve"> </w:t>
      </w:r>
      <w:r w:rsidR="00437B27" w:rsidRPr="00437B27">
        <w:t xml:space="preserve">Argentina, Austria (video </w:t>
      </w:r>
      <w:r w:rsidR="00437B27">
        <w:t>statement</w:t>
      </w:r>
      <w:r w:rsidR="00437B27" w:rsidRPr="00437B27">
        <w:t xml:space="preserve">), Bangladesh, Brazil (video </w:t>
      </w:r>
      <w:r w:rsidR="00437B27">
        <w:t>statement</w:t>
      </w:r>
      <w:r w:rsidR="00437B27" w:rsidRPr="00437B27">
        <w:t xml:space="preserve">), Bulgaria (video </w:t>
      </w:r>
      <w:r w:rsidR="00437B27">
        <w:t xml:space="preserve">statement), China, Czechia </w:t>
      </w:r>
      <w:r w:rsidR="00437B27" w:rsidRPr="00437B27">
        <w:t xml:space="preserve">(video </w:t>
      </w:r>
      <w:r w:rsidR="00437B27">
        <w:t>statement</w:t>
      </w:r>
      <w:r w:rsidR="00437B27" w:rsidRPr="00437B27">
        <w:t xml:space="preserve">), Denmark (video </w:t>
      </w:r>
      <w:r w:rsidR="00437B27">
        <w:t>statement</w:t>
      </w:r>
      <w:r w:rsidR="00437B27" w:rsidRPr="00437B27">
        <w:t xml:space="preserve">), Eritrea, France, Germany (video </w:t>
      </w:r>
      <w:r w:rsidR="00437B27">
        <w:t>statement</w:t>
      </w:r>
      <w:r w:rsidR="00437B27" w:rsidRPr="00437B27">
        <w:t xml:space="preserve">), India (video </w:t>
      </w:r>
      <w:r w:rsidR="00437B27">
        <w:t>statement</w:t>
      </w:r>
      <w:r w:rsidR="00437B27" w:rsidRPr="00437B27">
        <w:t xml:space="preserve">), Indonesia, Italy, Japan, Libya (video </w:t>
      </w:r>
      <w:r w:rsidR="00437B27">
        <w:t xml:space="preserve">statement), </w:t>
      </w:r>
      <w:r w:rsidR="00437B27" w:rsidRPr="00437B27">
        <w:t xml:space="preserve">Marshall Islands, Mexico (video </w:t>
      </w:r>
      <w:r w:rsidR="00437B27">
        <w:t>statement</w:t>
      </w:r>
      <w:r w:rsidR="00437B27" w:rsidRPr="00437B27">
        <w:t xml:space="preserve">), Namibia (video </w:t>
      </w:r>
      <w:r w:rsidR="00437B27">
        <w:t>statement</w:t>
      </w:r>
      <w:r w:rsidR="00437B27" w:rsidRPr="00437B27">
        <w:t xml:space="preserve">), Nepal, Netherlands (video </w:t>
      </w:r>
      <w:r w:rsidR="00437B27">
        <w:t>statement</w:t>
      </w:r>
      <w:r w:rsidR="00437B27" w:rsidRPr="00437B27">
        <w:t xml:space="preserve">), Pakistan, Philippines (video </w:t>
      </w:r>
      <w:r w:rsidR="00437B27">
        <w:t>statement</w:t>
      </w:r>
      <w:r w:rsidR="00437B27" w:rsidRPr="00437B27">
        <w:t xml:space="preserve">), Poland (video </w:t>
      </w:r>
      <w:r w:rsidR="00437B27">
        <w:t>statement</w:t>
      </w:r>
      <w:r w:rsidR="00437B27" w:rsidRPr="00437B27">
        <w:t xml:space="preserve">), Portugal </w:t>
      </w:r>
      <w:r w:rsidR="00437B27">
        <w:t>(</w:t>
      </w:r>
      <w:r w:rsidR="00437B27" w:rsidRPr="00437B27">
        <w:t>on behalf of the European Union</w:t>
      </w:r>
      <w:r w:rsidR="00437B27">
        <w:t>)</w:t>
      </w:r>
      <w:r w:rsidR="00437B27" w:rsidRPr="00437B27">
        <w:t xml:space="preserve"> (video </w:t>
      </w:r>
      <w:r w:rsidR="00437B27">
        <w:t>statement</w:t>
      </w:r>
      <w:r w:rsidR="00437B27" w:rsidRPr="00437B27">
        <w:t xml:space="preserve">), Republic of Korea (video </w:t>
      </w:r>
      <w:r w:rsidR="00437B27">
        <w:lastRenderedPageBreak/>
        <w:t>statement</w:t>
      </w:r>
      <w:r w:rsidR="00437B27" w:rsidRPr="00437B27">
        <w:t>), R</w:t>
      </w:r>
      <w:r w:rsidR="00437B27">
        <w:t xml:space="preserve">ussian Federation (video statement), </w:t>
      </w:r>
      <w:r w:rsidR="00437B27" w:rsidRPr="00437B27">
        <w:t>Sudan, Ukraine, United Kingdom of Great Britain and Northern Ireland (</w:t>
      </w:r>
      <w:r w:rsidR="00DC4678" w:rsidRPr="00DC4678">
        <w:t xml:space="preserve">also </w:t>
      </w:r>
      <w:r w:rsidR="00437B27" w:rsidRPr="00DC4678">
        <w:t>on behalf of</w:t>
      </w:r>
      <w:r w:rsidR="00DC4678" w:rsidRPr="00DC4678">
        <w:t xml:space="preserve"> Iceland</w:t>
      </w:r>
      <w:r w:rsidR="00437B27" w:rsidRPr="00437B27">
        <w:t xml:space="preserve">), United Kingdom of Great Britain and Northern Ireland (video </w:t>
      </w:r>
      <w:r w:rsidR="00437B27">
        <w:t>statement</w:t>
      </w:r>
      <w:r w:rsidR="00437B27" w:rsidRPr="00437B27">
        <w:t xml:space="preserve">), Venezuela (Bolivarian Republic of) (video </w:t>
      </w:r>
      <w:r w:rsidR="00437B27">
        <w:t>statement)</w:t>
      </w:r>
      <w:r w:rsidRPr="004140CC">
        <w:t>;</w:t>
      </w:r>
    </w:p>
    <w:p w14:paraId="295D3456" w14:textId="6B0D2143" w:rsidR="00811E3B" w:rsidRDefault="000249D4" w:rsidP="00843661">
      <w:pPr>
        <w:pStyle w:val="SingleTxtG"/>
        <w:ind w:firstLine="567"/>
      </w:pPr>
      <w:r w:rsidRPr="004140CC">
        <w:tab/>
      </w:r>
      <w:r w:rsidR="00811E3B" w:rsidRPr="004140CC">
        <w:t>(b)</w:t>
      </w:r>
      <w:r w:rsidR="00811E3B" w:rsidRPr="004140CC">
        <w:rPr>
          <w:rFonts w:eastAsia="Times New Roman"/>
        </w:rPr>
        <w:tab/>
      </w:r>
      <w:r w:rsidR="006256C3">
        <w:t xml:space="preserve">Representatives of observer States: </w:t>
      </w:r>
      <w:r w:rsidR="00DC4678" w:rsidRPr="00DC4678">
        <w:t xml:space="preserve">Australia, Belarus (video </w:t>
      </w:r>
      <w:r w:rsidR="00DC4678">
        <w:t>statement</w:t>
      </w:r>
      <w:r w:rsidR="00DC4678" w:rsidRPr="00DC4678">
        <w:t xml:space="preserve">), Belgium (video </w:t>
      </w:r>
      <w:r w:rsidR="00DC4678">
        <w:t>statement</w:t>
      </w:r>
      <w:r w:rsidR="00DC4678" w:rsidRPr="00DC4678">
        <w:t xml:space="preserve">), Botswana (video </w:t>
      </w:r>
      <w:r w:rsidR="00DC4678">
        <w:t>statement</w:t>
      </w:r>
      <w:r w:rsidR="00DC4678" w:rsidRPr="00DC4678">
        <w:t xml:space="preserve">), Brunei Darussalam, Canada, Croatia (video </w:t>
      </w:r>
      <w:r w:rsidR="00DC4678">
        <w:t>statement), Ecuador, Estonia (video statement), Finland (video statement</w:t>
      </w:r>
      <w:r w:rsidR="00DC4678" w:rsidRPr="00DC4678">
        <w:t xml:space="preserve">), Greece (video </w:t>
      </w:r>
      <w:r w:rsidR="00DC4678">
        <w:t>statement</w:t>
      </w:r>
      <w:r w:rsidR="00DC4678" w:rsidRPr="00DC4678">
        <w:t xml:space="preserve">), Iceland (video </w:t>
      </w:r>
      <w:r w:rsidR="00621E95">
        <w:t>statement</w:t>
      </w:r>
      <w:r w:rsidR="00DC4678" w:rsidRPr="00DC4678">
        <w:t xml:space="preserve">), Ireland (video </w:t>
      </w:r>
      <w:r w:rsidR="00621E95">
        <w:t>statement</w:t>
      </w:r>
      <w:r w:rsidR="00DC4678" w:rsidRPr="00DC4678">
        <w:t xml:space="preserve">), Israel (video </w:t>
      </w:r>
      <w:r w:rsidR="00621E95">
        <w:t>statement</w:t>
      </w:r>
      <w:r w:rsidR="00DC4678" w:rsidRPr="00DC4678">
        <w:t>), Jordan, Lao People</w:t>
      </w:r>
      <w:r w:rsidR="001779DE">
        <w:t>’</w:t>
      </w:r>
      <w:r w:rsidR="00DC4678" w:rsidRPr="00DC4678">
        <w:t xml:space="preserve">s Democratic Republic, Liechtenstein, Lithuania (video </w:t>
      </w:r>
      <w:r w:rsidR="00621E95">
        <w:t>statement</w:t>
      </w:r>
      <w:r w:rsidR="00DC4678" w:rsidRPr="00DC4678">
        <w:t xml:space="preserve">), Luxembourg (video </w:t>
      </w:r>
      <w:r w:rsidR="00621E95">
        <w:t>statement</w:t>
      </w:r>
      <w:r w:rsidR="00DC4678" w:rsidRPr="00DC4678">
        <w:t xml:space="preserve">), Malaysia (video </w:t>
      </w:r>
      <w:r w:rsidR="00621E95">
        <w:t>statement</w:t>
      </w:r>
      <w:r w:rsidR="00DC4678" w:rsidRPr="00DC4678">
        <w:t xml:space="preserve">), Maldives, Malta (video </w:t>
      </w:r>
      <w:r w:rsidR="00621E95">
        <w:t>statement</w:t>
      </w:r>
      <w:r w:rsidR="00DC4678" w:rsidRPr="00DC4678">
        <w:t xml:space="preserve">), New Zealand, Norway (video </w:t>
      </w:r>
      <w:r w:rsidR="00621E95">
        <w:t>statement</w:t>
      </w:r>
      <w:r w:rsidR="00DC4678" w:rsidRPr="00DC4678">
        <w:t xml:space="preserve">), Qatar, Romania (video </w:t>
      </w:r>
      <w:r w:rsidR="00621E95">
        <w:t>statement</w:t>
      </w:r>
      <w:r w:rsidR="00DC4678" w:rsidRPr="00DC4678">
        <w:t xml:space="preserve">), Sierra Leone, Singapore, Slovakia (video </w:t>
      </w:r>
      <w:r w:rsidR="00621E95">
        <w:t>statement</w:t>
      </w:r>
      <w:r w:rsidR="00DC4678" w:rsidRPr="00DC4678">
        <w:t xml:space="preserve">), Slovenia (video </w:t>
      </w:r>
      <w:r w:rsidR="00621E95">
        <w:t>statement</w:t>
      </w:r>
      <w:r w:rsidR="00DC4678" w:rsidRPr="00DC4678">
        <w:t xml:space="preserve">), South Africa, Spain, Sweden (video </w:t>
      </w:r>
      <w:r w:rsidR="00621E95">
        <w:t>statement</w:t>
      </w:r>
      <w:r w:rsidR="00DC4678" w:rsidRPr="00DC4678">
        <w:t xml:space="preserve">), Switzerland, Tunisia (video </w:t>
      </w:r>
      <w:r w:rsidR="00621E95">
        <w:t>statement</w:t>
      </w:r>
      <w:r w:rsidR="00DC4678" w:rsidRPr="00DC4678">
        <w:t>), Turkey, United States of Am</w:t>
      </w:r>
      <w:r w:rsidR="00DC4678">
        <w:t xml:space="preserve">erica (video </w:t>
      </w:r>
      <w:r w:rsidR="00621E95">
        <w:t>statement</w:t>
      </w:r>
      <w:r w:rsidR="00DC4678">
        <w:t>), Viet Nam</w:t>
      </w:r>
      <w:r w:rsidR="00DC4678">
        <w:rPr>
          <w:rFonts w:eastAsia="Times New Roman"/>
        </w:rPr>
        <w:t>,</w:t>
      </w:r>
      <w:r w:rsidR="00DC4678" w:rsidRPr="00DC4678">
        <w:t xml:space="preserve"> Holy See (video </w:t>
      </w:r>
      <w:r w:rsidR="00DC4678">
        <w:t>statement</w:t>
      </w:r>
      <w:r w:rsidR="00DC7FFB">
        <w:t>);</w:t>
      </w:r>
    </w:p>
    <w:p w14:paraId="77AD80B6" w14:textId="4EDC4EBD" w:rsidR="00DC7FFB" w:rsidRPr="00DC4678" w:rsidRDefault="00843661" w:rsidP="00DC7FFB">
      <w:pPr>
        <w:pStyle w:val="SingleTxtG"/>
        <w:ind w:firstLine="567"/>
      </w:pPr>
      <w:r>
        <w:rPr>
          <w:color w:val="000000"/>
        </w:rPr>
        <w:t>(c)</w:t>
      </w:r>
      <w:r>
        <w:rPr>
          <w:color w:val="000000"/>
        </w:rPr>
        <w:tab/>
      </w:r>
      <w:r w:rsidR="00DC7FFB" w:rsidRPr="008B24E5">
        <w:rPr>
          <w:color w:val="000000"/>
        </w:rPr>
        <w:t>Observer for United Nations entities, specialized agencies and related organizations</w:t>
      </w:r>
      <w:r w:rsidR="00DC7FFB" w:rsidRPr="00DC7FFB">
        <w:rPr>
          <w:color w:val="000000"/>
        </w:rPr>
        <w:t>: United Nations Children’s Fund.</w:t>
      </w:r>
    </w:p>
    <w:p w14:paraId="562FAC2B" w14:textId="77777777" w:rsidR="00811E3B" w:rsidRPr="00DC7FFB" w:rsidRDefault="00623FC3" w:rsidP="00DC7FFB">
      <w:pPr>
        <w:pStyle w:val="SingleTxtG"/>
      </w:pPr>
      <w:r>
        <w:t>21</w:t>
      </w:r>
      <w:r w:rsidR="00811E3B" w:rsidRPr="004140CC">
        <w:t>.</w:t>
      </w:r>
      <w:r w:rsidR="00811E3B" w:rsidRPr="004140CC">
        <w:tab/>
        <w:t xml:space="preserve">At the 2nd meeting, on the same day, </w:t>
      </w:r>
      <w:r w:rsidR="00DC7FFB" w:rsidRPr="004140CC">
        <w:t>the following</w:t>
      </w:r>
      <w:r w:rsidR="00DC7FFB">
        <w:t xml:space="preserve"> made statements:</w:t>
      </w:r>
    </w:p>
    <w:p w14:paraId="7DECD6BE" w14:textId="77777777" w:rsidR="00811E3B" w:rsidRPr="004140CC" w:rsidRDefault="000249D4" w:rsidP="00843661">
      <w:pPr>
        <w:pStyle w:val="SingleTxtG"/>
        <w:ind w:firstLine="567"/>
      </w:pPr>
      <w:r w:rsidRPr="004140CC">
        <w:tab/>
      </w:r>
      <w:r w:rsidR="00811E3B" w:rsidRPr="004140CC">
        <w:t>(</w:t>
      </w:r>
      <w:r w:rsidR="00DC7FFB">
        <w:t>a</w:t>
      </w:r>
      <w:r w:rsidR="00811E3B" w:rsidRPr="004140CC">
        <w:t>)</w:t>
      </w:r>
      <w:r w:rsidR="00811E3B" w:rsidRPr="004140CC">
        <w:tab/>
        <w:t>Observers for non-governmental organizations:</w:t>
      </w:r>
      <w:r w:rsidR="006756DE">
        <w:t xml:space="preserve"> </w:t>
      </w:r>
      <w:r w:rsidR="006756DE" w:rsidRPr="006756DE">
        <w:t>Alliance Defending Freedom</w:t>
      </w:r>
      <w:r w:rsidR="00AC5C53">
        <w:t xml:space="preserve"> (video statement)</w:t>
      </w:r>
      <w:r w:rsidR="006756DE" w:rsidRPr="006756DE">
        <w:t>, Amnesty International</w:t>
      </w:r>
      <w:r w:rsidR="00AC5C53">
        <w:t xml:space="preserve"> (video statement)</w:t>
      </w:r>
      <w:r w:rsidR="006756DE" w:rsidRPr="006756DE">
        <w:t>, Article 19: International Centre against Censorship</w:t>
      </w:r>
      <w:r w:rsidR="00AC5C53">
        <w:t xml:space="preserve"> (video statement)</w:t>
      </w:r>
      <w:r w:rsidR="006756DE" w:rsidRPr="006756DE">
        <w:t>, Asian Forum for Human Rights and Develo</w:t>
      </w:r>
      <w:r w:rsidR="006756DE">
        <w:t>pment</w:t>
      </w:r>
      <w:r w:rsidR="00AC5C53">
        <w:t xml:space="preserve"> (video statement)</w:t>
      </w:r>
      <w:r w:rsidR="006756DE">
        <w:t>, Caritas Internationalis</w:t>
      </w:r>
      <w:r w:rsidR="00AC5C53">
        <w:t xml:space="preserve"> (video statement)</w:t>
      </w:r>
      <w:r w:rsidR="006756DE" w:rsidRPr="006756DE">
        <w:t>, Christian Solidarity Wo</w:t>
      </w:r>
      <w:r w:rsidR="006756DE">
        <w:t>rldwide</w:t>
      </w:r>
      <w:r w:rsidR="00AC5C53">
        <w:t xml:space="preserve"> (video statement)</w:t>
      </w:r>
      <w:r w:rsidR="006756DE">
        <w:t>, CIVICUS:</w:t>
      </w:r>
      <w:r w:rsidR="006756DE" w:rsidRPr="006756DE">
        <w:t xml:space="preserve"> World Alliance for Citizen Participation</w:t>
      </w:r>
      <w:r w:rsidR="00AC5C53">
        <w:t xml:space="preserve"> (video statement)</w:t>
      </w:r>
      <w:r w:rsidR="006756DE" w:rsidRPr="006756DE">
        <w:t>, Human Rights Watch</w:t>
      </w:r>
      <w:r w:rsidR="00AC5C53">
        <w:t xml:space="preserve"> (video statement)</w:t>
      </w:r>
      <w:r w:rsidR="006756DE" w:rsidRPr="006756DE">
        <w:t>, International Commission of Jurists</w:t>
      </w:r>
      <w:r w:rsidR="00AC5C53">
        <w:t xml:space="preserve"> (video statement)</w:t>
      </w:r>
      <w:r w:rsidR="006756DE" w:rsidRPr="006756DE">
        <w:t>, International Federation for Human Rights Leagues</w:t>
      </w:r>
      <w:r w:rsidR="00AC5C53">
        <w:t xml:space="preserve"> (video statement)</w:t>
      </w:r>
      <w:r w:rsidR="006756DE" w:rsidRPr="006756DE">
        <w:t>, Maat Foundation for Peace, Development and Human Rights</w:t>
      </w:r>
      <w:r w:rsidR="00AC5C53">
        <w:t xml:space="preserve"> (video statement)</w:t>
      </w:r>
      <w:r w:rsidR="00811E3B" w:rsidRPr="004140CC">
        <w:t>.</w:t>
      </w:r>
    </w:p>
    <w:p w14:paraId="01F73129" w14:textId="77777777" w:rsidR="00811E3B" w:rsidRPr="004140CC" w:rsidRDefault="00811E3B" w:rsidP="00811E3B">
      <w:pPr>
        <w:pStyle w:val="H1G"/>
      </w:pPr>
      <w:r w:rsidRPr="004140CC">
        <w:tab/>
        <w:t>G.</w:t>
      </w:r>
      <w:r w:rsidRPr="004140CC">
        <w:tab/>
        <w:t>Action on the draft proposal</w:t>
      </w:r>
    </w:p>
    <w:p w14:paraId="0325A85F" w14:textId="382A3964" w:rsidR="00CB7D6B" w:rsidRDefault="00623FC3" w:rsidP="006C25CF">
      <w:pPr>
        <w:pStyle w:val="SingleTxtG"/>
      </w:pPr>
      <w:r>
        <w:t>22</w:t>
      </w:r>
      <w:r w:rsidR="00811E3B" w:rsidRPr="004140CC">
        <w:t>.</w:t>
      </w:r>
      <w:r w:rsidR="00811E3B" w:rsidRPr="004140CC">
        <w:tab/>
        <w:t xml:space="preserve">At the 2nd meeting, on </w:t>
      </w:r>
      <w:r w:rsidR="00B5348F">
        <w:t>12 February 2021</w:t>
      </w:r>
      <w:r w:rsidR="00811E3B" w:rsidRPr="004140CC">
        <w:t>, the representative</w:t>
      </w:r>
      <w:r w:rsidR="00CB7D6B">
        <w:t>s</w:t>
      </w:r>
      <w:r w:rsidR="00811E3B" w:rsidRPr="004140CC">
        <w:t xml:space="preserve"> of </w:t>
      </w:r>
      <w:r w:rsidR="00214A26">
        <w:t xml:space="preserve">Austria (on behalf of the European Union) and </w:t>
      </w:r>
      <w:r w:rsidR="00CB7D6B">
        <w:t xml:space="preserve">the United Kingdom of Great Britain and Northern Ireland and </w:t>
      </w:r>
      <w:r w:rsidR="00811E3B" w:rsidRPr="004140CC">
        <w:t>introduced draft resolution A/HRC/S-2</w:t>
      </w:r>
      <w:r w:rsidR="00CB7D6B">
        <w:t>9</w:t>
      </w:r>
      <w:r w:rsidR="00811E3B" w:rsidRPr="004140CC">
        <w:t xml:space="preserve">/L.1, sponsored by </w:t>
      </w:r>
      <w:r w:rsidR="008641CD">
        <w:t>Portugal</w:t>
      </w:r>
      <w:r w:rsidR="00214A26">
        <w:t>,</w:t>
      </w:r>
      <w:r w:rsidR="008641CD">
        <w:t xml:space="preserve"> on behalf of the European Union, and </w:t>
      </w:r>
      <w:r w:rsidR="00214A26">
        <w:t xml:space="preserve">by </w:t>
      </w:r>
      <w:r w:rsidR="008641CD">
        <w:t xml:space="preserve">the United Kingdom of Great Britain and Northern Ireland, </w:t>
      </w:r>
      <w:r w:rsidR="008641CD" w:rsidRPr="004140CC">
        <w:t>and co-sponsored by</w:t>
      </w:r>
      <w:r w:rsidR="008641CD">
        <w:t xml:space="preserve"> Australia, </w:t>
      </w:r>
      <w:r w:rsidR="006C25CF">
        <w:t>Canada,</w:t>
      </w:r>
      <w:r w:rsidR="008641CD">
        <w:t xml:space="preserve"> </w:t>
      </w:r>
      <w:r w:rsidR="006C25CF">
        <w:t>Iceland, Liechtenstein,</w:t>
      </w:r>
      <w:r w:rsidR="008641CD">
        <w:t xml:space="preserve"> </w:t>
      </w:r>
      <w:r w:rsidR="006C25CF">
        <w:t>Monaco,</w:t>
      </w:r>
      <w:r w:rsidR="008641CD">
        <w:t xml:space="preserve"> </w:t>
      </w:r>
      <w:r w:rsidR="006C25CF">
        <w:t>New Zealand,</w:t>
      </w:r>
      <w:r w:rsidR="008641CD">
        <w:t xml:space="preserve"> </w:t>
      </w:r>
      <w:r w:rsidR="006C25CF">
        <w:t xml:space="preserve">Norway, the </w:t>
      </w:r>
      <w:r w:rsidR="008641CD">
        <w:t xml:space="preserve">Republic of Korea, </w:t>
      </w:r>
      <w:r w:rsidR="006C25CF">
        <w:t>Switzerland and</w:t>
      </w:r>
      <w:r w:rsidR="008641CD">
        <w:t xml:space="preserve"> Turkey</w:t>
      </w:r>
      <w:r w:rsidR="006C25CF">
        <w:t>. Subsequently, Albania, Bosnia and Herzegovina, Costa Rica, the Dominican Republic, Ecuador, Georgia,</w:t>
      </w:r>
      <w:r w:rsidR="008641CD">
        <w:t xml:space="preserve"> Japan, Libya, Malawi</w:t>
      </w:r>
      <w:r w:rsidR="006C25CF">
        <w:t>, the Marshall Islands, Montenegro, North Macedonia,</w:t>
      </w:r>
      <w:r w:rsidR="008641CD">
        <w:t xml:space="preserve"> Somalia, Ukraine and </w:t>
      </w:r>
      <w:r w:rsidR="006C25CF">
        <w:t xml:space="preserve">the United States of America </w:t>
      </w:r>
      <w:r w:rsidR="006C25CF" w:rsidRPr="006C25CF">
        <w:t>joined the sponsors.</w:t>
      </w:r>
    </w:p>
    <w:p w14:paraId="56B8FA03" w14:textId="77777777" w:rsidR="00CB7D6B" w:rsidRDefault="00623FC3" w:rsidP="00CB7D6B">
      <w:pPr>
        <w:pStyle w:val="SingleTxtG"/>
      </w:pPr>
      <w:r>
        <w:t>23</w:t>
      </w:r>
      <w:r w:rsidRPr="00623FC3">
        <w:t>.</w:t>
      </w:r>
      <w:r w:rsidRPr="00623FC3">
        <w:tab/>
        <w:t xml:space="preserve">At the same meeting, the representative of </w:t>
      </w:r>
      <w:r>
        <w:t>the United Kingdom of Great Britain and Northern Ireland</w:t>
      </w:r>
      <w:r w:rsidRPr="00623FC3">
        <w:t xml:space="preserve"> orally revised the draft resolution.</w:t>
      </w:r>
    </w:p>
    <w:p w14:paraId="115C2A17" w14:textId="5EBA6A20" w:rsidR="00811E3B" w:rsidRPr="004140CC" w:rsidRDefault="00811E3B" w:rsidP="00811E3B">
      <w:pPr>
        <w:pStyle w:val="SingleTxtG"/>
      </w:pPr>
      <w:r w:rsidRPr="004140CC">
        <w:t>2</w:t>
      </w:r>
      <w:r w:rsidR="00623FC3">
        <w:t>4</w:t>
      </w:r>
      <w:r w:rsidRPr="004140CC">
        <w:t>.</w:t>
      </w:r>
      <w:r w:rsidRPr="004140CC">
        <w:tab/>
        <w:t xml:space="preserve">Also </w:t>
      </w:r>
      <w:r w:rsidR="00214A26">
        <w:t xml:space="preserve">at </w:t>
      </w:r>
      <w:r w:rsidRPr="004140CC">
        <w:t xml:space="preserve">the same meeting, </w:t>
      </w:r>
      <w:r w:rsidR="00623FC3">
        <w:rPr>
          <w:rFonts w:eastAsia="Times New Roman"/>
        </w:rPr>
        <w:t>the representative</w:t>
      </w:r>
      <w:r w:rsidRPr="004140CC">
        <w:rPr>
          <w:rFonts w:eastAsia="Times New Roman"/>
        </w:rPr>
        <w:t xml:space="preserve"> of </w:t>
      </w:r>
      <w:r w:rsidR="00623FC3">
        <w:rPr>
          <w:rFonts w:eastAsia="Times New Roman"/>
        </w:rPr>
        <w:t>Myanmar</w:t>
      </w:r>
      <w:r w:rsidRPr="004140CC">
        <w:rPr>
          <w:rFonts w:eastAsia="Times New Roman"/>
        </w:rPr>
        <w:t xml:space="preserve"> made</w:t>
      </w:r>
      <w:r w:rsidR="00623FC3">
        <w:rPr>
          <w:rFonts w:eastAsia="Times New Roman"/>
        </w:rPr>
        <w:t xml:space="preserve"> a statement as the </w:t>
      </w:r>
      <w:r w:rsidR="00214A26">
        <w:rPr>
          <w:rFonts w:eastAsia="Times New Roman"/>
        </w:rPr>
        <w:t>State</w:t>
      </w:r>
      <w:r w:rsidR="00214A26" w:rsidRPr="004140CC">
        <w:rPr>
          <w:rFonts w:eastAsia="Times New Roman"/>
        </w:rPr>
        <w:t xml:space="preserve"> </w:t>
      </w:r>
      <w:r w:rsidRPr="004140CC">
        <w:rPr>
          <w:rFonts w:eastAsia="Times New Roman"/>
        </w:rPr>
        <w:t>concerned.</w:t>
      </w:r>
    </w:p>
    <w:p w14:paraId="17C780DC" w14:textId="77777777" w:rsidR="00811E3B" w:rsidRPr="004140CC" w:rsidRDefault="00811E3B" w:rsidP="00811E3B">
      <w:pPr>
        <w:pStyle w:val="SingleTxtG"/>
      </w:pPr>
      <w:r w:rsidRPr="004140CC">
        <w:t>2</w:t>
      </w:r>
      <w:r w:rsidR="00F11C80">
        <w:t>5</w:t>
      </w:r>
      <w:r w:rsidRPr="004140CC">
        <w:t>.</w:t>
      </w:r>
      <w:r w:rsidRPr="004140CC">
        <w:tab/>
        <w:t xml:space="preserve">At the same meeting, in accordance with rule 153 of the rules of procedure of the General Assembly, the attention of the Human Rights Council was drawn to the estimated administrative and programme budget implications of the draft resolution. The Chief of </w:t>
      </w:r>
      <w:r w:rsidR="00F11C80">
        <w:t xml:space="preserve">the </w:t>
      </w:r>
      <w:r w:rsidR="00F11C80" w:rsidRPr="00F11C80">
        <w:t>Finance and Budget Section</w:t>
      </w:r>
      <w:r w:rsidR="00F11C80">
        <w:t xml:space="preserve"> of</w:t>
      </w:r>
      <w:r w:rsidR="00F11C80" w:rsidRPr="00F11C80">
        <w:t xml:space="preserve"> </w:t>
      </w:r>
      <w:r w:rsidRPr="004140CC">
        <w:t>Programme Support and Management Services of the Office of the United Nations High Commissioner for Human Rights made a statement on the budgetary implications of the draft resolution as orally revised.</w:t>
      </w:r>
    </w:p>
    <w:p w14:paraId="5BA73CDB" w14:textId="69CE128E" w:rsidR="00857FE3" w:rsidRDefault="00857FE3" w:rsidP="00857FE3">
      <w:pPr>
        <w:pStyle w:val="SingleTxtG"/>
      </w:pPr>
      <w:r>
        <w:t>26.</w:t>
      </w:r>
      <w:r>
        <w:tab/>
        <w:t>A</w:t>
      </w:r>
      <w:r w:rsidR="00214A26">
        <w:t>lso a</w:t>
      </w:r>
      <w:r w:rsidRPr="00F41407">
        <w:t xml:space="preserve">t the same meeting, the Human Rights Council adopted the draft resolution </w:t>
      </w:r>
      <w:r>
        <w:t xml:space="preserve">as orally revised </w:t>
      </w:r>
      <w:r w:rsidRPr="00F41407">
        <w:t xml:space="preserve">without a vote </w:t>
      </w:r>
      <w:r w:rsidRPr="004140CC">
        <w:t>(for the text of resolution S-2</w:t>
      </w:r>
      <w:r>
        <w:t>9</w:t>
      </w:r>
      <w:r w:rsidRPr="004140CC">
        <w:t>/1, see chapter I).</w:t>
      </w:r>
    </w:p>
    <w:p w14:paraId="39D67B98" w14:textId="5804EEDF" w:rsidR="00811E3B" w:rsidRPr="004140CC" w:rsidRDefault="00811E3B" w:rsidP="00811E3B">
      <w:pPr>
        <w:pStyle w:val="SingleTxtG"/>
      </w:pPr>
      <w:r w:rsidRPr="004140CC">
        <w:t>2</w:t>
      </w:r>
      <w:r w:rsidR="0054060E">
        <w:t>7</w:t>
      </w:r>
      <w:r w:rsidRPr="004140CC">
        <w:t>.</w:t>
      </w:r>
      <w:r w:rsidRPr="004140CC">
        <w:tab/>
        <w:t>At the same meeting, the representative</w:t>
      </w:r>
      <w:r w:rsidR="00011183">
        <w:t>s</w:t>
      </w:r>
      <w:r w:rsidRPr="004140CC">
        <w:t xml:space="preserve"> of</w:t>
      </w:r>
      <w:r w:rsidR="00011183">
        <w:t xml:space="preserve"> </w:t>
      </w:r>
      <w:r w:rsidR="00011183" w:rsidRPr="001676C8">
        <w:t>Bolivia (Plurinational State of)</w:t>
      </w:r>
      <w:r w:rsidR="00011183">
        <w:t>,</w:t>
      </w:r>
      <w:r w:rsidRPr="004140CC">
        <w:t xml:space="preserve"> </w:t>
      </w:r>
      <w:r w:rsidR="0054060E">
        <w:t>China</w:t>
      </w:r>
      <w:r w:rsidR="00011183">
        <w:t xml:space="preserve">, </w:t>
      </w:r>
      <w:r w:rsidR="00011183" w:rsidRPr="001676C8">
        <w:t>the Philippines</w:t>
      </w:r>
      <w:r w:rsidR="00011183">
        <w:t xml:space="preserve">, the Russian Federation and Venezuela (Bolivarian Republic of) made </w:t>
      </w:r>
      <w:r w:rsidRPr="004140CC">
        <w:t>statement</w:t>
      </w:r>
      <w:r w:rsidR="00011183">
        <w:t>s</w:t>
      </w:r>
      <w:r w:rsidRPr="004140CC">
        <w:t xml:space="preserve"> in explanation of vote after the vote</w:t>
      </w:r>
      <w:r w:rsidR="005271DB">
        <w:t xml:space="preserve"> to </w:t>
      </w:r>
      <w:r w:rsidR="00011183" w:rsidRPr="00011183">
        <w:t>disassociate the</w:t>
      </w:r>
      <w:r w:rsidR="00C32731">
        <w:t>ir</w:t>
      </w:r>
      <w:r w:rsidR="00011183" w:rsidRPr="00011183">
        <w:t xml:space="preserve"> State</w:t>
      </w:r>
      <w:r w:rsidR="00011183">
        <w:t>s</w:t>
      </w:r>
      <w:r w:rsidR="00011183" w:rsidRPr="00011183">
        <w:t xml:space="preserve"> from the consensus on the </w:t>
      </w:r>
      <w:r w:rsidR="00011183">
        <w:t>adopted</w:t>
      </w:r>
      <w:r w:rsidR="00011183" w:rsidRPr="00011183">
        <w:t xml:space="preserve"> resolution.</w:t>
      </w:r>
    </w:p>
    <w:p w14:paraId="74504E7B" w14:textId="77777777" w:rsidR="00811E3B" w:rsidRPr="004140CC" w:rsidRDefault="00811E3B" w:rsidP="00811E3B">
      <w:pPr>
        <w:pStyle w:val="HChG"/>
      </w:pPr>
      <w:r w:rsidRPr="004140CC">
        <w:tab/>
        <w:t>III.</w:t>
      </w:r>
      <w:r w:rsidRPr="004140CC">
        <w:tab/>
        <w:t>Report of the Human Rights Council on its twenty-</w:t>
      </w:r>
      <w:r w:rsidR="00113D67">
        <w:t>nin</w:t>
      </w:r>
      <w:r w:rsidRPr="004140CC">
        <w:t>th special session</w:t>
      </w:r>
    </w:p>
    <w:p w14:paraId="47DFC3D6" w14:textId="77777777" w:rsidR="00811E3B" w:rsidRPr="004140CC" w:rsidRDefault="00811E3B" w:rsidP="00811E3B">
      <w:pPr>
        <w:pStyle w:val="SingleTxtG"/>
      </w:pPr>
      <w:r w:rsidRPr="004140CC">
        <w:t>2</w:t>
      </w:r>
      <w:r w:rsidR="00011183">
        <w:t>8</w:t>
      </w:r>
      <w:r w:rsidRPr="004140CC">
        <w:t>.</w:t>
      </w:r>
      <w:r w:rsidRPr="004140CC">
        <w:tab/>
        <w:t xml:space="preserve">At its 2nd meeting, on </w:t>
      </w:r>
      <w:r w:rsidR="00113D67">
        <w:t>12 February 2021</w:t>
      </w:r>
      <w:r w:rsidRPr="004140CC">
        <w:t>, the Human Rights Council adopted the report on its twenty-</w:t>
      </w:r>
      <w:r w:rsidR="00113D67">
        <w:t>nin</w:t>
      </w:r>
      <w:r w:rsidRPr="004140CC">
        <w:t>th special session ad referendum and entrusted the Rapporteur with its finalization.</w:t>
      </w:r>
    </w:p>
    <w:p w14:paraId="6E68CC05" w14:textId="77777777" w:rsidR="00811E3B" w:rsidRPr="004140CC" w:rsidRDefault="00811E3B" w:rsidP="00811E3B">
      <w:pPr>
        <w:pStyle w:val="HChG"/>
      </w:pPr>
      <w:r w:rsidRPr="004140CC">
        <w:rPr>
          <w:highlight w:val="yellow"/>
        </w:rPr>
        <w:br w:type="page"/>
      </w:r>
      <w:r w:rsidRPr="004140CC">
        <w:t>Annex</w:t>
      </w:r>
    </w:p>
    <w:p w14:paraId="4567CF81" w14:textId="77777777" w:rsidR="00811E3B" w:rsidRPr="004140CC" w:rsidRDefault="00811E3B" w:rsidP="00811E3B">
      <w:pPr>
        <w:pStyle w:val="HChG"/>
      </w:pPr>
      <w:r w:rsidRPr="004140CC">
        <w:tab/>
      </w:r>
      <w:r w:rsidRPr="004140CC">
        <w:tab/>
        <w:t>Documents issued for the twenty-</w:t>
      </w:r>
      <w:r w:rsidR="0067432E">
        <w:t>nin</w:t>
      </w:r>
      <w:r w:rsidRPr="004140CC">
        <w:t>th special session of the Human Rights Council</w:t>
      </w:r>
    </w:p>
    <w:tbl>
      <w:tblPr>
        <w:tblW w:w="7371" w:type="dxa"/>
        <w:tblInd w:w="1134" w:type="dxa"/>
        <w:tblLayout w:type="fixed"/>
        <w:tblCellMar>
          <w:left w:w="0" w:type="dxa"/>
          <w:right w:w="0" w:type="dxa"/>
        </w:tblCellMar>
        <w:tblLook w:val="01E0" w:firstRow="1" w:lastRow="1" w:firstColumn="1" w:lastColumn="1" w:noHBand="0" w:noVBand="0"/>
      </w:tblPr>
      <w:tblGrid>
        <w:gridCol w:w="1966"/>
        <w:gridCol w:w="5405"/>
      </w:tblGrid>
      <w:tr w:rsidR="00811E3B" w:rsidRPr="004140CC" w14:paraId="529BEA0F" w14:textId="77777777" w:rsidTr="00D83A6A">
        <w:tc>
          <w:tcPr>
            <w:tcW w:w="7371" w:type="dxa"/>
            <w:gridSpan w:val="2"/>
            <w:shd w:val="clear" w:color="auto" w:fill="auto"/>
          </w:tcPr>
          <w:p w14:paraId="3A907316" w14:textId="77777777" w:rsidR="00811E3B" w:rsidRPr="004140CC" w:rsidRDefault="00811E3B" w:rsidP="00D83A6A">
            <w:pPr>
              <w:pStyle w:val="SingleTxtG"/>
              <w:spacing w:before="240"/>
              <w:ind w:left="0"/>
              <w:jc w:val="left"/>
              <w:rPr>
                <w:rFonts w:eastAsia="Times New Roman"/>
              </w:rPr>
            </w:pPr>
            <w:r w:rsidRPr="004140CC">
              <w:rPr>
                <w:rFonts w:eastAsia="Times New Roman"/>
                <w:i/>
              </w:rPr>
              <w:t>In the general series</w:t>
            </w:r>
          </w:p>
        </w:tc>
      </w:tr>
      <w:tr w:rsidR="00811E3B" w:rsidRPr="004140CC" w14:paraId="79C6AC41" w14:textId="77777777" w:rsidTr="00D83A6A">
        <w:tc>
          <w:tcPr>
            <w:tcW w:w="1966" w:type="dxa"/>
            <w:shd w:val="clear" w:color="auto" w:fill="auto"/>
          </w:tcPr>
          <w:p w14:paraId="426F1DD6" w14:textId="77777777" w:rsidR="00811E3B" w:rsidRPr="004140CC" w:rsidRDefault="0067432E" w:rsidP="00D83A6A">
            <w:pPr>
              <w:pStyle w:val="SingleTxtG"/>
              <w:ind w:left="0" w:right="0"/>
              <w:rPr>
                <w:rFonts w:eastAsia="Times New Roman"/>
              </w:rPr>
            </w:pPr>
            <w:r>
              <w:rPr>
                <w:rFonts w:eastAsia="Times New Roman"/>
              </w:rPr>
              <w:t>A/HRC/S-29</w:t>
            </w:r>
            <w:r w:rsidR="00811E3B" w:rsidRPr="004140CC">
              <w:rPr>
                <w:rFonts w:eastAsia="Times New Roman"/>
              </w:rPr>
              <w:t>/1</w:t>
            </w:r>
          </w:p>
        </w:tc>
        <w:tc>
          <w:tcPr>
            <w:tcW w:w="5405" w:type="dxa"/>
            <w:shd w:val="clear" w:color="auto" w:fill="auto"/>
          </w:tcPr>
          <w:p w14:paraId="3BD87328" w14:textId="77777777" w:rsidR="00811E3B" w:rsidRPr="004140CC" w:rsidRDefault="0067432E" w:rsidP="0023526F">
            <w:pPr>
              <w:pStyle w:val="SingleTxtG"/>
              <w:ind w:left="0" w:right="0"/>
              <w:rPr>
                <w:rFonts w:eastAsia="Times New Roman"/>
              </w:rPr>
            </w:pPr>
            <w:r>
              <w:t>Letter dated 8 February 2021 from the Permanent Representative of the United Kingdom of Great Britain and Northern Ireland to the United Nations Office at Geneva addressed to the President of the Human Rights Council</w:t>
            </w:r>
          </w:p>
        </w:tc>
      </w:tr>
      <w:tr w:rsidR="00811E3B" w:rsidRPr="004140CC" w14:paraId="6A293312" w14:textId="77777777" w:rsidTr="00D83A6A">
        <w:tc>
          <w:tcPr>
            <w:tcW w:w="1966" w:type="dxa"/>
            <w:shd w:val="clear" w:color="auto" w:fill="auto"/>
          </w:tcPr>
          <w:p w14:paraId="55CB3AF0" w14:textId="77777777" w:rsidR="00811E3B" w:rsidRPr="004140CC" w:rsidRDefault="0029702E" w:rsidP="00D83A6A">
            <w:pPr>
              <w:pStyle w:val="SingleTxtG"/>
              <w:ind w:left="0" w:right="0"/>
              <w:rPr>
                <w:rFonts w:eastAsia="Times New Roman"/>
              </w:rPr>
            </w:pPr>
            <w:r>
              <w:rPr>
                <w:rFonts w:eastAsia="Times New Roman"/>
              </w:rPr>
              <w:t>A/HRC/S-29</w:t>
            </w:r>
            <w:r w:rsidR="00811E3B" w:rsidRPr="004140CC">
              <w:rPr>
                <w:rFonts w:eastAsia="Times New Roman"/>
              </w:rPr>
              <w:t>/2</w:t>
            </w:r>
          </w:p>
        </w:tc>
        <w:tc>
          <w:tcPr>
            <w:tcW w:w="5405" w:type="dxa"/>
            <w:shd w:val="clear" w:color="auto" w:fill="auto"/>
          </w:tcPr>
          <w:p w14:paraId="70A0F6CE" w14:textId="77777777" w:rsidR="00811E3B" w:rsidRPr="004140CC" w:rsidRDefault="00811E3B" w:rsidP="0029702E">
            <w:pPr>
              <w:pStyle w:val="SingleTxtG"/>
              <w:ind w:left="0" w:right="0"/>
              <w:rPr>
                <w:rFonts w:eastAsia="Times New Roman"/>
              </w:rPr>
            </w:pPr>
            <w:r w:rsidRPr="004140CC">
              <w:rPr>
                <w:rFonts w:eastAsia="Times New Roman"/>
              </w:rPr>
              <w:t>Report of the Human Rights Council on its twenty-</w:t>
            </w:r>
            <w:r w:rsidR="0029702E">
              <w:rPr>
                <w:rFonts w:eastAsia="Times New Roman"/>
              </w:rPr>
              <w:t>nin</w:t>
            </w:r>
            <w:r w:rsidRPr="004140CC">
              <w:rPr>
                <w:rFonts w:eastAsia="Times New Roman"/>
              </w:rPr>
              <w:t>th special session</w:t>
            </w:r>
          </w:p>
        </w:tc>
      </w:tr>
      <w:tr w:rsidR="00811E3B" w:rsidRPr="004140CC" w14:paraId="142C9803" w14:textId="77777777" w:rsidTr="00D83A6A">
        <w:tc>
          <w:tcPr>
            <w:tcW w:w="7371" w:type="dxa"/>
            <w:gridSpan w:val="2"/>
            <w:shd w:val="clear" w:color="auto" w:fill="auto"/>
          </w:tcPr>
          <w:p w14:paraId="49992BA8" w14:textId="77777777" w:rsidR="00811E3B" w:rsidRPr="004140CC" w:rsidRDefault="00811E3B" w:rsidP="00D83A6A">
            <w:pPr>
              <w:pStyle w:val="SingleTxtG"/>
              <w:spacing w:before="240"/>
              <w:ind w:left="0" w:right="0"/>
              <w:rPr>
                <w:rFonts w:eastAsia="Times New Roman"/>
              </w:rPr>
            </w:pPr>
            <w:r w:rsidRPr="004140CC">
              <w:rPr>
                <w:rFonts w:eastAsia="Times New Roman"/>
                <w:i/>
              </w:rPr>
              <w:t>In the limited series</w:t>
            </w:r>
          </w:p>
        </w:tc>
      </w:tr>
      <w:tr w:rsidR="00811E3B" w:rsidRPr="004140CC" w14:paraId="6549BB71" w14:textId="77777777" w:rsidTr="00D83A6A">
        <w:tc>
          <w:tcPr>
            <w:tcW w:w="1966" w:type="dxa"/>
            <w:shd w:val="clear" w:color="auto" w:fill="auto"/>
          </w:tcPr>
          <w:p w14:paraId="0DD0659D" w14:textId="77777777" w:rsidR="00811E3B" w:rsidRPr="004140CC" w:rsidRDefault="00811E3B" w:rsidP="0029702E">
            <w:pPr>
              <w:pStyle w:val="SingleTxtG"/>
              <w:ind w:left="0" w:right="0"/>
              <w:rPr>
                <w:rFonts w:eastAsia="Times New Roman"/>
              </w:rPr>
            </w:pPr>
            <w:r w:rsidRPr="004140CC">
              <w:rPr>
                <w:rFonts w:eastAsia="Times New Roman"/>
              </w:rPr>
              <w:t>A/HRC/S-2</w:t>
            </w:r>
            <w:r w:rsidR="0029702E">
              <w:rPr>
                <w:rFonts w:eastAsia="Times New Roman"/>
              </w:rPr>
              <w:t>9</w:t>
            </w:r>
            <w:r w:rsidRPr="004140CC">
              <w:rPr>
                <w:rFonts w:eastAsia="Times New Roman"/>
              </w:rPr>
              <w:t>/L.1</w:t>
            </w:r>
          </w:p>
        </w:tc>
        <w:tc>
          <w:tcPr>
            <w:tcW w:w="5405" w:type="dxa"/>
            <w:shd w:val="clear" w:color="auto" w:fill="auto"/>
          </w:tcPr>
          <w:p w14:paraId="0ED6E632" w14:textId="77777777" w:rsidR="00811E3B" w:rsidRPr="004140CC" w:rsidRDefault="0029702E" w:rsidP="00D83A6A">
            <w:pPr>
              <w:pStyle w:val="SingleTxtG"/>
              <w:ind w:left="0" w:right="0"/>
              <w:rPr>
                <w:rFonts w:eastAsia="Times New Roman"/>
              </w:rPr>
            </w:pPr>
            <w:r>
              <w:t>Human rights implications of the crisis in Myanmar</w:t>
            </w:r>
          </w:p>
        </w:tc>
      </w:tr>
    </w:tbl>
    <w:p w14:paraId="58A8CF7E" w14:textId="1385CF1C" w:rsidR="00811E3B" w:rsidRPr="004140CC" w:rsidRDefault="00811E3B" w:rsidP="00811E3B">
      <w:pPr>
        <w:pStyle w:val="SingleTxtG"/>
        <w:spacing w:before="240" w:after="0"/>
        <w:jc w:val="center"/>
        <w:rPr>
          <w:u w:val="single"/>
        </w:rPr>
      </w:pPr>
      <w:r w:rsidRPr="004140CC">
        <w:rPr>
          <w:u w:val="single"/>
        </w:rPr>
        <w:tab/>
      </w:r>
      <w:r w:rsidRPr="004140CC">
        <w:rPr>
          <w:u w:val="single"/>
        </w:rPr>
        <w:tab/>
      </w:r>
      <w:r w:rsidRPr="004140CC">
        <w:rPr>
          <w:u w:val="single"/>
        </w:rPr>
        <w:tab/>
      </w:r>
      <w:r w:rsidR="009C6154">
        <w:rPr>
          <w:u w:val="single"/>
        </w:rPr>
        <w:tab/>
      </w:r>
    </w:p>
    <w:sectPr w:rsidR="00811E3B" w:rsidRPr="004140CC"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5187" w14:textId="77777777" w:rsidR="0045516C" w:rsidRPr="00C47B2E" w:rsidRDefault="0045516C" w:rsidP="00C47B2E">
      <w:pPr>
        <w:pStyle w:val="Footer"/>
      </w:pPr>
    </w:p>
  </w:endnote>
  <w:endnote w:type="continuationSeparator" w:id="0">
    <w:p w14:paraId="57867C4B" w14:textId="77777777" w:rsidR="0045516C" w:rsidRPr="00C47B2E" w:rsidRDefault="0045516C" w:rsidP="00C47B2E">
      <w:pPr>
        <w:pStyle w:val="Footer"/>
      </w:pPr>
    </w:p>
  </w:endnote>
  <w:endnote w:type="continuationNotice" w:id="1">
    <w:p w14:paraId="0EC7D8DD" w14:textId="77777777" w:rsidR="0045516C" w:rsidRPr="00C47B2E" w:rsidRDefault="0045516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BFF7" w14:textId="6D54D1BD" w:rsidR="00ED57EC" w:rsidRDefault="00ED57EC" w:rsidP="00811E3B">
    <w:pPr>
      <w:pStyle w:val="Footer"/>
      <w:tabs>
        <w:tab w:val="right" w:pos="9638"/>
      </w:tabs>
    </w:pPr>
    <w:r w:rsidRPr="00ED57EC">
      <w:rPr>
        <w:b/>
        <w:bCs/>
        <w:sz w:val="18"/>
      </w:rPr>
      <w:fldChar w:fldCharType="begin"/>
    </w:r>
    <w:r w:rsidRPr="00ED57EC">
      <w:rPr>
        <w:b/>
        <w:bCs/>
        <w:sz w:val="18"/>
      </w:rPr>
      <w:instrText xml:space="preserve"> PAGE  \* MERGEFORMAT </w:instrText>
    </w:r>
    <w:r w:rsidRPr="00ED57EC">
      <w:rPr>
        <w:b/>
        <w:bCs/>
        <w:sz w:val="18"/>
      </w:rPr>
      <w:fldChar w:fldCharType="separate"/>
    </w:r>
    <w:r w:rsidR="00094A4F">
      <w:rPr>
        <w:b/>
        <w:bCs/>
        <w:noProof/>
        <w:sz w:val="18"/>
      </w:rPr>
      <w:t>4</w:t>
    </w:r>
    <w:r w:rsidRPr="00ED57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5E5F" w14:textId="75C66DEB" w:rsidR="00ED57EC" w:rsidRDefault="00ED57EC" w:rsidP="00ED57EC">
    <w:pPr>
      <w:pStyle w:val="Footer"/>
      <w:tabs>
        <w:tab w:val="right" w:pos="9638"/>
      </w:tabs>
    </w:pPr>
    <w:r>
      <w:tab/>
    </w:r>
    <w:r w:rsidRPr="00ED57EC">
      <w:rPr>
        <w:b/>
        <w:bCs/>
        <w:sz w:val="18"/>
      </w:rPr>
      <w:fldChar w:fldCharType="begin"/>
    </w:r>
    <w:r w:rsidRPr="00ED57EC">
      <w:rPr>
        <w:b/>
        <w:bCs/>
        <w:sz w:val="18"/>
      </w:rPr>
      <w:instrText xml:space="preserve"> PAGE  \* MERGEFORMAT </w:instrText>
    </w:r>
    <w:r w:rsidRPr="00ED57EC">
      <w:rPr>
        <w:b/>
        <w:bCs/>
        <w:sz w:val="18"/>
      </w:rPr>
      <w:fldChar w:fldCharType="separate"/>
    </w:r>
    <w:r w:rsidR="00094A4F">
      <w:rPr>
        <w:b/>
        <w:bCs/>
        <w:noProof/>
        <w:sz w:val="18"/>
      </w:rPr>
      <w:t>3</w:t>
    </w:r>
    <w:r w:rsidRPr="00ED57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47D5" w14:textId="1F443C86" w:rsidR="009717F3" w:rsidRDefault="009717F3" w:rsidP="009717F3">
    <w:pPr>
      <w:pStyle w:val="Footer"/>
    </w:pPr>
  </w:p>
  <w:p w14:paraId="6CA79D1A" w14:textId="77777777" w:rsidR="009717F3" w:rsidRPr="009717F3" w:rsidRDefault="009717F3" w:rsidP="009717F3">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B101" w14:textId="77777777" w:rsidR="0045516C" w:rsidRPr="00C47B2E" w:rsidRDefault="0045516C" w:rsidP="00C47B2E">
      <w:pPr>
        <w:tabs>
          <w:tab w:val="right" w:pos="2155"/>
        </w:tabs>
        <w:spacing w:after="80" w:line="240" w:lineRule="auto"/>
        <w:ind w:left="680"/>
      </w:pPr>
      <w:r>
        <w:rPr>
          <w:u w:val="single"/>
        </w:rPr>
        <w:tab/>
      </w:r>
    </w:p>
  </w:footnote>
  <w:footnote w:type="continuationSeparator" w:id="0">
    <w:p w14:paraId="5D2325B6" w14:textId="77777777" w:rsidR="0045516C" w:rsidRPr="00C47B2E" w:rsidRDefault="0045516C" w:rsidP="005E716E">
      <w:pPr>
        <w:tabs>
          <w:tab w:val="right" w:pos="2155"/>
        </w:tabs>
        <w:spacing w:after="80" w:line="240" w:lineRule="auto"/>
        <w:ind w:left="680"/>
      </w:pPr>
      <w:r>
        <w:rPr>
          <w:u w:val="single"/>
        </w:rPr>
        <w:tab/>
      </w:r>
    </w:p>
  </w:footnote>
  <w:footnote w:type="continuationNotice" w:id="1">
    <w:p w14:paraId="1CAC48A4" w14:textId="77777777" w:rsidR="0045516C" w:rsidRPr="00C47B2E" w:rsidRDefault="0045516C"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9A96" w14:textId="2CF12C4A" w:rsidR="00ED57EC" w:rsidRDefault="001A15EA" w:rsidP="00ED57EC">
    <w:pPr>
      <w:pStyle w:val="Header"/>
    </w:pPr>
    <w:r>
      <w:t>A/HRC/</w:t>
    </w:r>
    <w:r w:rsidR="00272677">
      <w:t>S-29</w:t>
    </w:r>
    <w:r w:rsidR="00ED57EC">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BD45" w14:textId="295FC68C" w:rsidR="00ED57EC" w:rsidRDefault="001A15EA" w:rsidP="00ED57EC">
    <w:pPr>
      <w:pStyle w:val="Header"/>
      <w:jc w:val="right"/>
    </w:pPr>
    <w:r>
      <w:t>A/HRC/</w:t>
    </w:r>
    <w:r w:rsidR="00272677">
      <w:t>S-29</w:t>
    </w:r>
    <w:r w:rsidR="00ED57EC">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8"/>
    <w:rsid w:val="00011183"/>
    <w:rsid w:val="000123F0"/>
    <w:rsid w:val="000249D4"/>
    <w:rsid w:val="00034189"/>
    <w:rsid w:val="00040718"/>
    <w:rsid w:val="00046E92"/>
    <w:rsid w:val="00063C90"/>
    <w:rsid w:val="00072607"/>
    <w:rsid w:val="00094A4F"/>
    <w:rsid w:val="000D1C49"/>
    <w:rsid w:val="000D1EA4"/>
    <w:rsid w:val="00101B98"/>
    <w:rsid w:val="00113D67"/>
    <w:rsid w:val="001140B8"/>
    <w:rsid w:val="0011419C"/>
    <w:rsid w:val="00144C60"/>
    <w:rsid w:val="00176971"/>
    <w:rsid w:val="001779DE"/>
    <w:rsid w:val="001A15EA"/>
    <w:rsid w:val="001C61CA"/>
    <w:rsid w:val="0021473E"/>
    <w:rsid w:val="00214A26"/>
    <w:rsid w:val="0023526F"/>
    <w:rsid w:val="00247E2C"/>
    <w:rsid w:val="00250751"/>
    <w:rsid w:val="00257F6E"/>
    <w:rsid w:val="00272677"/>
    <w:rsid w:val="0029702E"/>
    <w:rsid w:val="002A32CB"/>
    <w:rsid w:val="002D6C53"/>
    <w:rsid w:val="002F4E2A"/>
    <w:rsid w:val="002F5595"/>
    <w:rsid w:val="00334F6A"/>
    <w:rsid w:val="00342AC8"/>
    <w:rsid w:val="003435DD"/>
    <w:rsid w:val="00367CDB"/>
    <w:rsid w:val="003B4550"/>
    <w:rsid w:val="0040017C"/>
    <w:rsid w:val="004140CC"/>
    <w:rsid w:val="00415970"/>
    <w:rsid w:val="00437B27"/>
    <w:rsid w:val="004534A7"/>
    <w:rsid w:val="0045516C"/>
    <w:rsid w:val="00461253"/>
    <w:rsid w:val="00465ADB"/>
    <w:rsid w:val="00480318"/>
    <w:rsid w:val="004A2814"/>
    <w:rsid w:val="004C0622"/>
    <w:rsid w:val="004D10F9"/>
    <w:rsid w:val="004D1A9F"/>
    <w:rsid w:val="005042C2"/>
    <w:rsid w:val="0052151C"/>
    <w:rsid w:val="005271DB"/>
    <w:rsid w:val="0054060E"/>
    <w:rsid w:val="005B5241"/>
    <w:rsid w:val="005D1D15"/>
    <w:rsid w:val="005E716E"/>
    <w:rsid w:val="00621E95"/>
    <w:rsid w:val="00623FC3"/>
    <w:rsid w:val="006256C3"/>
    <w:rsid w:val="0066390F"/>
    <w:rsid w:val="00671529"/>
    <w:rsid w:val="0067432E"/>
    <w:rsid w:val="006756DE"/>
    <w:rsid w:val="006C25CF"/>
    <w:rsid w:val="0070489D"/>
    <w:rsid w:val="0071297B"/>
    <w:rsid w:val="00715506"/>
    <w:rsid w:val="007268F9"/>
    <w:rsid w:val="0073764F"/>
    <w:rsid w:val="00774C07"/>
    <w:rsid w:val="00777AB3"/>
    <w:rsid w:val="007A6A25"/>
    <w:rsid w:val="007C52B0"/>
    <w:rsid w:val="00811E3B"/>
    <w:rsid w:val="00826FC2"/>
    <w:rsid w:val="00843661"/>
    <w:rsid w:val="00857FE3"/>
    <w:rsid w:val="00861B4E"/>
    <w:rsid w:val="008641CD"/>
    <w:rsid w:val="008861CB"/>
    <w:rsid w:val="008966C2"/>
    <w:rsid w:val="008A2F55"/>
    <w:rsid w:val="008B6430"/>
    <w:rsid w:val="008E3CB8"/>
    <w:rsid w:val="00907C2D"/>
    <w:rsid w:val="00913741"/>
    <w:rsid w:val="009411B4"/>
    <w:rsid w:val="00950989"/>
    <w:rsid w:val="009717F3"/>
    <w:rsid w:val="00983559"/>
    <w:rsid w:val="00995534"/>
    <w:rsid w:val="009C6154"/>
    <w:rsid w:val="009D0139"/>
    <w:rsid w:val="009D717D"/>
    <w:rsid w:val="009F293A"/>
    <w:rsid w:val="009F39A4"/>
    <w:rsid w:val="009F5CDC"/>
    <w:rsid w:val="00A10B27"/>
    <w:rsid w:val="00A3440E"/>
    <w:rsid w:val="00A53459"/>
    <w:rsid w:val="00A616D8"/>
    <w:rsid w:val="00A70330"/>
    <w:rsid w:val="00A775CF"/>
    <w:rsid w:val="00AC5C53"/>
    <w:rsid w:val="00AD5AEF"/>
    <w:rsid w:val="00B06045"/>
    <w:rsid w:val="00B07ABD"/>
    <w:rsid w:val="00B07BB0"/>
    <w:rsid w:val="00B45B77"/>
    <w:rsid w:val="00B52EF4"/>
    <w:rsid w:val="00B5348F"/>
    <w:rsid w:val="00B6685A"/>
    <w:rsid w:val="00BA4570"/>
    <w:rsid w:val="00BE6633"/>
    <w:rsid w:val="00C03015"/>
    <w:rsid w:val="00C0358D"/>
    <w:rsid w:val="00C32731"/>
    <w:rsid w:val="00C35A27"/>
    <w:rsid w:val="00C47B2E"/>
    <w:rsid w:val="00C57317"/>
    <w:rsid w:val="00C9455C"/>
    <w:rsid w:val="00CA1B04"/>
    <w:rsid w:val="00CB7D6B"/>
    <w:rsid w:val="00CE56BC"/>
    <w:rsid w:val="00CE770B"/>
    <w:rsid w:val="00CF25B2"/>
    <w:rsid w:val="00D55603"/>
    <w:rsid w:val="00D64BE8"/>
    <w:rsid w:val="00DC4678"/>
    <w:rsid w:val="00DC7FFB"/>
    <w:rsid w:val="00DD17EF"/>
    <w:rsid w:val="00DE55B5"/>
    <w:rsid w:val="00DF48A7"/>
    <w:rsid w:val="00E02C2B"/>
    <w:rsid w:val="00E52109"/>
    <w:rsid w:val="00E55D1C"/>
    <w:rsid w:val="00E60611"/>
    <w:rsid w:val="00E75317"/>
    <w:rsid w:val="00ED57EC"/>
    <w:rsid w:val="00ED6C48"/>
    <w:rsid w:val="00EE67AF"/>
    <w:rsid w:val="00EF383C"/>
    <w:rsid w:val="00F11C80"/>
    <w:rsid w:val="00F17DC2"/>
    <w:rsid w:val="00F65F5D"/>
    <w:rsid w:val="00F7471D"/>
    <w:rsid w:val="00F86A3A"/>
    <w:rsid w:val="00F923AC"/>
    <w:rsid w:val="00FC60A4"/>
    <w:rsid w:val="00FF03B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4B74C"/>
  <w15:docId w15:val="{508FFCB5-A730-418A-90EF-1CFBB5B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11E3B"/>
    <w:rPr>
      <w:rFonts w:ascii="Times New Roman" w:eastAsiaTheme="minorHAnsi" w:hAnsi="Times New Roman" w:cs="Times New Roman"/>
      <w:sz w:val="20"/>
      <w:szCs w:val="20"/>
      <w:lang w:eastAsia="en-US"/>
    </w:rPr>
  </w:style>
  <w:style w:type="character" w:customStyle="1" w:styleId="HChGChar">
    <w:name w:val="_ H _Ch_G Char"/>
    <w:link w:val="HChG"/>
    <w:rsid w:val="00811E3B"/>
    <w:rPr>
      <w:rFonts w:ascii="Times New Roman" w:eastAsiaTheme="minorHAnsi" w:hAnsi="Times New Roman" w:cs="Times New Roman"/>
      <w:b/>
      <w:sz w:val="28"/>
      <w:szCs w:val="20"/>
      <w:lang w:eastAsia="en-US"/>
    </w:rPr>
  </w:style>
  <w:style w:type="character" w:customStyle="1" w:styleId="H1GChar">
    <w:name w:val="_ H_1_G Char"/>
    <w:link w:val="H1G"/>
    <w:rsid w:val="00811E3B"/>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semiHidden/>
    <w:unhideWhenUsed/>
    <w:rsid w:val="00BE6633"/>
    <w:rPr>
      <w:sz w:val="16"/>
      <w:szCs w:val="16"/>
    </w:rPr>
  </w:style>
  <w:style w:type="paragraph" w:styleId="CommentText">
    <w:name w:val="annotation text"/>
    <w:basedOn w:val="Normal"/>
    <w:link w:val="CommentTextChar"/>
    <w:uiPriority w:val="99"/>
    <w:semiHidden/>
    <w:unhideWhenUsed/>
    <w:rsid w:val="00BE6633"/>
    <w:pPr>
      <w:spacing w:line="240" w:lineRule="auto"/>
    </w:pPr>
  </w:style>
  <w:style w:type="character" w:customStyle="1" w:styleId="CommentTextChar">
    <w:name w:val="Comment Text Char"/>
    <w:basedOn w:val="DefaultParagraphFont"/>
    <w:link w:val="CommentText"/>
    <w:uiPriority w:val="99"/>
    <w:semiHidden/>
    <w:rsid w:val="00BE663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633"/>
    <w:rPr>
      <w:b/>
      <w:bCs/>
    </w:rPr>
  </w:style>
  <w:style w:type="character" w:customStyle="1" w:styleId="CommentSubjectChar">
    <w:name w:val="Comment Subject Char"/>
    <w:basedOn w:val="CommentTextChar"/>
    <w:link w:val="CommentSubject"/>
    <w:uiPriority w:val="99"/>
    <w:semiHidden/>
    <w:rsid w:val="00BE6633"/>
    <w:rPr>
      <w:rFonts w:ascii="Times New Roman" w:eastAsiaTheme="minorHAnsi" w:hAnsi="Times New Roman" w:cs="Times New Roman"/>
      <w:b/>
      <w:bCs/>
      <w:sz w:val="20"/>
      <w:szCs w:val="20"/>
      <w:lang w:eastAsia="en-US"/>
    </w:rPr>
  </w:style>
  <w:style w:type="paragraph" w:styleId="Revision">
    <w:name w:val="Revision"/>
    <w:hidden/>
    <w:uiPriority w:val="99"/>
    <w:semiHidden/>
    <w:rsid w:val="001779DE"/>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63804562">
      <w:bodyDiv w:val="1"/>
      <w:marLeft w:val="0"/>
      <w:marRight w:val="0"/>
      <w:marTop w:val="0"/>
      <w:marBottom w:val="0"/>
      <w:divBdr>
        <w:top w:val="none" w:sz="0" w:space="0" w:color="auto"/>
        <w:left w:val="none" w:sz="0" w:space="0" w:color="auto"/>
        <w:bottom w:val="none" w:sz="0" w:space="0" w:color="auto"/>
        <w:right w:val="none" w:sz="0" w:space="0" w:color="auto"/>
      </w:divBdr>
      <w:divsChild>
        <w:div w:id="204368737">
          <w:marLeft w:val="0"/>
          <w:marRight w:val="0"/>
          <w:marTop w:val="0"/>
          <w:marBottom w:val="0"/>
          <w:divBdr>
            <w:top w:val="none" w:sz="0" w:space="0" w:color="auto"/>
            <w:left w:val="none" w:sz="0" w:space="0" w:color="auto"/>
            <w:bottom w:val="none" w:sz="0" w:space="0" w:color="auto"/>
            <w:right w:val="none" w:sz="0" w:space="0" w:color="auto"/>
          </w:divBdr>
        </w:div>
      </w:divsChild>
    </w:div>
    <w:div w:id="337970158">
      <w:bodyDiv w:val="1"/>
      <w:marLeft w:val="0"/>
      <w:marRight w:val="0"/>
      <w:marTop w:val="0"/>
      <w:marBottom w:val="0"/>
      <w:divBdr>
        <w:top w:val="none" w:sz="0" w:space="0" w:color="auto"/>
        <w:left w:val="none" w:sz="0" w:space="0" w:color="auto"/>
        <w:bottom w:val="none" w:sz="0" w:space="0" w:color="auto"/>
        <w:right w:val="none" w:sz="0" w:space="0" w:color="auto"/>
      </w:divBdr>
      <w:divsChild>
        <w:div w:id="117796839">
          <w:marLeft w:val="0"/>
          <w:marRight w:val="0"/>
          <w:marTop w:val="0"/>
          <w:marBottom w:val="0"/>
          <w:divBdr>
            <w:top w:val="none" w:sz="0" w:space="0" w:color="auto"/>
            <w:left w:val="none" w:sz="0" w:space="0" w:color="auto"/>
            <w:bottom w:val="none" w:sz="0" w:space="0" w:color="auto"/>
            <w:right w:val="none" w:sz="0" w:space="0" w:color="auto"/>
          </w:divBdr>
        </w:div>
      </w:divsChild>
    </w:div>
    <w:div w:id="381826858">
      <w:bodyDiv w:val="1"/>
      <w:marLeft w:val="0"/>
      <w:marRight w:val="0"/>
      <w:marTop w:val="0"/>
      <w:marBottom w:val="0"/>
      <w:divBdr>
        <w:top w:val="none" w:sz="0" w:space="0" w:color="auto"/>
        <w:left w:val="none" w:sz="0" w:space="0" w:color="auto"/>
        <w:bottom w:val="none" w:sz="0" w:space="0" w:color="auto"/>
        <w:right w:val="none" w:sz="0" w:space="0" w:color="auto"/>
      </w:divBdr>
      <w:divsChild>
        <w:div w:id="692148217">
          <w:marLeft w:val="0"/>
          <w:marRight w:val="0"/>
          <w:marTop w:val="0"/>
          <w:marBottom w:val="0"/>
          <w:divBdr>
            <w:top w:val="none" w:sz="0" w:space="0" w:color="auto"/>
            <w:left w:val="none" w:sz="0" w:space="0" w:color="auto"/>
            <w:bottom w:val="none" w:sz="0" w:space="0" w:color="auto"/>
            <w:right w:val="none" w:sz="0" w:space="0" w:color="auto"/>
          </w:divBdr>
        </w:div>
      </w:divsChild>
    </w:div>
    <w:div w:id="562764978">
      <w:bodyDiv w:val="1"/>
      <w:marLeft w:val="0"/>
      <w:marRight w:val="0"/>
      <w:marTop w:val="0"/>
      <w:marBottom w:val="0"/>
      <w:divBdr>
        <w:top w:val="none" w:sz="0" w:space="0" w:color="auto"/>
        <w:left w:val="none" w:sz="0" w:space="0" w:color="auto"/>
        <w:bottom w:val="none" w:sz="0" w:space="0" w:color="auto"/>
        <w:right w:val="none" w:sz="0" w:space="0" w:color="auto"/>
      </w:divBdr>
      <w:divsChild>
        <w:div w:id="376588064">
          <w:marLeft w:val="0"/>
          <w:marRight w:val="0"/>
          <w:marTop w:val="0"/>
          <w:marBottom w:val="0"/>
          <w:divBdr>
            <w:top w:val="none" w:sz="0" w:space="0" w:color="auto"/>
            <w:left w:val="none" w:sz="0" w:space="0" w:color="auto"/>
            <w:bottom w:val="none" w:sz="0" w:space="0" w:color="auto"/>
            <w:right w:val="none" w:sz="0" w:space="0" w:color="auto"/>
          </w:divBdr>
        </w:div>
      </w:divsChild>
    </w:div>
    <w:div w:id="13701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887C-B8E0-4A57-8790-22BD485EF13E}"/>
</file>

<file path=customXml/itemProps2.xml><?xml version="1.0" encoding="utf-8"?>
<ds:datastoreItem xmlns:ds="http://schemas.openxmlformats.org/officeDocument/2006/customXml" ds:itemID="{0F6CCE02-7CEF-4502-BE8F-45C16F12B93C}">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3CD4E89-52F4-44E1-846D-54FFF075CB58}">
  <ds:schemaRefs>
    <ds:schemaRef ds:uri="http://schemas.microsoft.com/sharepoint/v3/contenttype/forms"/>
  </ds:schemaRefs>
</ds:datastoreItem>
</file>

<file path=customXml/itemProps4.xml><?xml version="1.0" encoding="utf-8"?>
<ds:datastoreItem xmlns:ds="http://schemas.openxmlformats.org/officeDocument/2006/customXml" ds:itemID="{12545161-FCB2-457B-B22E-9C3D1DC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8</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A/HRC/S-28/2</vt:lpstr>
    </vt:vector>
  </TitlesOfParts>
  <Company>DCM</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A/HRC/S-28/2</dc:title>
  <dc:subject>1819564</dc:subject>
  <dc:creator>Pacis Mamangun</dc:creator>
  <cp:keywords/>
  <dc:description/>
  <cp:lastModifiedBy>LANZ Veronique</cp:lastModifiedBy>
  <cp:revision>2</cp:revision>
  <dcterms:created xsi:type="dcterms:W3CDTF">2021-05-05T08:33:00Z</dcterms:created>
  <dcterms:modified xsi:type="dcterms:W3CDTF">2021-05-05T08:33:00Z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