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12C6F" w14:textId="77777777" w:rsidR="00237D72" w:rsidRPr="004A661A" w:rsidRDefault="008F378A">
      <w:pPr>
        <w:spacing w:after="161" w:line="259" w:lineRule="auto"/>
        <w:ind w:left="0" w:firstLine="0"/>
        <w:rPr>
          <w:lang w:val="en-US"/>
        </w:rPr>
      </w:pPr>
      <w:r w:rsidRPr="004A661A">
        <w:rPr>
          <w:sz w:val="22"/>
          <w:lang w:val="en-US"/>
        </w:rPr>
        <w:t xml:space="preserve"> </w:t>
      </w:r>
    </w:p>
    <w:p w14:paraId="44E651BA" w14:textId="328E2202" w:rsidR="004A661A" w:rsidRDefault="004A661A" w:rsidP="008813D5">
      <w:pPr>
        <w:spacing w:after="0" w:line="259" w:lineRule="auto"/>
        <w:ind w:left="0" w:firstLine="0"/>
        <w:jc w:val="center"/>
        <w:rPr>
          <w:b/>
          <w:sz w:val="22"/>
          <w:lang w:val="en-US"/>
        </w:rPr>
      </w:pPr>
      <w:r>
        <w:rPr>
          <w:b/>
          <w:sz w:val="22"/>
          <w:lang w:val="en-US"/>
        </w:rPr>
        <w:t>AGENDA</w:t>
      </w:r>
      <w:r w:rsidR="008F378A" w:rsidRPr="00372D68">
        <w:rPr>
          <w:b/>
          <w:sz w:val="22"/>
          <w:lang w:val="en-US"/>
        </w:rPr>
        <w:t xml:space="preserve"> FOR THE INTERSESSIONAL OPEN CONSULTATIONS ON THE </w:t>
      </w:r>
      <w:r>
        <w:rPr>
          <w:b/>
          <w:sz w:val="22"/>
          <w:lang w:val="en-US"/>
        </w:rPr>
        <w:t>REVISED DRAFT LEGALLY BINDING INSTRUMENT ON TNCs AND OBEs WITH RESPECT TO HUMAN RIGHTS</w:t>
      </w:r>
    </w:p>
    <w:p w14:paraId="46A5722E" w14:textId="0C9E5E23" w:rsidR="004A661A" w:rsidRDefault="004A661A" w:rsidP="004A661A">
      <w:pPr>
        <w:spacing w:after="0" w:line="259" w:lineRule="auto"/>
        <w:ind w:left="0" w:firstLine="0"/>
        <w:jc w:val="center"/>
        <w:rPr>
          <w:b/>
          <w:sz w:val="22"/>
          <w:lang w:val="en-US"/>
        </w:rPr>
      </w:pPr>
      <w:r>
        <w:rPr>
          <w:b/>
          <w:sz w:val="22"/>
          <w:lang w:val="en-US"/>
        </w:rPr>
        <w:t>OEIGWG - HRC</w:t>
      </w:r>
      <w:r w:rsidR="008F378A" w:rsidRPr="004A661A">
        <w:rPr>
          <w:b/>
          <w:sz w:val="22"/>
          <w:lang w:val="en-US"/>
        </w:rPr>
        <w:t xml:space="preserve"> RESOLUTION 26/9</w:t>
      </w:r>
    </w:p>
    <w:p w14:paraId="1F1C1B0B" w14:textId="69686766" w:rsidR="00237D72" w:rsidRPr="004A661A" w:rsidRDefault="004A661A" w:rsidP="004A661A">
      <w:pPr>
        <w:spacing w:after="160" w:line="259" w:lineRule="auto"/>
        <w:ind w:left="0" w:firstLine="0"/>
        <w:jc w:val="center"/>
        <w:rPr>
          <w:lang w:val="en-US"/>
        </w:rPr>
      </w:pPr>
      <w:r>
        <w:rPr>
          <w:b/>
          <w:sz w:val="22"/>
          <w:lang w:val="en-US"/>
        </w:rPr>
        <w:t>May-June 2020</w:t>
      </w:r>
    </w:p>
    <w:p w14:paraId="14462D58" w14:textId="77777777" w:rsidR="00237D72" w:rsidRPr="004A661A" w:rsidRDefault="008F378A">
      <w:pPr>
        <w:spacing w:after="160" w:line="259" w:lineRule="auto"/>
        <w:ind w:left="0" w:firstLine="0"/>
        <w:rPr>
          <w:lang w:val="en-US"/>
        </w:rPr>
      </w:pPr>
      <w:r w:rsidRPr="004A661A">
        <w:rPr>
          <w:sz w:val="22"/>
          <w:lang w:val="en-US"/>
        </w:rPr>
        <w:t xml:space="preserve"> </w:t>
      </w:r>
    </w:p>
    <w:p w14:paraId="0D957BD3" w14:textId="77777777" w:rsidR="004A661A" w:rsidRPr="004A661A" w:rsidRDefault="004A661A" w:rsidP="00372D68">
      <w:pPr>
        <w:spacing w:after="0" w:line="259" w:lineRule="auto"/>
        <w:ind w:left="0" w:firstLine="0"/>
        <w:rPr>
          <w:lang w:val="en-US"/>
        </w:rPr>
      </w:pPr>
    </w:p>
    <w:p w14:paraId="12B392FB" w14:textId="6A1E568A" w:rsidR="00372D68" w:rsidRPr="008813D5" w:rsidRDefault="00372D68" w:rsidP="00372D68">
      <w:pPr>
        <w:spacing w:after="0" w:line="259" w:lineRule="auto"/>
        <w:ind w:left="0" w:firstLine="0"/>
        <w:rPr>
          <w:lang w:val="en-US"/>
        </w:rPr>
      </w:pPr>
      <w:r w:rsidRPr="008813D5">
        <w:rPr>
          <w:b/>
          <w:bCs/>
          <w:lang w:val="en-US"/>
        </w:rPr>
        <w:t xml:space="preserve">First open informal consultation: </w:t>
      </w:r>
      <w:r w:rsidRPr="008813D5">
        <w:rPr>
          <w:lang w:val="en-US"/>
        </w:rPr>
        <w:t>Friday 29 May 2020, 10:00 – 12:00</w:t>
      </w:r>
      <w:r w:rsidRPr="008813D5">
        <w:rPr>
          <w:b/>
          <w:bCs/>
          <w:lang w:val="en-US"/>
        </w:rPr>
        <w:t xml:space="preserve"> </w:t>
      </w:r>
      <w:r w:rsidR="008813D5" w:rsidRPr="008813D5">
        <w:rPr>
          <w:lang w:val="en-US"/>
        </w:rPr>
        <w:t>CET (virtual format)</w:t>
      </w:r>
    </w:p>
    <w:p w14:paraId="0E1A5E69" w14:textId="77777777" w:rsidR="00372D68" w:rsidRPr="00EF257F" w:rsidRDefault="00372D68" w:rsidP="00372D68">
      <w:pPr>
        <w:spacing w:after="0" w:line="259" w:lineRule="auto"/>
        <w:ind w:left="0" w:firstLine="0"/>
        <w:rPr>
          <w:u w:val="single"/>
          <w:lang w:val="en-US"/>
        </w:rPr>
      </w:pPr>
    </w:p>
    <w:p w14:paraId="24A4909A" w14:textId="534B53AB" w:rsidR="00372D68" w:rsidRDefault="00372D68" w:rsidP="00372D68">
      <w:pPr>
        <w:spacing w:after="0" w:line="259" w:lineRule="auto"/>
        <w:ind w:left="0" w:firstLine="567"/>
        <w:rPr>
          <w:lang w:val="en-US"/>
        </w:rPr>
      </w:pPr>
      <w:r w:rsidRPr="004A661A">
        <w:rPr>
          <w:b/>
          <w:bCs/>
          <w:lang w:val="en-US"/>
        </w:rPr>
        <w:t>Preamble and Articles 1</w:t>
      </w:r>
      <w:r w:rsidR="004A661A">
        <w:rPr>
          <w:b/>
          <w:bCs/>
          <w:lang w:val="en-US"/>
        </w:rPr>
        <w:t xml:space="preserve"> to </w:t>
      </w:r>
      <w:r w:rsidRPr="004A661A">
        <w:rPr>
          <w:b/>
          <w:bCs/>
          <w:lang w:val="en-US"/>
        </w:rPr>
        <w:t>5</w:t>
      </w:r>
      <w:r w:rsidRPr="00264096">
        <w:rPr>
          <w:lang w:val="en-US"/>
        </w:rPr>
        <w:t xml:space="preserve"> of the </w:t>
      </w:r>
      <w:r w:rsidRPr="00AF1C6F">
        <w:rPr>
          <w:lang w:val="en-US"/>
        </w:rPr>
        <w:t>revised draft</w:t>
      </w:r>
      <w:r w:rsidRPr="00264096">
        <w:rPr>
          <w:lang w:val="en-US"/>
        </w:rPr>
        <w:t xml:space="preserve"> LBI, with special focus on: </w:t>
      </w:r>
    </w:p>
    <w:p w14:paraId="0BD59B92" w14:textId="77777777" w:rsidR="004A661A" w:rsidRPr="00264096" w:rsidRDefault="004A661A" w:rsidP="00372D68">
      <w:pPr>
        <w:spacing w:after="0" w:line="259" w:lineRule="auto"/>
        <w:ind w:left="0" w:firstLine="567"/>
        <w:rPr>
          <w:lang w:val="en-US"/>
        </w:rPr>
      </w:pPr>
    </w:p>
    <w:p w14:paraId="584C2F19" w14:textId="77777777" w:rsidR="00372D68" w:rsidRPr="004A661A" w:rsidRDefault="00372D68" w:rsidP="00372D68">
      <w:pPr>
        <w:numPr>
          <w:ilvl w:val="0"/>
          <w:numId w:val="2"/>
        </w:numPr>
        <w:ind w:left="1134" w:hanging="567"/>
        <w:rPr>
          <w:b/>
          <w:bCs/>
        </w:rPr>
      </w:pPr>
      <w:proofErr w:type="spellStart"/>
      <w:r w:rsidRPr="004A661A">
        <w:rPr>
          <w:b/>
          <w:bCs/>
        </w:rPr>
        <w:t>Definitions</w:t>
      </w:r>
      <w:proofErr w:type="spellEnd"/>
    </w:p>
    <w:p w14:paraId="7DB7B309" w14:textId="77777777" w:rsidR="00372D68" w:rsidRPr="004A661A" w:rsidRDefault="00372D68" w:rsidP="00372D68">
      <w:pPr>
        <w:numPr>
          <w:ilvl w:val="0"/>
          <w:numId w:val="2"/>
        </w:numPr>
        <w:ind w:left="1134" w:hanging="567"/>
        <w:rPr>
          <w:b/>
          <w:bCs/>
        </w:rPr>
      </w:pPr>
      <w:proofErr w:type="spellStart"/>
      <w:r w:rsidRPr="004A661A">
        <w:rPr>
          <w:b/>
          <w:bCs/>
        </w:rPr>
        <w:t>Scope</w:t>
      </w:r>
      <w:proofErr w:type="spellEnd"/>
    </w:p>
    <w:p w14:paraId="0B5C6220" w14:textId="77777777" w:rsidR="00372D68" w:rsidRPr="004A661A" w:rsidRDefault="00372D68" w:rsidP="00372D68">
      <w:pPr>
        <w:numPr>
          <w:ilvl w:val="0"/>
          <w:numId w:val="2"/>
        </w:numPr>
        <w:ind w:left="1134" w:hanging="567"/>
        <w:rPr>
          <w:b/>
          <w:bCs/>
        </w:rPr>
      </w:pPr>
      <w:r w:rsidRPr="004A661A">
        <w:rPr>
          <w:b/>
          <w:bCs/>
        </w:rPr>
        <w:t>Rights of Victims</w:t>
      </w:r>
    </w:p>
    <w:p w14:paraId="45EC9A58" w14:textId="19392B5B" w:rsidR="00372D68" w:rsidRDefault="00372D68" w:rsidP="008813D5">
      <w:pPr>
        <w:numPr>
          <w:ilvl w:val="0"/>
          <w:numId w:val="2"/>
        </w:numPr>
        <w:ind w:left="1134" w:hanging="567"/>
        <w:rPr>
          <w:b/>
          <w:bCs/>
        </w:rPr>
      </w:pPr>
      <w:proofErr w:type="spellStart"/>
      <w:r w:rsidRPr="004A661A">
        <w:rPr>
          <w:b/>
          <w:bCs/>
        </w:rPr>
        <w:t>Prevention</w:t>
      </w:r>
      <w:proofErr w:type="spellEnd"/>
      <w:r w:rsidRPr="004A661A">
        <w:rPr>
          <w:b/>
          <w:bCs/>
        </w:rPr>
        <w:t xml:space="preserve"> </w:t>
      </w:r>
    </w:p>
    <w:p w14:paraId="4140EECB" w14:textId="7315A614" w:rsidR="008813D5" w:rsidRDefault="008813D5" w:rsidP="008813D5">
      <w:pPr>
        <w:rPr>
          <w:b/>
          <w:bCs/>
        </w:rPr>
      </w:pPr>
    </w:p>
    <w:p w14:paraId="20914048" w14:textId="77777777" w:rsidR="008813D5" w:rsidRPr="008813D5" w:rsidRDefault="008813D5" w:rsidP="008813D5">
      <w:pPr>
        <w:rPr>
          <w:b/>
          <w:bCs/>
        </w:rPr>
      </w:pPr>
    </w:p>
    <w:p w14:paraId="4362B856" w14:textId="77777777" w:rsidR="00372D68" w:rsidRDefault="00372D68" w:rsidP="00372D68">
      <w:pPr>
        <w:spacing w:after="0" w:line="259" w:lineRule="auto"/>
        <w:ind w:left="0" w:firstLine="0"/>
        <w:rPr>
          <w:u w:val="single"/>
          <w:lang w:val="en-US"/>
        </w:rPr>
      </w:pPr>
    </w:p>
    <w:p w14:paraId="3D468A5E" w14:textId="4D08EAA3" w:rsidR="00372D68" w:rsidRPr="008813D5" w:rsidRDefault="00372D68" w:rsidP="00372D68">
      <w:pPr>
        <w:spacing w:after="0" w:line="259" w:lineRule="auto"/>
        <w:ind w:left="0" w:firstLine="0"/>
        <w:rPr>
          <w:b/>
          <w:bCs/>
          <w:lang w:val="en-US"/>
        </w:rPr>
      </w:pPr>
      <w:r w:rsidRPr="008813D5">
        <w:rPr>
          <w:b/>
          <w:bCs/>
          <w:lang w:val="en-US"/>
        </w:rPr>
        <w:t xml:space="preserve">Second open informal consultation: </w:t>
      </w:r>
      <w:r w:rsidRPr="008813D5">
        <w:rPr>
          <w:lang w:val="en-US"/>
        </w:rPr>
        <w:t>Friday 12 June 2020, 10:00 – 12:00</w:t>
      </w:r>
      <w:r w:rsidR="008813D5" w:rsidRPr="008813D5">
        <w:rPr>
          <w:lang w:val="en-US"/>
        </w:rPr>
        <w:t xml:space="preserve"> CET (virtual format)</w:t>
      </w:r>
    </w:p>
    <w:p w14:paraId="56370ACB" w14:textId="77777777" w:rsidR="00372D68" w:rsidRPr="008813D5" w:rsidRDefault="00372D68" w:rsidP="00372D68">
      <w:pPr>
        <w:spacing w:after="0" w:line="259" w:lineRule="auto"/>
        <w:ind w:left="1134" w:hanging="567"/>
        <w:rPr>
          <w:lang w:val="en-US"/>
        </w:rPr>
      </w:pPr>
    </w:p>
    <w:p w14:paraId="18A5F500" w14:textId="1CBDD85A" w:rsidR="00372D68" w:rsidRDefault="00372D68" w:rsidP="00372D68">
      <w:pPr>
        <w:spacing w:after="45"/>
        <w:ind w:left="1134" w:hanging="567"/>
        <w:rPr>
          <w:lang w:val="en-US"/>
        </w:rPr>
      </w:pPr>
      <w:r w:rsidRPr="004A661A">
        <w:rPr>
          <w:b/>
          <w:bCs/>
          <w:lang w:val="en-US"/>
        </w:rPr>
        <w:t>Articles 6</w:t>
      </w:r>
      <w:r w:rsidR="004A661A" w:rsidRPr="004A661A">
        <w:rPr>
          <w:b/>
          <w:bCs/>
          <w:lang w:val="en-US"/>
        </w:rPr>
        <w:t xml:space="preserve"> to </w:t>
      </w:r>
      <w:r w:rsidRPr="004A661A">
        <w:rPr>
          <w:b/>
          <w:bCs/>
          <w:lang w:val="en-US"/>
        </w:rPr>
        <w:t>12</w:t>
      </w:r>
      <w:r w:rsidRPr="00264096">
        <w:rPr>
          <w:lang w:val="en-US"/>
        </w:rPr>
        <w:t xml:space="preserve"> of the </w:t>
      </w:r>
      <w:r>
        <w:rPr>
          <w:lang w:val="en-US"/>
        </w:rPr>
        <w:t>revised draft</w:t>
      </w:r>
      <w:r w:rsidRPr="00264096">
        <w:rPr>
          <w:lang w:val="en-US"/>
        </w:rPr>
        <w:t xml:space="preserve"> LBI, with special focus on: </w:t>
      </w:r>
    </w:p>
    <w:p w14:paraId="3A21C3E5" w14:textId="77777777" w:rsidR="004A661A" w:rsidRPr="00264096" w:rsidRDefault="004A661A" w:rsidP="00372D68">
      <w:pPr>
        <w:spacing w:after="45"/>
        <w:ind w:left="1134" w:hanging="567"/>
        <w:rPr>
          <w:lang w:val="en-US"/>
        </w:rPr>
      </w:pPr>
    </w:p>
    <w:p w14:paraId="31B4C004" w14:textId="77777777" w:rsidR="00372D68" w:rsidRPr="004A661A" w:rsidRDefault="00372D68" w:rsidP="00372D68">
      <w:pPr>
        <w:numPr>
          <w:ilvl w:val="0"/>
          <w:numId w:val="2"/>
        </w:numPr>
        <w:ind w:left="1134" w:hanging="567"/>
        <w:rPr>
          <w:b/>
          <w:bCs/>
        </w:rPr>
      </w:pPr>
      <w:r w:rsidRPr="004A661A">
        <w:rPr>
          <w:b/>
          <w:bCs/>
        </w:rPr>
        <w:t xml:space="preserve">Legal Liability </w:t>
      </w:r>
    </w:p>
    <w:p w14:paraId="7E372A13" w14:textId="77777777" w:rsidR="00372D68" w:rsidRPr="004A661A" w:rsidRDefault="00372D68" w:rsidP="00372D68">
      <w:pPr>
        <w:numPr>
          <w:ilvl w:val="0"/>
          <w:numId w:val="2"/>
        </w:numPr>
        <w:ind w:left="1134" w:hanging="567"/>
        <w:rPr>
          <w:b/>
          <w:bCs/>
        </w:rPr>
      </w:pPr>
      <w:proofErr w:type="spellStart"/>
      <w:r w:rsidRPr="004A661A">
        <w:rPr>
          <w:b/>
          <w:bCs/>
        </w:rPr>
        <w:t>Adjudicative</w:t>
      </w:r>
      <w:proofErr w:type="spellEnd"/>
      <w:r w:rsidRPr="004A661A">
        <w:rPr>
          <w:b/>
          <w:bCs/>
        </w:rPr>
        <w:t xml:space="preserve"> </w:t>
      </w:r>
      <w:proofErr w:type="spellStart"/>
      <w:r w:rsidRPr="004A661A">
        <w:rPr>
          <w:b/>
          <w:bCs/>
        </w:rPr>
        <w:t>Jurisdiction</w:t>
      </w:r>
      <w:proofErr w:type="spellEnd"/>
    </w:p>
    <w:p w14:paraId="255605D4" w14:textId="77777777" w:rsidR="00372D68" w:rsidRPr="004A661A" w:rsidRDefault="00372D68" w:rsidP="00372D68">
      <w:pPr>
        <w:numPr>
          <w:ilvl w:val="0"/>
          <w:numId w:val="2"/>
        </w:numPr>
        <w:ind w:left="1134" w:hanging="567"/>
        <w:rPr>
          <w:b/>
          <w:bCs/>
        </w:rPr>
      </w:pPr>
      <w:proofErr w:type="spellStart"/>
      <w:r w:rsidRPr="004A661A">
        <w:rPr>
          <w:b/>
          <w:bCs/>
        </w:rPr>
        <w:t>Applicable</w:t>
      </w:r>
      <w:proofErr w:type="spellEnd"/>
      <w:r w:rsidRPr="004A661A">
        <w:rPr>
          <w:b/>
          <w:bCs/>
        </w:rPr>
        <w:t xml:space="preserve"> Law</w:t>
      </w:r>
    </w:p>
    <w:p w14:paraId="702A5148" w14:textId="77777777" w:rsidR="00372D68" w:rsidRPr="004A661A" w:rsidRDefault="00372D68" w:rsidP="00372D68">
      <w:pPr>
        <w:numPr>
          <w:ilvl w:val="0"/>
          <w:numId w:val="2"/>
        </w:numPr>
        <w:ind w:left="1134" w:hanging="567"/>
        <w:rPr>
          <w:b/>
          <w:bCs/>
          <w:lang w:val="en-US"/>
        </w:rPr>
      </w:pPr>
      <w:r w:rsidRPr="004A661A">
        <w:rPr>
          <w:b/>
          <w:bCs/>
          <w:lang w:val="en-US"/>
        </w:rPr>
        <w:t>Mutual Legal Assistance and International Cooperation</w:t>
      </w:r>
    </w:p>
    <w:p w14:paraId="227D2AFF" w14:textId="7F5BDD19" w:rsidR="00372D68" w:rsidRDefault="00372D68" w:rsidP="00372D68">
      <w:pPr>
        <w:spacing w:after="0" w:line="259" w:lineRule="auto"/>
        <w:ind w:left="1134" w:hanging="567"/>
        <w:rPr>
          <w:lang w:val="en-US"/>
        </w:rPr>
      </w:pPr>
      <w:r w:rsidRPr="00AF1C6F">
        <w:rPr>
          <w:lang w:val="en-US"/>
        </w:rPr>
        <w:t xml:space="preserve"> </w:t>
      </w:r>
    </w:p>
    <w:p w14:paraId="023E0B36" w14:textId="77777777" w:rsidR="008813D5" w:rsidRPr="00017563" w:rsidRDefault="008813D5" w:rsidP="00372D68">
      <w:pPr>
        <w:spacing w:after="0" w:line="259" w:lineRule="auto"/>
        <w:ind w:left="1134" w:hanging="567"/>
        <w:rPr>
          <w:szCs w:val="24"/>
          <w:lang w:val="en-US"/>
        </w:rPr>
      </w:pPr>
    </w:p>
    <w:p w14:paraId="275A6E6F" w14:textId="77777777" w:rsidR="004A661A" w:rsidRDefault="004A661A" w:rsidP="00372D68">
      <w:pPr>
        <w:spacing w:after="0" w:line="259" w:lineRule="auto"/>
        <w:ind w:left="0" w:firstLine="0"/>
        <w:rPr>
          <w:szCs w:val="24"/>
          <w:u w:val="single"/>
          <w:lang w:val="en-US"/>
        </w:rPr>
      </w:pPr>
    </w:p>
    <w:p w14:paraId="36E74B95" w14:textId="43EBD52A" w:rsidR="00372D68" w:rsidRPr="00756639" w:rsidRDefault="00372D68" w:rsidP="00372D68">
      <w:pPr>
        <w:spacing w:after="0" w:line="259" w:lineRule="auto"/>
        <w:ind w:left="0" w:firstLine="0"/>
        <w:rPr>
          <w:szCs w:val="24"/>
          <w:u w:val="single"/>
          <w:lang w:val="en-US"/>
        </w:rPr>
      </w:pPr>
      <w:r w:rsidRPr="004A661A">
        <w:rPr>
          <w:b/>
          <w:bCs/>
          <w:szCs w:val="24"/>
          <w:u w:val="single"/>
          <w:lang w:val="en-US"/>
        </w:rPr>
        <w:t>General guiding question</w:t>
      </w:r>
      <w:r w:rsidR="004A661A">
        <w:rPr>
          <w:szCs w:val="24"/>
          <w:u w:val="single"/>
          <w:lang w:val="en-US"/>
        </w:rPr>
        <w:t xml:space="preserve"> (for both consultations)</w:t>
      </w:r>
      <w:r w:rsidRPr="00017563">
        <w:rPr>
          <w:szCs w:val="24"/>
          <w:u w:val="single"/>
          <w:lang w:val="en-US"/>
        </w:rPr>
        <w:t>:</w:t>
      </w:r>
    </w:p>
    <w:p w14:paraId="624B6FE3" w14:textId="78E43363" w:rsidR="00372D68" w:rsidRPr="008813D5" w:rsidRDefault="00372D68" w:rsidP="00372D68">
      <w:pPr>
        <w:spacing w:after="0" w:line="259" w:lineRule="auto"/>
        <w:ind w:left="0" w:firstLine="0"/>
        <w:jc w:val="both"/>
        <w:rPr>
          <w:i/>
          <w:iCs/>
          <w:szCs w:val="24"/>
          <w:lang w:val="en-US"/>
        </w:rPr>
      </w:pPr>
      <w:bookmarkStart w:id="0" w:name="_Hlk41329150"/>
      <w:r w:rsidRPr="008813D5">
        <w:rPr>
          <w:i/>
          <w:iCs/>
          <w:szCs w:val="24"/>
          <w:lang w:val="en-US"/>
        </w:rPr>
        <w:t>Does your delegation have any new or update textual proposal(s) to address the core issues of Article</w:t>
      </w:r>
      <w:r w:rsidR="008813D5">
        <w:rPr>
          <w:i/>
          <w:iCs/>
          <w:szCs w:val="24"/>
          <w:lang w:val="en-US"/>
        </w:rPr>
        <w:t>s</w:t>
      </w:r>
      <w:r w:rsidRPr="008813D5">
        <w:rPr>
          <w:i/>
          <w:iCs/>
          <w:szCs w:val="24"/>
          <w:lang w:val="en-US"/>
        </w:rPr>
        <w:t xml:space="preserve"> </w:t>
      </w:r>
      <w:r w:rsidR="008813D5">
        <w:rPr>
          <w:i/>
          <w:iCs/>
          <w:szCs w:val="24"/>
          <w:lang w:val="en-US"/>
        </w:rPr>
        <w:t>(1 to 5) or (6 to 12)</w:t>
      </w:r>
      <w:r w:rsidR="008F378A">
        <w:rPr>
          <w:i/>
          <w:iCs/>
          <w:szCs w:val="24"/>
          <w:lang w:val="en-US"/>
        </w:rPr>
        <w:t xml:space="preserve"> of the revised draft LBI</w:t>
      </w:r>
      <w:r w:rsidRPr="008813D5">
        <w:rPr>
          <w:i/>
          <w:iCs/>
          <w:szCs w:val="24"/>
          <w:lang w:val="en-US"/>
        </w:rPr>
        <w:t>, focus</w:t>
      </w:r>
      <w:r w:rsidR="00FA6AE8">
        <w:rPr>
          <w:i/>
          <w:iCs/>
          <w:szCs w:val="24"/>
          <w:lang w:val="en-US"/>
        </w:rPr>
        <w:t>ed</w:t>
      </w:r>
      <w:r w:rsidRPr="008813D5">
        <w:rPr>
          <w:i/>
          <w:iCs/>
          <w:szCs w:val="24"/>
          <w:lang w:val="en-US"/>
        </w:rPr>
        <w:t xml:space="preserve"> on solving </w:t>
      </w:r>
      <w:r w:rsidR="008813D5">
        <w:rPr>
          <w:i/>
          <w:iCs/>
          <w:szCs w:val="24"/>
          <w:lang w:val="en-US"/>
        </w:rPr>
        <w:t xml:space="preserve">what you consider </w:t>
      </w:r>
      <w:r w:rsidR="00FA6AE8">
        <w:rPr>
          <w:i/>
          <w:iCs/>
          <w:szCs w:val="24"/>
          <w:lang w:val="en-US"/>
        </w:rPr>
        <w:t>as</w:t>
      </w:r>
      <w:r w:rsidRPr="008813D5">
        <w:rPr>
          <w:i/>
          <w:iCs/>
          <w:szCs w:val="24"/>
          <w:lang w:val="en-US"/>
        </w:rPr>
        <w:t xml:space="preserve"> remaining gaps or divergences, particularly in the light of the comments and proposals presented by States and other relevant stakeholders in the 5</w:t>
      </w:r>
      <w:r w:rsidRPr="008813D5">
        <w:rPr>
          <w:i/>
          <w:iCs/>
          <w:szCs w:val="24"/>
          <w:vertAlign w:val="superscript"/>
          <w:lang w:val="en-US"/>
        </w:rPr>
        <w:t>th</w:t>
      </w:r>
      <w:r w:rsidRPr="008813D5">
        <w:rPr>
          <w:i/>
          <w:iCs/>
          <w:szCs w:val="24"/>
          <w:lang w:val="en-US"/>
        </w:rPr>
        <w:t xml:space="preserve"> Session</w:t>
      </w:r>
      <w:r w:rsidR="008F378A">
        <w:rPr>
          <w:i/>
          <w:iCs/>
          <w:szCs w:val="24"/>
          <w:lang w:val="en-US"/>
        </w:rPr>
        <w:t xml:space="preserve"> of the OEIGWG</w:t>
      </w:r>
      <w:r w:rsidRPr="008813D5">
        <w:rPr>
          <w:i/>
          <w:iCs/>
          <w:szCs w:val="24"/>
          <w:lang w:val="en-US"/>
        </w:rPr>
        <w:t xml:space="preserve"> or in their submissions, or can you suggest </w:t>
      </w:r>
      <w:r w:rsidR="008813D5">
        <w:rPr>
          <w:i/>
          <w:iCs/>
          <w:szCs w:val="24"/>
          <w:lang w:val="en-US"/>
        </w:rPr>
        <w:t>(an)</w:t>
      </w:r>
      <w:r w:rsidRPr="008813D5">
        <w:rPr>
          <w:i/>
          <w:iCs/>
          <w:szCs w:val="24"/>
          <w:lang w:val="en-US"/>
        </w:rPr>
        <w:t xml:space="preserve">other effective alternative(s) for approaching those issues in the </w:t>
      </w:r>
      <w:r w:rsidR="008F378A">
        <w:rPr>
          <w:i/>
          <w:iCs/>
          <w:szCs w:val="24"/>
          <w:lang w:val="en-US"/>
        </w:rPr>
        <w:t xml:space="preserve">second </w:t>
      </w:r>
      <w:r w:rsidRPr="008813D5">
        <w:rPr>
          <w:i/>
          <w:iCs/>
          <w:szCs w:val="24"/>
          <w:lang w:val="en-US"/>
        </w:rPr>
        <w:t>revised draft</w:t>
      </w:r>
      <w:r w:rsidR="008F378A">
        <w:rPr>
          <w:i/>
          <w:iCs/>
          <w:szCs w:val="24"/>
          <w:lang w:val="en-US"/>
        </w:rPr>
        <w:t xml:space="preserve"> LBI</w:t>
      </w:r>
      <w:r w:rsidRPr="008813D5">
        <w:rPr>
          <w:i/>
          <w:iCs/>
          <w:szCs w:val="24"/>
          <w:lang w:val="en-US"/>
        </w:rPr>
        <w:t xml:space="preserve">?  </w:t>
      </w:r>
    </w:p>
    <w:bookmarkEnd w:id="0"/>
    <w:p w14:paraId="050FC83C" w14:textId="77777777" w:rsidR="00237D72" w:rsidRPr="00372D68" w:rsidRDefault="008F378A" w:rsidP="008813D5">
      <w:pPr>
        <w:spacing w:after="0" w:line="259" w:lineRule="auto"/>
        <w:ind w:left="0" w:firstLine="0"/>
        <w:rPr>
          <w:lang w:val="en-US"/>
        </w:rPr>
      </w:pPr>
      <w:r w:rsidRPr="00372D68">
        <w:rPr>
          <w:sz w:val="22"/>
          <w:lang w:val="en-US"/>
        </w:rPr>
        <w:t xml:space="preserve"> </w:t>
      </w:r>
    </w:p>
    <w:sectPr w:rsidR="00237D72" w:rsidRPr="00372D68">
      <w:pgSz w:w="11906" w:h="16838"/>
      <w:pgMar w:top="1440" w:right="141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C4BF9"/>
    <w:multiLevelType w:val="hybridMultilevel"/>
    <w:tmpl w:val="930002A8"/>
    <w:lvl w:ilvl="0" w:tplc="62ACC37E">
      <w:start w:val="1"/>
      <w:numFmt w:val="bullet"/>
      <w:lvlText w:val="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88088">
      <w:start w:val="1"/>
      <w:numFmt w:val="bullet"/>
      <w:lvlText w:val="o"/>
      <w:lvlJc w:val="left"/>
      <w:pPr>
        <w:ind w:left="2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F49F2C">
      <w:start w:val="1"/>
      <w:numFmt w:val="bullet"/>
      <w:lvlText w:val="▪"/>
      <w:lvlJc w:val="left"/>
      <w:pPr>
        <w:ind w:left="3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2265C4">
      <w:start w:val="1"/>
      <w:numFmt w:val="bullet"/>
      <w:lvlText w:val="•"/>
      <w:lvlJc w:val="left"/>
      <w:pPr>
        <w:ind w:left="3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A6FF08">
      <w:start w:val="1"/>
      <w:numFmt w:val="bullet"/>
      <w:lvlText w:val="o"/>
      <w:lvlJc w:val="left"/>
      <w:pPr>
        <w:ind w:left="4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C35F8">
      <w:start w:val="1"/>
      <w:numFmt w:val="bullet"/>
      <w:lvlText w:val="▪"/>
      <w:lvlJc w:val="left"/>
      <w:pPr>
        <w:ind w:left="5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9C605C">
      <w:start w:val="1"/>
      <w:numFmt w:val="bullet"/>
      <w:lvlText w:val="•"/>
      <w:lvlJc w:val="left"/>
      <w:pPr>
        <w:ind w:left="6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E0C994">
      <w:start w:val="1"/>
      <w:numFmt w:val="bullet"/>
      <w:lvlText w:val="o"/>
      <w:lvlJc w:val="left"/>
      <w:pPr>
        <w:ind w:left="68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1E660A">
      <w:start w:val="1"/>
      <w:numFmt w:val="bullet"/>
      <w:lvlText w:val="▪"/>
      <w:lvlJc w:val="left"/>
      <w:pPr>
        <w:ind w:left="7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B05A2A"/>
    <w:multiLevelType w:val="hybridMultilevel"/>
    <w:tmpl w:val="ABDE05A4"/>
    <w:lvl w:ilvl="0" w:tplc="D4E02FD8">
      <w:start w:val="1"/>
      <w:numFmt w:val="bullet"/>
      <w:lvlText w:val=""/>
      <w:lvlJc w:val="left"/>
      <w:pPr>
        <w:ind w:left="2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6A5D4A">
      <w:start w:val="1"/>
      <w:numFmt w:val="bullet"/>
      <w:lvlText w:val="o"/>
      <w:lvlJc w:val="left"/>
      <w:pPr>
        <w:ind w:left="2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B24C48">
      <w:start w:val="1"/>
      <w:numFmt w:val="bullet"/>
      <w:lvlText w:val="▪"/>
      <w:lvlJc w:val="left"/>
      <w:pPr>
        <w:ind w:left="3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145F9A">
      <w:start w:val="1"/>
      <w:numFmt w:val="bullet"/>
      <w:lvlText w:val="•"/>
      <w:lvlJc w:val="left"/>
      <w:pPr>
        <w:ind w:left="3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0F118">
      <w:start w:val="1"/>
      <w:numFmt w:val="bullet"/>
      <w:lvlText w:val="o"/>
      <w:lvlJc w:val="left"/>
      <w:pPr>
        <w:ind w:left="4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8AD8E8">
      <w:start w:val="1"/>
      <w:numFmt w:val="bullet"/>
      <w:lvlText w:val="▪"/>
      <w:lvlJc w:val="left"/>
      <w:pPr>
        <w:ind w:left="5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D64BFA">
      <w:start w:val="1"/>
      <w:numFmt w:val="bullet"/>
      <w:lvlText w:val="•"/>
      <w:lvlJc w:val="left"/>
      <w:pPr>
        <w:ind w:left="6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EA3044">
      <w:start w:val="1"/>
      <w:numFmt w:val="bullet"/>
      <w:lvlText w:val="o"/>
      <w:lvlJc w:val="left"/>
      <w:pPr>
        <w:ind w:left="68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840594">
      <w:start w:val="1"/>
      <w:numFmt w:val="bullet"/>
      <w:lvlText w:val="▪"/>
      <w:lvlJc w:val="left"/>
      <w:pPr>
        <w:ind w:left="7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D72"/>
    <w:rsid w:val="00237D72"/>
    <w:rsid w:val="00372D68"/>
    <w:rsid w:val="004A661A"/>
    <w:rsid w:val="008813D5"/>
    <w:rsid w:val="008F378A"/>
    <w:rsid w:val="00FA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BAEC"/>
  <w15:docId w15:val="{B2A09DE4-0737-4708-B6C2-C956789C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718" w:hanging="10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661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61A"/>
    <w:rPr>
      <w:rFonts w:ascii="Segoe UI" w:eastAsia="Calibri" w:hAnsi="Segoe U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D468DD-9B66-44BA-8740-D5D1AA9C1747}"/>
</file>

<file path=customXml/itemProps2.xml><?xml version="1.0" encoding="utf-8"?>
<ds:datastoreItem xmlns:ds="http://schemas.openxmlformats.org/officeDocument/2006/customXml" ds:itemID="{CA7B9F8C-4E9B-4127-AB1F-0519B546DAB3}"/>
</file>

<file path=customXml/itemProps3.xml><?xml version="1.0" encoding="utf-8"?>
<ds:datastoreItem xmlns:ds="http://schemas.openxmlformats.org/officeDocument/2006/customXml" ds:itemID="{61000161-D50E-4241-837E-707E6808FB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schuldt</dc:creator>
  <cp:keywords/>
  <cp:lastModifiedBy>walter schuldt</cp:lastModifiedBy>
  <cp:revision>3</cp:revision>
  <dcterms:created xsi:type="dcterms:W3CDTF">2020-05-26T07:12:00Z</dcterms:created>
  <dcterms:modified xsi:type="dcterms:W3CDTF">2020-05-26T07:15:00Z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