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A056" w14:textId="77777777" w:rsidR="00E0526F" w:rsidRPr="00E36EB9" w:rsidRDefault="00FF646C" w:rsidP="00E0526F">
      <w:pPr>
        <w:jc w:val="center"/>
        <w:rPr>
          <w:rFonts w:ascii="Adobe Garamond Pro Bold" w:hAnsi="Adobe Garamond Pro Bold"/>
          <w:lang w:val="es-ES"/>
        </w:rPr>
      </w:pPr>
      <w:r w:rsidRPr="00245ABB">
        <w:rPr>
          <w:rFonts w:ascii="Adobe Garamond Pro Bold" w:hAnsi="Adobe Garamond Pro Bold"/>
          <w:lang w:val="en-CA"/>
        </w:rPr>
        <w:fldChar w:fldCharType="begin"/>
      </w:r>
      <w:r w:rsidR="00E0526F" w:rsidRPr="00E36EB9">
        <w:rPr>
          <w:rFonts w:ascii="Adobe Garamond Pro Bold" w:hAnsi="Adobe Garamond Pro Bold"/>
          <w:lang w:val="es-ES"/>
        </w:rPr>
        <w:instrText xml:space="preserve"> SEQ CHAPTER \h \r 1</w:instrText>
      </w:r>
      <w:r w:rsidRPr="00245ABB">
        <w:rPr>
          <w:rFonts w:ascii="Adobe Garamond Pro Bold" w:hAnsi="Adobe Garamond Pro Bold"/>
          <w:lang w:val="en-CA"/>
        </w:rPr>
        <w:fldChar w:fldCharType="end"/>
      </w:r>
      <w:r w:rsidR="00E0526F" w:rsidRPr="00686416">
        <w:rPr>
          <w:rFonts w:ascii="Adobe Garamond Pro Bold" w:hAnsi="Adobe Garamond Pro Bold"/>
          <w:smallCaps/>
          <w:sz w:val="48"/>
          <w:szCs w:val="48"/>
        </w:rPr>
        <w:t>Indian</w:t>
      </w:r>
      <w:r w:rsidR="00E0526F" w:rsidRPr="00E36EB9">
        <w:rPr>
          <w:rFonts w:ascii="Adobe Garamond Pro Bold" w:hAnsi="Adobe Garamond Pro Bold"/>
          <w:smallCaps/>
          <w:sz w:val="48"/>
          <w:szCs w:val="48"/>
          <w:lang w:val="es-ES"/>
        </w:rPr>
        <w:t xml:space="preserve"> Law Resource Center</w:t>
      </w:r>
    </w:p>
    <w:p w14:paraId="0DD5F908" w14:textId="77777777" w:rsidR="00E0526F" w:rsidRPr="00E36EB9" w:rsidRDefault="00E0526F" w:rsidP="00E0526F">
      <w:pPr>
        <w:jc w:val="center"/>
        <w:rPr>
          <w:rFonts w:ascii="Adobe Garamond Pro Bold" w:hAnsi="Adobe Garamond Pro Bold"/>
          <w:smallCaps/>
          <w:lang w:val="es-ES"/>
        </w:rPr>
      </w:pPr>
      <w:r w:rsidRPr="00E36EB9">
        <w:rPr>
          <w:rFonts w:ascii="Adobe Garamond Pro Bold" w:hAnsi="Adobe Garamond Pro Bold"/>
          <w:smallCaps/>
          <w:lang w:val="es-ES"/>
        </w:rPr>
        <w:t>Centro  de  Recursos  Jurídicos  para  los  Pueblos  Indígenas</w:t>
      </w:r>
    </w:p>
    <w:p w14:paraId="64BF700F" w14:textId="77777777" w:rsidR="00E0526F" w:rsidRPr="00E36EB9" w:rsidRDefault="00E0526F" w:rsidP="00E0526F">
      <w:pPr>
        <w:jc w:val="center"/>
        <w:rPr>
          <w:rFonts w:ascii="Adobe Garamond Pro" w:hAnsi="Adobe Garamond Pro"/>
          <w:sz w:val="20"/>
          <w:szCs w:val="20"/>
          <w:lang w:val="es-ES"/>
        </w:rPr>
      </w:pPr>
    </w:p>
    <w:p w14:paraId="1F3AEC95" w14:textId="77777777" w:rsidR="00E0526F" w:rsidRPr="00245ABB" w:rsidRDefault="00E0526F" w:rsidP="00E0526F">
      <w:pPr>
        <w:jc w:val="center"/>
        <w:rPr>
          <w:rFonts w:ascii="Adobe Garamond Pro" w:hAnsi="Adobe Garamond Pro"/>
          <w:sz w:val="20"/>
          <w:szCs w:val="20"/>
        </w:rPr>
        <w:sectPr w:rsidR="00E0526F" w:rsidRPr="00245ABB" w:rsidSect="00E0526F">
          <w:footerReference w:type="even" r:id="rId9"/>
          <w:footerReference w:type="default" r:id="rId10"/>
          <w:type w:val="continuous"/>
          <w:pgSz w:w="12240" w:h="15840"/>
          <w:pgMar w:top="1224" w:right="1800" w:bottom="1440" w:left="1800" w:header="0" w:footer="720" w:gutter="0"/>
          <w:cols w:space="720"/>
          <w:noEndnote/>
          <w:docGrid w:linePitch="326"/>
        </w:sectPr>
      </w:pPr>
      <w:r w:rsidRPr="00245ABB">
        <w:rPr>
          <w:rFonts w:ascii="Adobe Garamond Pro" w:hAnsi="Adobe Garamond Pro"/>
          <w:sz w:val="20"/>
          <w:szCs w:val="20"/>
        </w:rPr>
        <w:t>www.indianlaw.org</w:t>
      </w:r>
    </w:p>
    <w:p w14:paraId="3292D0A5" w14:textId="77777777" w:rsidR="00E0526F" w:rsidRPr="00245ABB" w:rsidRDefault="00E0526F" w:rsidP="00E0526F">
      <w:pPr>
        <w:widowControl/>
        <w:rPr>
          <w:rFonts w:ascii="Adobe Garamond Pro" w:hAnsi="Adobe Garamond Pro"/>
          <w:color w:val="000000"/>
          <w:sz w:val="14"/>
          <w:szCs w:val="16"/>
        </w:rPr>
      </w:pPr>
    </w:p>
    <w:p w14:paraId="455B0C7A" w14:textId="77777777" w:rsidR="00E0526F" w:rsidRPr="00245ABB" w:rsidRDefault="00E0526F" w:rsidP="00E0526F">
      <w:pPr>
        <w:widowControl/>
        <w:rPr>
          <w:rFonts w:ascii="Adobe Garamond Pro" w:hAnsi="Adobe Garamond Pro"/>
          <w:color w:val="000000"/>
          <w:sz w:val="14"/>
          <w:szCs w:val="16"/>
        </w:rPr>
        <w:sectPr w:rsidR="00E0526F" w:rsidRPr="00245ABB" w:rsidSect="006E567E">
          <w:type w:val="continuous"/>
          <w:pgSz w:w="12240" w:h="15840"/>
          <w:pgMar w:top="1440" w:right="1800" w:bottom="1440" w:left="1800" w:header="1440" w:footer="1440" w:gutter="0"/>
          <w:cols w:space="720"/>
          <w:noEndnote/>
        </w:sectPr>
      </w:pPr>
    </w:p>
    <w:p w14:paraId="50FA898C" w14:textId="77777777" w:rsidR="00E0526F" w:rsidRPr="009877E4" w:rsidRDefault="00E0526F" w:rsidP="00E0526F">
      <w:pPr>
        <w:widowControl/>
        <w:rPr>
          <w:rFonts w:ascii="Adobe Garamond Pro" w:hAnsi="Adobe Garamond Pro"/>
          <w:color w:val="000000"/>
          <w:sz w:val="14"/>
          <w:szCs w:val="16"/>
        </w:rPr>
      </w:pPr>
      <w:r>
        <w:rPr>
          <w:rFonts w:ascii="Adobe Garamond Pro" w:hAnsi="Adobe Garamond Pro"/>
          <w:noProof/>
          <w:color w:val="000000"/>
          <w:sz w:val="14"/>
          <w:szCs w:val="16"/>
        </w:rPr>
        <w:lastRenderedPageBreak/>
        <w:drawing>
          <wp:anchor distT="0" distB="0" distL="114300" distR="114300" simplePos="0" relativeHeight="251659264" behindDoc="0" locked="0" layoutInCell="1" allowOverlap="1" wp14:anchorId="36D04234" wp14:editId="6E88A4B9">
            <wp:simplePos x="0" y="0"/>
            <wp:positionH relativeFrom="column">
              <wp:posOffset>2971800</wp:posOffset>
            </wp:positionH>
            <wp:positionV relativeFrom="paragraph">
              <wp:posOffset>76200</wp:posOffset>
            </wp:positionV>
            <wp:extent cx="548640" cy="542925"/>
            <wp:effectExtent l="19050" t="0" r="3810" b="0"/>
            <wp:wrapNone/>
            <wp:docPr id="2" name="Picture 1" descr="Lawyer LH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yer LH Circle.png"/>
                    <pic:cNvPicPr/>
                  </pic:nvPicPr>
                  <pic:blipFill>
                    <a:blip r:embed="rId11" cstate="print"/>
                    <a:stretch>
                      <a:fillRect/>
                    </a:stretch>
                  </pic:blipFill>
                  <pic:spPr>
                    <a:xfrm>
                      <a:off x="0" y="0"/>
                      <a:ext cx="548640" cy="542925"/>
                    </a:xfrm>
                    <a:prstGeom prst="rect">
                      <a:avLst/>
                    </a:prstGeom>
                  </pic:spPr>
                </pic:pic>
              </a:graphicData>
            </a:graphic>
          </wp:anchor>
        </w:drawing>
      </w:r>
      <w:r w:rsidRPr="009877E4">
        <w:rPr>
          <w:rFonts w:ascii="Adobe Garamond Pro" w:hAnsi="Adobe Garamond Pro"/>
          <w:color w:val="000000"/>
          <w:sz w:val="14"/>
          <w:szCs w:val="16"/>
        </w:rPr>
        <w:t>MAIN OFFICE</w:t>
      </w:r>
    </w:p>
    <w:p w14:paraId="367BA8E9" w14:textId="77777777" w:rsidR="00E0526F" w:rsidRPr="009877E4" w:rsidRDefault="00E0526F" w:rsidP="00E0526F">
      <w:pPr>
        <w:widowControl/>
        <w:rPr>
          <w:rFonts w:ascii="Adobe Garamond Pro" w:hAnsi="Adobe Garamond Pro"/>
          <w:color w:val="000000"/>
          <w:sz w:val="14"/>
          <w:szCs w:val="14"/>
        </w:rPr>
      </w:pPr>
      <w:r w:rsidRPr="009877E4">
        <w:rPr>
          <w:rFonts w:ascii="Adobe Garamond Pro" w:hAnsi="Adobe Garamond Pro"/>
          <w:color w:val="000000"/>
          <w:sz w:val="14"/>
          <w:szCs w:val="14"/>
        </w:rPr>
        <w:t>602 North Ewing Street, Helena, Montana  59601</w:t>
      </w:r>
    </w:p>
    <w:p w14:paraId="410BBF72" w14:textId="77777777" w:rsidR="00E0526F" w:rsidRPr="009877E4" w:rsidRDefault="00E0526F" w:rsidP="00E0526F">
      <w:pPr>
        <w:widowControl/>
        <w:rPr>
          <w:rFonts w:ascii="Adobe Garamond Pro" w:hAnsi="Adobe Garamond Pro"/>
          <w:color w:val="000000"/>
          <w:sz w:val="14"/>
          <w:szCs w:val="14"/>
        </w:rPr>
      </w:pPr>
      <w:r w:rsidRPr="009877E4">
        <w:rPr>
          <w:rFonts w:ascii="Adobe Garamond Pro" w:hAnsi="Adobe Garamond Pro"/>
          <w:color w:val="000000"/>
          <w:sz w:val="14"/>
          <w:szCs w:val="14"/>
        </w:rPr>
        <w:t>(406) 449-2006</w:t>
      </w:r>
      <w:r w:rsidRPr="00080377">
        <w:rPr>
          <w:rFonts w:ascii="Adobe Garamond Pro" w:hAnsi="Adobe Garamond Pro"/>
          <w:color w:val="000000"/>
          <w:sz w:val="36"/>
          <w:szCs w:val="36"/>
        </w:rPr>
        <w:t xml:space="preserve"> </w:t>
      </w:r>
      <w:r>
        <w:rPr>
          <w:rFonts w:ascii="Adobe Garamond Pro" w:hAnsi="Adobe Garamond Pro"/>
          <w:color w:val="000000"/>
          <w:sz w:val="14"/>
          <w:szCs w:val="14"/>
        </w:rPr>
        <w:t>|</w:t>
      </w:r>
      <w:r w:rsidRPr="00080377">
        <w:rPr>
          <w:rFonts w:ascii="Adobe Garamond Pro" w:hAnsi="Adobe Garamond Pro"/>
          <w:color w:val="000000"/>
          <w:sz w:val="36"/>
          <w:szCs w:val="36"/>
        </w:rPr>
        <w:t xml:space="preserve"> </w:t>
      </w:r>
      <w:r w:rsidRPr="009877E4">
        <w:rPr>
          <w:rFonts w:ascii="Adobe Garamond Pro" w:hAnsi="Adobe Garamond Pro"/>
          <w:color w:val="000000"/>
          <w:sz w:val="14"/>
          <w:szCs w:val="14"/>
        </w:rPr>
        <w:t>mt@indianlaw.org</w:t>
      </w:r>
    </w:p>
    <w:p w14:paraId="7ABC5938" w14:textId="77777777" w:rsidR="00E0526F" w:rsidRPr="009877E4" w:rsidRDefault="00E0526F" w:rsidP="00E0526F">
      <w:pPr>
        <w:rPr>
          <w:rFonts w:ascii="Adobe Garamond Pro" w:hAnsi="Adobe Garamond Pro"/>
          <w:sz w:val="14"/>
          <w:szCs w:val="14"/>
        </w:rPr>
      </w:pPr>
    </w:p>
    <w:p w14:paraId="26B7AD42" w14:textId="77777777" w:rsidR="00E0526F" w:rsidRPr="00636A00" w:rsidRDefault="00E0526F" w:rsidP="00E0526F">
      <w:pPr>
        <w:rPr>
          <w:rFonts w:ascii="Adobe Garamond Pro" w:hAnsi="Adobe Garamond Pro"/>
          <w:sz w:val="12"/>
          <w:szCs w:val="14"/>
        </w:rPr>
      </w:pPr>
    </w:p>
    <w:p w14:paraId="6F7E96D0" w14:textId="77777777" w:rsidR="00E0526F" w:rsidRPr="009877E4" w:rsidRDefault="00E0526F" w:rsidP="00E0526F">
      <w:pPr>
        <w:jc w:val="right"/>
        <w:rPr>
          <w:rFonts w:ascii="Adobe Garamond Pro" w:hAnsi="Adobe Garamond Pro"/>
          <w:sz w:val="14"/>
          <w:szCs w:val="16"/>
        </w:rPr>
      </w:pPr>
      <w:r w:rsidRPr="009877E4">
        <w:rPr>
          <w:rFonts w:ascii="Adobe Garamond Pro" w:hAnsi="Adobe Garamond Pro"/>
          <w:sz w:val="16"/>
          <w:szCs w:val="16"/>
        </w:rPr>
        <w:br w:type="column"/>
      </w:r>
      <w:r w:rsidRPr="009877E4">
        <w:rPr>
          <w:rFonts w:ascii="Adobe Garamond Pro" w:hAnsi="Adobe Garamond Pro"/>
          <w:smallCaps/>
          <w:sz w:val="14"/>
          <w:szCs w:val="16"/>
        </w:rPr>
        <w:lastRenderedPageBreak/>
        <w:t>WASHINGTON OFFICE</w:t>
      </w:r>
    </w:p>
    <w:p w14:paraId="666CA198" w14:textId="77777777" w:rsidR="00E0526F" w:rsidRPr="009877E4" w:rsidRDefault="00E0526F" w:rsidP="00E0526F">
      <w:pPr>
        <w:jc w:val="right"/>
        <w:rPr>
          <w:rFonts w:ascii="Adobe Garamond Pro" w:hAnsi="Adobe Garamond Pro"/>
          <w:sz w:val="14"/>
          <w:szCs w:val="14"/>
        </w:rPr>
      </w:pPr>
      <w:r w:rsidRPr="009877E4">
        <w:rPr>
          <w:rFonts w:ascii="Adobe Garamond Pro" w:hAnsi="Adobe Garamond Pro"/>
          <w:sz w:val="14"/>
          <w:szCs w:val="14"/>
        </w:rPr>
        <w:t xml:space="preserve">601 E </w:t>
      </w:r>
      <w:proofErr w:type="gramStart"/>
      <w:r w:rsidRPr="009877E4">
        <w:rPr>
          <w:rFonts w:ascii="Adobe Garamond Pro" w:hAnsi="Adobe Garamond Pro"/>
          <w:sz w:val="14"/>
          <w:szCs w:val="14"/>
        </w:rPr>
        <w:t>Street</w:t>
      </w:r>
      <w:proofErr w:type="gramEnd"/>
      <w:r w:rsidRPr="009877E4">
        <w:rPr>
          <w:rFonts w:ascii="Adobe Garamond Pro" w:hAnsi="Adobe Garamond Pro"/>
          <w:sz w:val="14"/>
          <w:szCs w:val="14"/>
        </w:rPr>
        <w:t>, S.E., Washington, D.C. 20003</w:t>
      </w:r>
    </w:p>
    <w:p w14:paraId="7080441E" w14:textId="77777777" w:rsidR="00E0526F" w:rsidRPr="009877E4" w:rsidRDefault="00E0526F" w:rsidP="00E0526F">
      <w:pPr>
        <w:jc w:val="right"/>
        <w:rPr>
          <w:rFonts w:ascii="Adobe Garamond Pro" w:hAnsi="Adobe Garamond Pro"/>
          <w:sz w:val="14"/>
          <w:szCs w:val="14"/>
        </w:rPr>
      </w:pPr>
      <w:r w:rsidRPr="009877E4">
        <w:rPr>
          <w:rFonts w:ascii="Adobe Garamond Pro" w:hAnsi="Adobe Garamond Pro"/>
          <w:sz w:val="14"/>
          <w:szCs w:val="14"/>
        </w:rPr>
        <w:t>(202) 547-2800</w:t>
      </w:r>
      <w:r w:rsidRPr="00080377">
        <w:rPr>
          <w:rFonts w:ascii="Adobe Garamond Pro" w:hAnsi="Adobe Garamond Pro"/>
          <w:color w:val="000000"/>
          <w:sz w:val="36"/>
          <w:szCs w:val="36"/>
        </w:rPr>
        <w:t xml:space="preserve"> </w:t>
      </w:r>
      <w:r>
        <w:rPr>
          <w:rFonts w:ascii="Adobe Garamond Pro" w:hAnsi="Adobe Garamond Pro"/>
          <w:sz w:val="14"/>
          <w:szCs w:val="14"/>
        </w:rPr>
        <w:t>|</w:t>
      </w:r>
      <w:r w:rsidRPr="00080377">
        <w:rPr>
          <w:rFonts w:ascii="Adobe Garamond Pro" w:hAnsi="Adobe Garamond Pro"/>
          <w:color w:val="000000"/>
          <w:sz w:val="36"/>
          <w:szCs w:val="36"/>
        </w:rPr>
        <w:t xml:space="preserve"> </w:t>
      </w:r>
      <w:r w:rsidRPr="009877E4">
        <w:rPr>
          <w:rFonts w:ascii="Adobe Garamond Pro" w:hAnsi="Adobe Garamond Pro"/>
          <w:sz w:val="14"/>
          <w:szCs w:val="14"/>
        </w:rPr>
        <w:t>dcoffice@indianlaw.org</w:t>
      </w:r>
    </w:p>
    <w:p w14:paraId="03C2356D" w14:textId="77777777" w:rsidR="00E0526F" w:rsidRPr="009877E4" w:rsidRDefault="00E0526F" w:rsidP="00E0526F">
      <w:pPr>
        <w:jc w:val="right"/>
        <w:rPr>
          <w:rFonts w:ascii="Adobe Garamond Pro" w:hAnsi="Adobe Garamond Pro"/>
          <w:sz w:val="14"/>
          <w:szCs w:val="14"/>
        </w:rPr>
      </w:pPr>
    </w:p>
    <w:p w14:paraId="4C885A42" w14:textId="77777777" w:rsidR="00E0526F" w:rsidRDefault="00E0526F" w:rsidP="00E0526F">
      <w:pPr>
        <w:jc w:val="right"/>
        <w:rPr>
          <w:rFonts w:ascii="Adobe Garamond Pro" w:hAnsi="Adobe Garamond Pro"/>
          <w:smallCaps/>
          <w:sz w:val="14"/>
          <w:szCs w:val="14"/>
        </w:rPr>
      </w:pPr>
    </w:p>
    <w:p w14:paraId="25FB70A4" w14:textId="77777777" w:rsidR="00E0526F" w:rsidRDefault="00E0526F" w:rsidP="00E0526F">
      <w:pPr>
        <w:jc w:val="center"/>
        <w:rPr>
          <w:rFonts w:ascii="Adobe Garamond Pro" w:hAnsi="Adobe Garamond Pro"/>
          <w:smallCaps/>
          <w:sz w:val="14"/>
          <w:szCs w:val="14"/>
        </w:rPr>
      </w:pPr>
    </w:p>
    <w:p w14:paraId="3A1D152D" w14:textId="77777777" w:rsidR="00E0526F" w:rsidRPr="00A6264E" w:rsidRDefault="00E0526F" w:rsidP="00E0526F">
      <w:pPr>
        <w:jc w:val="center"/>
        <w:rPr>
          <w:rFonts w:ascii="Adobe Garamond Pro" w:hAnsi="Adobe Garamond Pro"/>
          <w:smallCaps/>
          <w:sz w:val="14"/>
          <w:szCs w:val="14"/>
        </w:rPr>
        <w:sectPr w:rsidR="00E0526F" w:rsidRPr="00A6264E" w:rsidSect="008F2959">
          <w:type w:val="continuous"/>
          <w:pgSz w:w="12240" w:h="15840"/>
          <w:pgMar w:top="1440" w:right="1440" w:bottom="1440" w:left="1440" w:header="1440" w:footer="1440" w:gutter="0"/>
          <w:cols w:num="2" w:space="720"/>
          <w:noEndnote/>
          <w:docGrid w:linePitch="326"/>
        </w:sectPr>
      </w:pPr>
    </w:p>
    <w:p w14:paraId="08C231C6" w14:textId="77777777" w:rsidR="00DC0FB6" w:rsidRDefault="00DC0FB6" w:rsidP="00E0526F">
      <w:pPr>
        <w:widowControl/>
        <w:rPr>
          <w:b/>
          <w:bCs/>
          <w:sz w:val="28"/>
          <w:szCs w:val="28"/>
        </w:rPr>
      </w:pPr>
    </w:p>
    <w:p w14:paraId="1CFC24EA" w14:textId="77777777" w:rsidR="00DC0FB6" w:rsidRPr="008F0A6C" w:rsidRDefault="00DC0FB6" w:rsidP="00CC5CD4">
      <w:pPr>
        <w:widowControl/>
        <w:rPr>
          <w:bCs/>
          <w:sz w:val="28"/>
          <w:szCs w:val="28"/>
        </w:rPr>
      </w:pPr>
    </w:p>
    <w:p w14:paraId="1020F064" w14:textId="77777777" w:rsidR="00A84F83" w:rsidRPr="00A84F83" w:rsidRDefault="00E0526F" w:rsidP="00A84F83">
      <w:pPr>
        <w:widowControl/>
        <w:jc w:val="center"/>
        <w:rPr>
          <w:b/>
          <w:bCs/>
          <w:sz w:val="28"/>
          <w:szCs w:val="28"/>
        </w:rPr>
      </w:pPr>
      <w:r>
        <w:rPr>
          <w:b/>
          <w:bCs/>
          <w:sz w:val="28"/>
          <w:szCs w:val="28"/>
        </w:rPr>
        <w:t xml:space="preserve">Submission to </w:t>
      </w:r>
      <w:r w:rsidR="00A84F83" w:rsidRPr="00A84F83">
        <w:rPr>
          <w:b/>
          <w:bCs/>
          <w:sz w:val="28"/>
          <w:szCs w:val="28"/>
        </w:rPr>
        <w:t xml:space="preserve">the 1st Session of the </w:t>
      </w:r>
      <w:r w:rsidR="00A84F83" w:rsidRPr="00A84F83">
        <w:rPr>
          <w:b/>
          <w:sz w:val="28"/>
          <w:szCs w:val="28"/>
        </w:rPr>
        <w:t>Open-ended Intergovernmental Working Group on Transnational Corporations and Other Business Enterprises with Respect to Human Rights</w:t>
      </w:r>
    </w:p>
    <w:p w14:paraId="5AB2D576" w14:textId="77777777" w:rsidR="00C74412" w:rsidRPr="00D47217" w:rsidRDefault="00C74412" w:rsidP="006F2EE7">
      <w:pPr>
        <w:jc w:val="center"/>
        <w:rPr>
          <w:lang w:val="en-CA"/>
        </w:rPr>
      </w:pPr>
    </w:p>
    <w:p w14:paraId="19B4055B" w14:textId="77777777" w:rsidR="006F2EE7" w:rsidRPr="00D47217" w:rsidRDefault="00A84F83" w:rsidP="00E0526F">
      <w:pPr>
        <w:jc w:val="center"/>
        <w:rPr>
          <w:lang w:val="en-CA"/>
        </w:rPr>
      </w:pPr>
      <w:r w:rsidRPr="00D47217">
        <w:rPr>
          <w:lang w:val="en-CA"/>
        </w:rPr>
        <w:t>July</w:t>
      </w:r>
      <w:r w:rsidR="006F2EE7" w:rsidRPr="00D47217">
        <w:rPr>
          <w:lang w:val="en-CA"/>
        </w:rPr>
        <w:t xml:space="preserve"> 2015</w:t>
      </w:r>
    </w:p>
    <w:p w14:paraId="2A3E46B5" w14:textId="77777777" w:rsidR="00E0526F" w:rsidRDefault="00E0526F" w:rsidP="00E0526F">
      <w:pPr>
        <w:jc w:val="center"/>
        <w:rPr>
          <w:lang w:val="en-CA"/>
        </w:rPr>
      </w:pPr>
    </w:p>
    <w:p w14:paraId="322B4EA5" w14:textId="77777777" w:rsidR="00431063" w:rsidRPr="00D47217" w:rsidRDefault="00431063" w:rsidP="00E0526F">
      <w:pPr>
        <w:jc w:val="center"/>
        <w:rPr>
          <w:lang w:val="en-CA"/>
        </w:rPr>
      </w:pPr>
    </w:p>
    <w:p w14:paraId="4274CEF5" w14:textId="77777777" w:rsidR="00460270" w:rsidRPr="00DE74E3" w:rsidRDefault="006F2EE7" w:rsidP="0020190B">
      <w:pPr>
        <w:ind w:firstLine="720"/>
        <w:rPr>
          <w:sz w:val="20"/>
          <w:szCs w:val="20"/>
        </w:rPr>
      </w:pPr>
      <w:r w:rsidRPr="00DE74E3">
        <w:rPr>
          <w:sz w:val="20"/>
          <w:szCs w:val="20"/>
        </w:rPr>
        <w:t xml:space="preserve">The Indian Law Resource Center </w:t>
      </w:r>
      <w:r w:rsidR="00A9014E" w:rsidRPr="00DE74E3">
        <w:rPr>
          <w:sz w:val="20"/>
          <w:szCs w:val="20"/>
        </w:rPr>
        <w:t xml:space="preserve">(Center) </w:t>
      </w:r>
      <w:r w:rsidR="004F4E79" w:rsidRPr="00DE74E3">
        <w:rPr>
          <w:sz w:val="20"/>
          <w:szCs w:val="20"/>
        </w:rPr>
        <w:t xml:space="preserve">welcomes the opportunity to </w:t>
      </w:r>
      <w:r w:rsidR="00B36A79" w:rsidRPr="00DE74E3">
        <w:rPr>
          <w:sz w:val="20"/>
          <w:szCs w:val="20"/>
        </w:rPr>
        <w:t>offer this submission</w:t>
      </w:r>
      <w:r w:rsidR="004F4E79" w:rsidRPr="00DE74E3">
        <w:rPr>
          <w:sz w:val="20"/>
          <w:szCs w:val="20"/>
        </w:rPr>
        <w:t xml:space="preserve"> to </w:t>
      </w:r>
      <w:r w:rsidRPr="00DE74E3">
        <w:rPr>
          <w:sz w:val="20"/>
          <w:szCs w:val="20"/>
        </w:rPr>
        <w:t xml:space="preserve">the </w:t>
      </w:r>
      <w:r w:rsidR="004F4E79" w:rsidRPr="00DE74E3">
        <w:rPr>
          <w:sz w:val="20"/>
          <w:szCs w:val="20"/>
        </w:rPr>
        <w:t xml:space="preserve">Open-ended Intergovernmental </w:t>
      </w:r>
      <w:r w:rsidR="00460270" w:rsidRPr="00DE74E3">
        <w:rPr>
          <w:sz w:val="20"/>
          <w:szCs w:val="20"/>
        </w:rPr>
        <w:t xml:space="preserve">Working Group </w:t>
      </w:r>
      <w:r w:rsidR="004F4E79" w:rsidRPr="00DE74E3">
        <w:rPr>
          <w:sz w:val="20"/>
          <w:szCs w:val="20"/>
        </w:rPr>
        <w:t xml:space="preserve">on Transnational Corporations and Other Business Enterprises with Respect to Human Rights (Working Group). </w:t>
      </w:r>
      <w:r w:rsidR="00460270" w:rsidRPr="00DE74E3">
        <w:rPr>
          <w:sz w:val="20"/>
          <w:szCs w:val="20"/>
        </w:rPr>
        <w:t>In June 2014, the Human Rights Council decided to establish this Working Group and</w:t>
      </w:r>
      <w:r w:rsidR="00087B5F" w:rsidRPr="00DE74E3">
        <w:rPr>
          <w:sz w:val="20"/>
          <w:szCs w:val="20"/>
        </w:rPr>
        <w:t xml:space="preserve"> decided</w:t>
      </w:r>
      <w:r w:rsidR="00460270" w:rsidRPr="00DE74E3">
        <w:rPr>
          <w:sz w:val="20"/>
          <w:szCs w:val="20"/>
        </w:rPr>
        <w:t xml:space="preserve"> that its first two sessions would be dedicated to “conducting constructive deliberations on the content, scope, nature and form of the future </w:t>
      </w:r>
      <w:r w:rsidR="00DC0FB6" w:rsidRPr="00DE74E3">
        <w:rPr>
          <w:sz w:val="20"/>
          <w:szCs w:val="20"/>
        </w:rPr>
        <w:t xml:space="preserve">[legally binding] </w:t>
      </w:r>
      <w:r w:rsidR="00460270" w:rsidRPr="00DE74E3">
        <w:rPr>
          <w:sz w:val="20"/>
          <w:szCs w:val="20"/>
        </w:rPr>
        <w:t>international instrument.”</w:t>
      </w:r>
      <w:r w:rsidR="00EF1A15" w:rsidRPr="00DE74E3">
        <w:rPr>
          <w:rStyle w:val="FootnoteReference"/>
          <w:sz w:val="20"/>
          <w:szCs w:val="20"/>
          <w:vertAlign w:val="superscript"/>
        </w:rPr>
        <w:footnoteReference w:id="1"/>
      </w:r>
    </w:p>
    <w:p w14:paraId="16345DA1" w14:textId="77777777" w:rsidR="00460270" w:rsidRPr="00DE74E3" w:rsidRDefault="00460270" w:rsidP="00A84F83">
      <w:pPr>
        <w:rPr>
          <w:sz w:val="20"/>
          <w:szCs w:val="20"/>
        </w:rPr>
      </w:pPr>
    </w:p>
    <w:p w14:paraId="71F8AE0C" w14:textId="77777777" w:rsidR="006A1283" w:rsidRPr="00DE74E3" w:rsidRDefault="00460270" w:rsidP="008472D4">
      <w:pPr>
        <w:ind w:firstLine="720"/>
        <w:rPr>
          <w:rStyle w:val="apple-style-span"/>
          <w:sz w:val="20"/>
          <w:szCs w:val="20"/>
        </w:rPr>
      </w:pPr>
      <w:r w:rsidRPr="00DE74E3">
        <w:rPr>
          <w:rStyle w:val="apple-style-span"/>
          <w:sz w:val="20"/>
          <w:szCs w:val="20"/>
        </w:rPr>
        <w:t xml:space="preserve">The </w:t>
      </w:r>
      <w:r w:rsidR="00A9014E" w:rsidRPr="00DE74E3">
        <w:rPr>
          <w:rStyle w:val="apple-style-span"/>
          <w:sz w:val="20"/>
          <w:szCs w:val="20"/>
        </w:rPr>
        <w:t>Center</w:t>
      </w:r>
      <w:r w:rsidRPr="00DE74E3">
        <w:rPr>
          <w:sz w:val="20"/>
          <w:szCs w:val="20"/>
        </w:rPr>
        <w:t xml:space="preserve"> </w:t>
      </w:r>
      <w:r w:rsidRPr="00DE74E3">
        <w:rPr>
          <w:rStyle w:val="apple-style-span"/>
          <w:sz w:val="20"/>
          <w:szCs w:val="20"/>
        </w:rPr>
        <w:t>is a non-proﬁt law and advocacy organization established and directed by American Indians</w:t>
      </w:r>
      <w:r w:rsidR="008472D4" w:rsidRPr="00DE74E3">
        <w:rPr>
          <w:rStyle w:val="apple-style-span"/>
          <w:sz w:val="20"/>
          <w:szCs w:val="20"/>
        </w:rPr>
        <w:t xml:space="preserve"> and is a Non-Governmental Organization in consultative status with the United Nations Economic and Social Council. </w:t>
      </w:r>
      <w:r w:rsidRPr="00DE74E3">
        <w:rPr>
          <w:rStyle w:val="apple-style-span"/>
          <w:sz w:val="20"/>
          <w:szCs w:val="20"/>
        </w:rPr>
        <w:t xml:space="preserve">The Center seeks to overcome the grave problems that threaten Native peoples by advancing the rule of law, by establishing </w:t>
      </w:r>
      <w:r w:rsidR="00F959A9" w:rsidRPr="00DE74E3">
        <w:rPr>
          <w:rStyle w:val="apple-style-span"/>
          <w:sz w:val="20"/>
          <w:szCs w:val="20"/>
        </w:rPr>
        <w:t xml:space="preserve">national and international </w:t>
      </w:r>
      <w:r w:rsidRPr="00DE74E3">
        <w:rPr>
          <w:rStyle w:val="apple-style-span"/>
          <w:sz w:val="20"/>
          <w:szCs w:val="20"/>
        </w:rPr>
        <w:t xml:space="preserve">legal standards that preserve their human rights and dignity, and by challenging the governments of the world to accord justice and equality before the law to all indigenous peoples of the Americas. </w:t>
      </w:r>
      <w:r w:rsidR="00A9014E" w:rsidRPr="00DE74E3">
        <w:rPr>
          <w:rStyle w:val="apple-style-span"/>
          <w:sz w:val="20"/>
          <w:szCs w:val="20"/>
        </w:rPr>
        <w:t>Since its foundation in 1978</w:t>
      </w:r>
      <w:r w:rsidRPr="00DE74E3">
        <w:rPr>
          <w:rStyle w:val="apple-style-span"/>
          <w:sz w:val="20"/>
          <w:szCs w:val="20"/>
        </w:rPr>
        <w:t xml:space="preserve">, </w:t>
      </w:r>
      <w:r w:rsidR="00B478A9" w:rsidRPr="00DE74E3">
        <w:rPr>
          <w:rStyle w:val="apple-style-span"/>
          <w:sz w:val="20"/>
          <w:szCs w:val="20"/>
        </w:rPr>
        <w:t xml:space="preserve">the Center has engaged in </w:t>
      </w:r>
      <w:r w:rsidR="00A9014E" w:rsidRPr="00DE74E3">
        <w:rPr>
          <w:rStyle w:val="apple-style-span"/>
          <w:sz w:val="20"/>
          <w:szCs w:val="20"/>
        </w:rPr>
        <w:t xml:space="preserve">the development of </w:t>
      </w:r>
      <w:r w:rsidR="00B478A9" w:rsidRPr="00DE74E3">
        <w:rPr>
          <w:rStyle w:val="apple-style-span"/>
          <w:sz w:val="20"/>
          <w:szCs w:val="20"/>
        </w:rPr>
        <w:t>polic</w:t>
      </w:r>
      <w:r w:rsidR="00A9014E" w:rsidRPr="00DE74E3">
        <w:rPr>
          <w:rStyle w:val="apple-style-span"/>
          <w:sz w:val="20"/>
          <w:szCs w:val="20"/>
        </w:rPr>
        <w:t>ies and legal standards relating to</w:t>
      </w:r>
      <w:r w:rsidR="00B478A9" w:rsidRPr="00DE74E3">
        <w:rPr>
          <w:rStyle w:val="apple-style-span"/>
          <w:sz w:val="20"/>
          <w:szCs w:val="20"/>
        </w:rPr>
        <w:t xml:space="preserve"> indigenous </w:t>
      </w:r>
      <w:r w:rsidR="00E0526F" w:rsidRPr="00DE74E3">
        <w:rPr>
          <w:rStyle w:val="apple-style-span"/>
          <w:sz w:val="20"/>
          <w:szCs w:val="20"/>
        </w:rPr>
        <w:t>issues</w:t>
      </w:r>
      <w:r w:rsidR="00A9014E" w:rsidRPr="00DE74E3">
        <w:rPr>
          <w:rStyle w:val="apple-style-span"/>
          <w:sz w:val="20"/>
          <w:szCs w:val="20"/>
        </w:rPr>
        <w:t xml:space="preserve"> </w:t>
      </w:r>
      <w:r w:rsidR="00B478A9" w:rsidRPr="00DE74E3">
        <w:rPr>
          <w:rStyle w:val="apple-style-span"/>
          <w:sz w:val="20"/>
          <w:szCs w:val="20"/>
        </w:rPr>
        <w:t xml:space="preserve">and international financial institutions </w:t>
      </w:r>
      <w:r w:rsidR="00A9014E" w:rsidRPr="00DE74E3">
        <w:rPr>
          <w:rStyle w:val="apple-style-span"/>
          <w:sz w:val="20"/>
          <w:szCs w:val="20"/>
        </w:rPr>
        <w:t>in</w:t>
      </w:r>
      <w:r w:rsidR="00B478A9" w:rsidRPr="00DE74E3">
        <w:rPr>
          <w:rStyle w:val="apple-style-span"/>
          <w:sz w:val="20"/>
          <w:szCs w:val="20"/>
        </w:rPr>
        <w:t xml:space="preserve"> major intergovernmental organizations, </w:t>
      </w:r>
      <w:r w:rsidR="00E0526F" w:rsidRPr="00DE74E3">
        <w:rPr>
          <w:rStyle w:val="apple-style-span"/>
          <w:sz w:val="20"/>
          <w:szCs w:val="20"/>
        </w:rPr>
        <w:t xml:space="preserve">including </w:t>
      </w:r>
      <w:r w:rsidR="00B478A9" w:rsidRPr="00DE74E3">
        <w:rPr>
          <w:rStyle w:val="apple-style-span"/>
          <w:sz w:val="20"/>
          <w:szCs w:val="20"/>
        </w:rPr>
        <w:t xml:space="preserve">the United Nations, </w:t>
      </w:r>
      <w:r w:rsidR="00DC0FB6" w:rsidRPr="00DE74E3">
        <w:rPr>
          <w:rStyle w:val="apple-style-span"/>
          <w:sz w:val="20"/>
          <w:szCs w:val="20"/>
        </w:rPr>
        <w:t xml:space="preserve">the </w:t>
      </w:r>
      <w:r w:rsidR="00B478A9" w:rsidRPr="00DE74E3">
        <w:rPr>
          <w:rStyle w:val="apple-style-span"/>
          <w:sz w:val="20"/>
          <w:szCs w:val="20"/>
        </w:rPr>
        <w:t xml:space="preserve">Organization of American States and </w:t>
      </w:r>
      <w:r w:rsidR="00DC0FB6" w:rsidRPr="00DE74E3">
        <w:rPr>
          <w:rStyle w:val="apple-style-span"/>
          <w:sz w:val="20"/>
          <w:szCs w:val="20"/>
        </w:rPr>
        <w:t xml:space="preserve">the </w:t>
      </w:r>
      <w:r w:rsidR="00B478A9" w:rsidRPr="00DE74E3">
        <w:rPr>
          <w:rStyle w:val="apple-style-span"/>
          <w:sz w:val="20"/>
          <w:szCs w:val="20"/>
        </w:rPr>
        <w:t>World Bank Group.</w:t>
      </w:r>
    </w:p>
    <w:p w14:paraId="6C39E3EA" w14:textId="77777777" w:rsidR="0020190B" w:rsidRPr="00DE74E3" w:rsidRDefault="0020190B" w:rsidP="0020190B">
      <w:pPr>
        <w:ind w:firstLine="720"/>
        <w:rPr>
          <w:rStyle w:val="apple-style-span"/>
          <w:sz w:val="20"/>
          <w:szCs w:val="20"/>
        </w:rPr>
      </w:pPr>
    </w:p>
    <w:p w14:paraId="03E97508" w14:textId="77777777" w:rsidR="005C653E" w:rsidRPr="00DE74E3" w:rsidRDefault="00614894" w:rsidP="005C653E">
      <w:pPr>
        <w:ind w:firstLine="720"/>
        <w:rPr>
          <w:sz w:val="20"/>
          <w:szCs w:val="20"/>
        </w:rPr>
      </w:pPr>
      <w:r w:rsidRPr="00DE74E3">
        <w:rPr>
          <w:sz w:val="20"/>
          <w:szCs w:val="20"/>
        </w:rPr>
        <w:t>This</w:t>
      </w:r>
      <w:r w:rsidR="0020190B" w:rsidRPr="00DE74E3">
        <w:rPr>
          <w:sz w:val="20"/>
          <w:szCs w:val="20"/>
        </w:rPr>
        <w:t xml:space="preserve"> submission </w:t>
      </w:r>
      <w:r w:rsidRPr="00DE74E3">
        <w:rPr>
          <w:sz w:val="20"/>
          <w:szCs w:val="20"/>
        </w:rPr>
        <w:t>offers</w:t>
      </w:r>
      <w:r w:rsidR="0020190B" w:rsidRPr="00DE74E3">
        <w:rPr>
          <w:sz w:val="20"/>
          <w:szCs w:val="20"/>
        </w:rPr>
        <w:t xml:space="preserve"> our initial </w:t>
      </w:r>
      <w:r w:rsidR="00B36A79" w:rsidRPr="00DE74E3">
        <w:rPr>
          <w:sz w:val="20"/>
          <w:szCs w:val="20"/>
        </w:rPr>
        <w:t xml:space="preserve">recommendations about </w:t>
      </w:r>
      <w:r w:rsidR="00CB3E39" w:rsidRPr="00DE74E3">
        <w:rPr>
          <w:sz w:val="20"/>
          <w:szCs w:val="20"/>
        </w:rPr>
        <w:t>the future</w:t>
      </w:r>
      <w:r w:rsidR="0020190B" w:rsidRPr="00DE74E3">
        <w:rPr>
          <w:sz w:val="20"/>
          <w:szCs w:val="20"/>
        </w:rPr>
        <w:t xml:space="preserve"> instrument’</w:t>
      </w:r>
      <w:r w:rsidR="00E73190" w:rsidRPr="00DE74E3">
        <w:rPr>
          <w:sz w:val="20"/>
          <w:szCs w:val="20"/>
        </w:rPr>
        <w:t xml:space="preserve">s </w:t>
      </w:r>
      <w:r w:rsidR="0020190B" w:rsidRPr="00DE74E3">
        <w:rPr>
          <w:sz w:val="20"/>
          <w:szCs w:val="20"/>
        </w:rPr>
        <w:t xml:space="preserve">scope and </w:t>
      </w:r>
      <w:r w:rsidR="00B36A79" w:rsidRPr="00DE74E3">
        <w:rPr>
          <w:sz w:val="20"/>
          <w:szCs w:val="20"/>
        </w:rPr>
        <w:t xml:space="preserve">its </w:t>
      </w:r>
      <w:r w:rsidR="0020190B" w:rsidRPr="00DE74E3">
        <w:rPr>
          <w:sz w:val="20"/>
          <w:szCs w:val="20"/>
        </w:rPr>
        <w:t>content</w:t>
      </w:r>
      <w:r w:rsidR="00F959A9" w:rsidRPr="00DE74E3">
        <w:rPr>
          <w:sz w:val="20"/>
          <w:szCs w:val="20"/>
        </w:rPr>
        <w:t xml:space="preserve">. </w:t>
      </w:r>
      <w:r w:rsidR="00333E61" w:rsidRPr="00DE74E3">
        <w:rPr>
          <w:sz w:val="20"/>
          <w:szCs w:val="20"/>
        </w:rPr>
        <w:t>Specifically, w</w:t>
      </w:r>
      <w:r w:rsidR="00B36A79" w:rsidRPr="00DE74E3">
        <w:rPr>
          <w:sz w:val="20"/>
          <w:szCs w:val="20"/>
        </w:rPr>
        <w:t xml:space="preserve">e recommend that the instrument </w:t>
      </w:r>
      <w:r w:rsidR="004D1AB3" w:rsidRPr="00DE74E3">
        <w:rPr>
          <w:sz w:val="20"/>
          <w:szCs w:val="20"/>
        </w:rPr>
        <w:t xml:space="preserve">directly </w:t>
      </w:r>
      <w:r w:rsidR="00B36A79" w:rsidRPr="00DE74E3">
        <w:rPr>
          <w:sz w:val="20"/>
          <w:szCs w:val="20"/>
        </w:rPr>
        <w:t xml:space="preserve">address </w:t>
      </w:r>
      <w:r w:rsidR="00BF0723" w:rsidRPr="00DE74E3">
        <w:rPr>
          <w:sz w:val="20"/>
          <w:szCs w:val="20"/>
        </w:rPr>
        <w:t>indigen</w:t>
      </w:r>
      <w:r w:rsidR="00482502" w:rsidRPr="00DE74E3">
        <w:rPr>
          <w:sz w:val="20"/>
          <w:szCs w:val="20"/>
        </w:rPr>
        <w:t xml:space="preserve">ous peoples’ collective rights </w:t>
      </w:r>
      <w:r w:rsidR="00BF0723" w:rsidRPr="00DE74E3">
        <w:rPr>
          <w:sz w:val="20"/>
          <w:szCs w:val="20"/>
        </w:rPr>
        <w:t xml:space="preserve">and </w:t>
      </w:r>
      <w:r w:rsidR="004D1AB3" w:rsidRPr="00DE74E3">
        <w:rPr>
          <w:sz w:val="20"/>
          <w:szCs w:val="20"/>
        </w:rPr>
        <w:t xml:space="preserve">that it include </w:t>
      </w:r>
      <w:r w:rsidR="00E15A09" w:rsidRPr="00DE74E3">
        <w:rPr>
          <w:sz w:val="20"/>
          <w:szCs w:val="20"/>
        </w:rPr>
        <w:t xml:space="preserve">public sector </w:t>
      </w:r>
      <w:r w:rsidR="00BF0723" w:rsidRPr="00DE74E3">
        <w:rPr>
          <w:sz w:val="20"/>
          <w:szCs w:val="20"/>
        </w:rPr>
        <w:t>financial institutions</w:t>
      </w:r>
      <w:r w:rsidR="004D1AB3" w:rsidRPr="00DE74E3">
        <w:rPr>
          <w:sz w:val="20"/>
          <w:szCs w:val="20"/>
        </w:rPr>
        <w:t xml:space="preserve"> within its scope.</w:t>
      </w:r>
      <w:r w:rsidR="00BF0723" w:rsidRPr="00DE74E3">
        <w:rPr>
          <w:sz w:val="20"/>
          <w:szCs w:val="20"/>
        </w:rPr>
        <w:t xml:space="preserve"> </w:t>
      </w:r>
      <w:r w:rsidR="00482502" w:rsidRPr="00DE74E3">
        <w:rPr>
          <w:sz w:val="20"/>
          <w:szCs w:val="20"/>
        </w:rPr>
        <w:t xml:space="preserve">It is </w:t>
      </w:r>
      <w:r w:rsidR="004D1AB3" w:rsidRPr="00DE74E3">
        <w:rPr>
          <w:sz w:val="20"/>
          <w:szCs w:val="20"/>
        </w:rPr>
        <w:t>important</w:t>
      </w:r>
      <w:r w:rsidR="00482502" w:rsidRPr="00DE74E3">
        <w:rPr>
          <w:sz w:val="20"/>
          <w:szCs w:val="20"/>
        </w:rPr>
        <w:t xml:space="preserve"> to seriously address these issues</w:t>
      </w:r>
      <w:r w:rsidR="00333E61" w:rsidRPr="00DE74E3">
        <w:rPr>
          <w:sz w:val="20"/>
          <w:szCs w:val="20"/>
        </w:rPr>
        <w:t xml:space="preserve"> in this instrument</w:t>
      </w:r>
      <w:r w:rsidR="00087B5F" w:rsidRPr="00DE74E3">
        <w:rPr>
          <w:sz w:val="20"/>
          <w:szCs w:val="20"/>
        </w:rPr>
        <w:t>,</w:t>
      </w:r>
      <w:r w:rsidR="00482502" w:rsidRPr="00DE74E3">
        <w:rPr>
          <w:sz w:val="20"/>
          <w:szCs w:val="20"/>
        </w:rPr>
        <w:t xml:space="preserve"> because the Guiding Principles on Business and Human Rights </w:t>
      </w:r>
      <w:r w:rsidR="004062F1" w:rsidRPr="00DE74E3">
        <w:rPr>
          <w:sz w:val="20"/>
          <w:szCs w:val="20"/>
        </w:rPr>
        <w:t xml:space="preserve">(Guiding Principles) </w:t>
      </w:r>
      <w:r w:rsidR="00482502" w:rsidRPr="00DE74E3">
        <w:rPr>
          <w:sz w:val="20"/>
          <w:szCs w:val="20"/>
        </w:rPr>
        <w:t>do not address the</w:t>
      </w:r>
      <w:r w:rsidR="00333E61" w:rsidRPr="00DE74E3">
        <w:rPr>
          <w:sz w:val="20"/>
          <w:szCs w:val="20"/>
        </w:rPr>
        <w:t>m.</w:t>
      </w:r>
      <w:r w:rsidR="007148FD" w:rsidRPr="00DE74E3">
        <w:rPr>
          <w:rStyle w:val="FootnoteReference"/>
          <w:sz w:val="20"/>
          <w:szCs w:val="20"/>
          <w:vertAlign w:val="superscript"/>
        </w:rPr>
        <w:footnoteReference w:id="2"/>
      </w:r>
      <w:r w:rsidR="00482502" w:rsidRPr="00DE74E3">
        <w:rPr>
          <w:sz w:val="20"/>
          <w:szCs w:val="20"/>
        </w:rPr>
        <w:t xml:space="preserve"> </w:t>
      </w:r>
      <w:r w:rsidR="00333E61" w:rsidRPr="00DE74E3">
        <w:rPr>
          <w:sz w:val="20"/>
          <w:szCs w:val="20"/>
        </w:rPr>
        <w:t>T</w:t>
      </w:r>
      <w:r w:rsidR="003731F8" w:rsidRPr="00DE74E3">
        <w:rPr>
          <w:sz w:val="20"/>
          <w:szCs w:val="20"/>
        </w:rPr>
        <w:t>heir inclusion</w:t>
      </w:r>
      <w:r w:rsidR="00482502" w:rsidRPr="00DE74E3">
        <w:rPr>
          <w:sz w:val="20"/>
          <w:szCs w:val="20"/>
        </w:rPr>
        <w:t xml:space="preserve"> </w:t>
      </w:r>
      <w:r w:rsidR="00333E61" w:rsidRPr="00DE74E3">
        <w:rPr>
          <w:sz w:val="20"/>
          <w:szCs w:val="20"/>
        </w:rPr>
        <w:t xml:space="preserve">in </w:t>
      </w:r>
      <w:r w:rsidR="00482502" w:rsidRPr="00DE74E3">
        <w:rPr>
          <w:sz w:val="20"/>
          <w:szCs w:val="20"/>
        </w:rPr>
        <w:t>th</w:t>
      </w:r>
      <w:r w:rsidR="00333E61" w:rsidRPr="00DE74E3">
        <w:rPr>
          <w:sz w:val="20"/>
          <w:szCs w:val="20"/>
        </w:rPr>
        <w:t>is</w:t>
      </w:r>
      <w:r w:rsidR="00482502" w:rsidRPr="00DE74E3">
        <w:rPr>
          <w:sz w:val="20"/>
          <w:szCs w:val="20"/>
        </w:rPr>
        <w:t xml:space="preserve"> instrument </w:t>
      </w:r>
      <w:r w:rsidR="00333E61" w:rsidRPr="00DE74E3">
        <w:rPr>
          <w:sz w:val="20"/>
          <w:szCs w:val="20"/>
        </w:rPr>
        <w:t xml:space="preserve">would fill this gap and </w:t>
      </w:r>
      <w:r w:rsidR="001C609C" w:rsidRPr="00DE74E3">
        <w:rPr>
          <w:sz w:val="20"/>
          <w:szCs w:val="20"/>
        </w:rPr>
        <w:t>help improve the human rights performance of business</w:t>
      </w:r>
      <w:r w:rsidR="00333E61" w:rsidRPr="00DE74E3">
        <w:rPr>
          <w:sz w:val="20"/>
          <w:szCs w:val="20"/>
        </w:rPr>
        <w:t>es</w:t>
      </w:r>
      <w:r w:rsidR="001C609C" w:rsidRPr="00DE74E3">
        <w:rPr>
          <w:sz w:val="20"/>
          <w:szCs w:val="20"/>
        </w:rPr>
        <w:t>, particularly those receiving public</w:t>
      </w:r>
      <w:r w:rsidR="003731F8" w:rsidRPr="00DE74E3">
        <w:rPr>
          <w:sz w:val="20"/>
          <w:szCs w:val="20"/>
        </w:rPr>
        <w:t xml:space="preserve"> sector financing and support.</w:t>
      </w:r>
    </w:p>
    <w:p w14:paraId="2E3B7279" w14:textId="77777777" w:rsidR="005C653E" w:rsidRPr="00DE74E3" w:rsidRDefault="005C653E" w:rsidP="005C653E">
      <w:pPr>
        <w:rPr>
          <w:sz w:val="20"/>
          <w:szCs w:val="20"/>
        </w:rPr>
      </w:pPr>
    </w:p>
    <w:p w14:paraId="39A35922" w14:textId="77777777" w:rsidR="006D2DEA" w:rsidRPr="00DE74E3" w:rsidRDefault="0016286A" w:rsidP="0016286A">
      <w:pPr>
        <w:ind w:firstLine="720"/>
        <w:rPr>
          <w:sz w:val="20"/>
          <w:szCs w:val="20"/>
        </w:rPr>
      </w:pPr>
      <w:r w:rsidRPr="00DE74E3">
        <w:rPr>
          <w:sz w:val="20"/>
          <w:szCs w:val="20"/>
        </w:rPr>
        <w:t xml:space="preserve">The problem of human rights violations in business contexts is clear and well documented. </w:t>
      </w:r>
      <w:r w:rsidR="0025556A" w:rsidRPr="00DE74E3">
        <w:rPr>
          <w:sz w:val="20"/>
          <w:szCs w:val="20"/>
        </w:rPr>
        <w:t xml:space="preserve"> </w:t>
      </w:r>
      <w:r w:rsidRPr="00DE74E3">
        <w:rPr>
          <w:sz w:val="20"/>
          <w:szCs w:val="20"/>
        </w:rPr>
        <w:t>Solving it will require a</w:t>
      </w:r>
      <w:r w:rsidR="006D2DEA" w:rsidRPr="00DE74E3">
        <w:rPr>
          <w:sz w:val="20"/>
          <w:szCs w:val="20"/>
        </w:rPr>
        <w:t>n</w:t>
      </w:r>
      <w:r w:rsidRPr="00DE74E3">
        <w:rPr>
          <w:sz w:val="20"/>
          <w:szCs w:val="20"/>
        </w:rPr>
        <w:t xml:space="preserve"> instrument that can clarify </w:t>
      </w:r>
      <w:r w:rsidR="004D1AB3" w:rsidRPr="00DE74E3">
        <w:rPr>
          <w:sz w:val="20"/>
          <w:szCs w:val="20"/>
        </w:rPr>
        <w:t xml:space="preserve">first, </w:t>
      </w:r>
      <w:r w:rsidRPr="00DE74E3">
        <w:rPr>
          <w:sz w:val="20"/>
          <w:szCs w:val="20"/>
        </w:rPr>
        <w:t xml:space="preserve">how existing human rights standards apply to business actors and </w:t>
      </w:r>
      <w:r w:rsidR="004D1AB3" w:rsidRPr="00DE74E3">
        <w:rPr>
          <w:sz w:val="20"/>
          <w:szCs w:val="20"/>
        </w:rPr>
        <w:t xml:space="preserve">secondly, </w:t>
      </w:r>
      <w:r w:rsidRPr="00DE74E3">
        <w:rPr>
          <w:sz w:val="20"/>
          <w:szCs w:val="20"/>
        </w:rPr>
        <w:t xml:space="preserve">where victims, especially indigenous </w:t>
      </w:r>
      <w:r w:rsidR="004D1AB3" w:rsidRPr="00DE74E3">
        <w:rPr>
          <w:sz w:val="20"/>
          <w:szCs w:val="20"/>
        </w:rPr>
        <w:t>peoples</w:t>
      </w:r>
      <w:r w:rsidRPr="00DE74E3">
        <w:rPr>
          <w:sz w:val="20"/>
          <w:szCs w:val="20"/>
        </w:rPr>
        <w:t>, can go to obtain remed</w:t>
      </w:r>
      <w:r w:rsidR="00087B5F" w:rsidRPr="00DE74E3">
        <w:rPr>
          <w:sz w:val="20"/>
          <w:szCs w:val="20"/>
        </w:rPr>
        <w:t>ies</w:t>
      </w:r>
      <w:r w:rsidRPr="00DE74E3">
        <w:rPr>
          <w:sz w:val="20"/>
          <w:szCs w:val="20"/>
        </w:rPr>
        <w:t xml:space="preserve"> for human rights violations. </w:t>
      </w:r>
      <w:r w:rsidR="0025556A" w:rsidRPr="00DE74E3">
        <w:rPr>
          <w:sz w:val="20"/>
          <w:szCs w:val="20"/>
        </w:rPr>
        <w:t xml:space="preserve"> </w:t>
      </w:r>
      <w:r w:rsidRPr="00DE74E3">
        <w:rPr>
          <w:sz w:val="20"/>
          <w:szCs w:val="20"/>
        </w:rPr>
        <w:t xml:space="preserve">Clarifying the standards that apply </w:t>
      </w:r>
      <w:r w:rsidR="006351F1" w:rsidRPr="00DE74E3">
        <w:rPr>
          <w:sz w:val="20"/>
          <w:szCs w:val="20"/>
        </w:rPr>
        <w:t xml:space="preserve">to business actors </w:t>
      </w:r>
      <w:r w:rsidRPr="00DE74E3">
        <w:rPr>
          <w:sz w:val="20"/>
          <w:szCs w:val="20"/>
        </w:rPr>
        <w:t xml:space="preserve">will improve the coherence of human rights law and will have the additional benefit of ensuring that all private </w:t>
      </w:r>
      <w:r w:rsidR="003731F8" w:rsidRPr="00DE74E3">
        <w:rPr>
          <w:sz w:val="20"/>
          <w:szCs w:val="20"/>
        </w:rPr>
        <w:t>business</w:t>
      </w:r>
      <w:r w:rsidRPr="00DE74E3">
        <w:rPr>
          <w:sz w:val="20"/>
          <w:szCs w:val="20"/>
        </w:rPr>
        <w:t xml:space="preserve"> actors and public sector financial institutions compete on the same level legal grounds, adhere to the same standards</w:t>
      </w:r>
      <w:r w:rsidR="008472D4" w:rsidRPr="00DE74E3">
        <w:rPr>
          <w:sz w:val="20"/>
          <w:szCs w:val="20"/>
        </w:rPr>
        <w:t>,</w:t>
      </w:r>
      <w:r w:rsidRPr="00DE74E3">
        <w:rPr>
          <w:sz w:val="20"/>
          <w:szCs w:val="20"/>
        </w:rPr>
        <w:t xml:space="preserve"> and are responsible for upholding the same set of human rights obligations.  An instrument that imposes standards on only one set of business actors while leaving others unaccountable will be less effective at improving rights enjoyment and will likely result in various economic </w:t>
      </w:r>
      <w:r w:rsidRPr="00DE74E3">
        <w:rPr>
          <w:sz w:val="20"/>
          <w:szCs w:val="20"/>
        </w:rPr>
        <w:lastRenderedPageBreak/>
        <w:t>distortions as businesses seek to exploit the resulting differentials in human rights obligations.</w:t>
      </w:r>
      <w:r w:rsidR="003731F8" w:rsidRPr="00DE74E3">
        <w:rPr>
          <w:sz w:val="20"/>
          <w:szCs w:val="20"/>
        </w:rPr>
        <w:t xml:space="preserve">  Ultimately, </w:t>
      </w:r>
      <w:r w:rsidR="004D3AD3" w:rsidRPr="00DE74E3">
        <w:rPr>
          <w:sz w:val="20"/>
          <w:szCs w:val="20"/>
        </w:rPr>
        <w:t xml:space="preserve">as </w:t>
      </w:r>
      <w:r w:rsidR="008C7946" w:rsidRPr="00DE74E3">
        <w:rPr>
          <w:sz w:val="20"/>
          <w:szCs w:val="20"/>
        </w:rPr>
        <w:t>international scholars</w:t>
      </w:r>
      <w:r w:rsidR="004D3AD3" w:rsidRPr="00DE74E3">
        <w:rPr>
          <w:sz w:val="20"/>
          <w:szCs w:val="20"/>
        </w:rPr>
        <w:t xml:space="preserve"> conclude, </w:t>
      </w:r>
      <w:r w:rsidR="003731F8" w:rsidRPr="00DE74E3">
        <w:rPr>
          <w:sz w:val="20"/>
          <w:szCs w:val="20"/>
        </w:rPr>
        <w:t xml:space="preserve">such a situation would undermine the </w:t>
      </w:r>
      <w:r w:rsidR="006D2DEA" w:rsidRPr="00DE74E3">
        <w:rPr>
          <w:sz w:val="20"/>
          <w:szCs w:val="20"/>
        </w:rPr>
        <w:t xml:space="preserve">most </w:t>
      </w:r>
      <w:r w:rsidR="003731F8" w:rsidRPr="00DE74E3">
        <w:rPr>
          <w:sz w:val="20"/>
          <w:szCs w:val="20"/>
        </w:rPr>
        <w:t xml:space="preserve">basic aims of </w:t>
      </w:r>
      <w:r w:rsidR="004A7655" w:rsidRPr="00DE74E3">
        <w:rPr>
          <w:sz w:val="20"/>
          <w:szCs w:val="20"/>
        </w:rPr>
        <w:t xml:space="preserve">the </w:t>
      </w:r>
      <w:r w:rsidR="004D3AD3" w:rsidRPr="00DE74E3">
        <w:rPr>
          <w:sz w:val="20"/>
          <w:szCs w:val="20"/>
        </w:rPr>
        <w:t xml:space="preserve">law of </w:t>
      </w:r>
      <w:r w:rsidR="003731F8" w:rsidRPr="00DE74E3">
        <w:rPr>
          <w:sz w:val="20"/>
          <w:szCs w:val="20"/>
        </w:rPr>
        <w:t xml:space="preserve">responsibility: </w:t>
      </w:r>
    </w:p>
    <w:p w14:paraId="4A9F4AA3" w14:textId="77777777" w:rsidR="006D2DEA" w:rsidRPr="00DE74E3" w:rsidRDefault="004D3AD3" w:rsidP="00645BE6">
      <w:pPr>
        <w:ind w:left="720"/>
        <w:rPr>
          <w:sz w:val="20"/>
          <w:szCs w:val="20"/>
        </w:rPr>
      </w:pPr>
      <w:r w:rsidRPr="00DE74E3">
        <w:rPr>
          <w:sz w:val="20"/>
          <w:szCs w:val="20"/>
        </w:rPr>
        <w:t xml:space="preserve">(1) </w:t>
      </w:r>
      <w:proofErr w:type="gramStart"/>
      <w:r w:rsidR="006D2DEA" w:rsidRPr="00DE74E3">
        <w:rPr>
          <w:sz w:val="20"/>
          <w:szCs w:val="20"/>
        </w:rPr>
        <w:t>to</w:t>
      </w:r>
      <w:proofErr w:type="gramEnd"/>
      <w:r w:rsidR="006D2DEA" w:rsidRPr="00DE74E3">
        <w:rPr>
          <w:sz w:val="20"/>
          <w:szCs w:val="20"/>
        </w:rPr>
        <w:t xml:space="preserve"> </w:t>
      </w:r>
      <w:r w:rsidRPr="00DE74E3">
        <w:rPr>
          <w:sz w:val="20"/>
          <w:szCs w:val="20"/>
        </w:rPr>
        <w:t>prevent or minimize breaches of obligations prescribed by law;</w:t>
      </w:r>
      <w:r w:rsidR="003731F8" w:rsidRPr="00DE74E3">
        <w:rPr>
          <w:sz w:val="20"/>
          <w:szCs w:val="20"/>
        </w:rPr>
        <w:t xml:space="preserve"> and </w:t>
      </w:r>
    </w:p>
    <w:p w14:paraId="5BFF2E86" w14:textId="77777777" w:rsidR="0016286A" w:rsidRPr="00DE74E3" w:rsidRDefault="004D3AD3" w:rsidP="00645BE6">
      <w:pPr>
        <w:ind w:left="720"/>
        <w:rPr>
          <w:sz w:val="20"/>
          <w:szCs w:val="20"/>
        </w:rPr>
      </w:pPr>
      <w:r w:rsidRPr="00DE74E3">
        <w:rPr>
          <w:sz w:val="20"/>
          <w:szCs w:val="20"/>
        </w:rPr>
        <w:t xml:space="preserve">(2) </w:t>
      </w:r>
      <w:proofErr w:type="gramStart"/>
      <w:r w:rsidR="006D2DEA" w:rsidRPr="00DE74E3">
        <w:rPr>
          <w:sz w:val="20"/>
          <w:szCs w:val="20"/>
        </w:rPr>
        <w:t>to</w:t>
      </w:r>
      <w:proofErr w:type="gramEnd"/>
      <w:r w:rsidR="006D2DEA" w:rsidRPr="00DE74E3">
        <w:rPr>
          <w:sz w:val="20"/>
          <w:szCs w:val="20"/>
        </w:rPr>
        <w:t xml:space="preserve"> </w:t>
      </w:r>
      <w:r w:rsidRPr="00DE74E3">
        <w:rPr>
          <w:sz w:val="20"/>
          <w:szCs w:val="20"/>
        </w:rPr>
        <w:t>provide remedies for those subjects whose legal rights have been infringed due to such violations</w:t>
      </w:r>
      <w:r w:rsidR="003731F8" w:rsidRPr="00DE74E3">
        <w:rPr>
          <w:sz w:val="20"/>
          <w:szCs w:val="20"/>
        </w:rPr>
        <w:t>.</w:t>
      </w:r>
      <w:r w:rsidR="003731F8" w:rsidRPr="00DE74E3">
        <w:rPr>
          <w:rStyle w:val="FootnoteReference"/>
          <w:sz w:val="20"/>
          <w:szCs w:val="20"/>
          <w:vertAlign w:val="superscript"/>
        </w:rPr>
        <w:footnoteReference w:id="3"/>
      </w:r>
    </w:p>
    <w:p w14:paraId="67A8A651" w14:textId="77777777" w:rsidR="006351F1" w:rsidRPr="00DE74E3" w:rsidRDefault="006351F1" w:rsidP="006351F1">
      <w:pPr>
        <w:rPr>
          <w:sz w:val="20"/>
          <w:szCs w:val="20"/>
        </w:rPr>
      </w:pPr>
    </w:p>
    <w:p w14:paraId="4C0150E2" w14:textId="77777777" w:rsidR="00072BC5" w:rsidRPr="00DE74E3" w:rsidRDefault="004D1AB3" w:rsidP="00A84F83">
      <w:pPr>
        <w:rPr>
          <w:b/>
          <w:sz w:val="20"/>
          <w:szCs w:val="20"/>
        </w:rPr>
      </w:pPr>
      <w:r w:rsidRPr="00DE74E3">
        <w:rPr>
          <w:b/>
          <w:sz w:val="20"/>
          <w:szCs w:val="20"/>
        </w:rPr>
        <w:t>Content</w:t>
      </w:r>
      <w:r w:rsidR="00FE18F3" w:rsidRPr="00DE74E3">
        <w:rPr>
          <w:b/>
          <w:sz w:val="20"/>
          <w:szCs w:val="20"/>
        </w:rPr>
        <w:t xml:space="preserve">: </w:t>
      </w:r>
      <w:r w:rsidR="00746545" w:rsidRPr="00DE74E3">
        <w:rPr>
          <w:b/>
          <w:sz w:val="20"/>
          <w:szCs w:val="20"/>
        </w:rPr>
        <w:t xml:space="preserve">Indigenous Peoples’ Collective </w:t>
      </w:r>
      <w:r w:rsidR="00072BC5" w:rsidRPr="00DE74E3">
        <w:rPr>
          <w:b/>
          <w:sz w:val="20"/>
          <w:szCs w:val="20"/>
        </w:rPr>
        <w:t>Rights</w:t>
      </w:r>
    </w:p>
    <w:p w14:paraId="6988D7AC" w14:textId="77777777" w:rsidR="00746545" w:rsidRPr="00DE74E3" w:rsidRDefault="00746545" w:rsidP="00A84F83">
      <w:pPr>
        <w:rPr>
          <w:sz w:val="20"/>
          <w:szCs w:val="20"/>
        </w:rPr>
      </w:pPr>
    </w:p>
    <w:p w14:paraId="41C6DF10" w14:textId="77777777" w:rsidR="00D65D44" w:rsidRPr="00DE74E3" w:rsidRDefault="00503177" w:rsidP="00DB2248">
      <w:pPr>
        <w:widowControl/>
        <w:ind w:firstLine="720"/>
        <w:rPr>
          <w:sz w:val="20"/>
          <w:szCs w:val="20"/>
        </w:rPr>
      </w:pPr>
      <w:r w:rsidRPr="00DE74E3">
        <w:rPr>
          <w:sz w:val="20"/>
          <w:szCs w:val="20"/>
        </w:rPr>
        <w:t xml:space="preserve">The Center </w:t>
      </w:r>
      <w:r w:rsidR="00FE3B02" w:rsidRPr="00DE74E3">
        <w:rPr>
          <w:sz w:val="20"/>
          <w:szCs w:val="20"/>
        </w:rPr>
        <w:t>urges</w:t>
      </w:r>
      <w:r w:rsidRPr="00DE74E3">
        <w:rPr>
          <w:sz w:val="20"/>
          <w:szCs w:val="20"/>
        </w:rPr>
        <w:t xml:space="preserve"> </w:t>
      </w:r>
      <w:r w:rsidR="00DB2248" w:rsidRPr="00DE74E3">
        <w:rPr>
          <w:sz w:val="20"/>
          <w:szCs w:val="20"/>
        </w:rPr>
        <w:t xml:space="preserve">the Working Group </w:t>
      </w:r>
      <w:r w:rsidR="00FE3B02" w:rsidRPr="00DE74E3">
        <w:rPr>
          <w:sz w:val="20"/>
          <w:szCs w:val="20"/>
        </w:rPr>
        <w:t xml:space="preserve">to </w:t>
      </w:r>
      <w:r w:rsidR="004D1AB3" w:rsidRPr="00DE74E3">
        <w:rPr>
          <w:sz w:val="20"/>
          <w:szCs w:val="20"/>
        </w:rPr>
        <w:t xml:space="preserve">directly address </w:t>
      </w:r>
      <w:r w:rsidR="00DB2248" w:rsidRPr="00DE74E3">
        <w:rPr>
          <w:sz w:val="20"/>
          <w:szCs w:val="20"/>
        </w:rPr>
        <w:t>indigenous peoples’ collective rights</w:t>
      </w:r>
      <w:r w:rsidRPr="00DE74E3">
        <w:rPr>
          <w:sz w:val="20"/>
          <w:szCs w:val="20"/>
        </w:rPr>
        <w:t xml:space="preserve"> </w:t>
      </w:r>
      <w:r w:rsidR="006D2DEA" w:rsidRPr="00DE74E3">
        <w:rPr>
          <w:sz w:val="20"/>
          <w:szCs w:val="20"/>
        </w:rPr>
        <w:t>within</w:t>
      </w:r>
      <w:r w:rsidR="004A7655" w:rsidRPr="00DE74E3">
        <w:rPr>
          <w:sz w:val="20"/>
          <w:szCs w:val="20"/>
        </w:rPr>
        <w:t xml:space="preserve"> the</w:t>
      </w:r>
      <w:r w:rsidR="00DB2248" w:rsidRPr="00DE74E3">
        <w:rPr>
          <w:sz w:val="20"/>
          <w:szCs w:val="20"/>
        </w:rPr>
        <w:t xml:space="preserve"> </w:t>
      </w:r>
      <w:r w:rsidR="004D1AB3" w:rsidRPr="00DE74E3">
        <w:rPr>
          <w:sz w:val="20"/>
          <w:szCs w:val="20"/>
        </w:rPr>
        <w:t xml:space="preserve">proposed </w:t>
      </w:r>
      <w:r w:rsidR="00DB2248" w:rsidRPr="00DE74E3">
        <w:rPr>
          <w:sz w:val="20"/>
          <w:szCs w:val="20"/>
        </w:rPr>
        <w:t xml:space="preserve">instrument. Although </w:t>
      </w:r>
      <w:r w:rsidR="006D2DEA" w:rsidRPr="00DE74E3">
        <w:rPr>
          <w:sz w:val="20"/>
          <w:szCs w:val="20"/>
        </w:rPr>
        <w:t xml:space="preserve">historically </w:t>
      </w:r>
      <w:r w:rsidR="00DB2248" w:rsidRPr="00DE74E3">
        <w:rPr>
          <w:sz w:val="20"/>
          <w:szCs w:val="20"/>
        </w:rPr>
        <w:t xml:space="preserve">human rights have </w:t>
      </w:r>
      <w:r w:rsidR="006D2DEA" w:rsidRPr="00DE74E3">
        <w:rPr>
          <w:sz w:val="20"/>
          <w:szCs w:val="20"/>
        </w:rPr>
        <w:t xml:space="preserve">often </w:t>
      </w:r>
      <w:r w:rsidR="00DB2248" w:rsidRPr="00DE74E3">
        <w:rPr>
          <w:sz w:val="20"/>
          <w:szCs w:val="20"/>
        </w:rPr>
        <w:t xml:space="preserve">been </w:t>
      </w:r>
      <w:r w:rsidR="00F56ECC" w:rsidRPr="00DE74E3">
        <w:rPr>
          <w:sz w:val="20"/>
          <w:szCs w:val="20"/>
        </w:rPr>
        <w:t xml:space="preserve">understood </w:t>
      </w:r>
      <w:r w:rsidR="00DB2248" w:rsidRPr="00DE74E3">
        <w:rPr>
          <w:sz w:val="20"/>
          <w:szCs w:val="20"/>
        </w:rPr>
        <w:t xml:space="preserve">as </w:t>
      </w:r>
      <w:r w:rsidR="00F56ECC" w:rsidRPr="00DE74E3">
        <w:rPr>
          <w:sz w:val="20"/>
          <w:szCs w:val="20"/>
        </w:rPr>
        <w:t xml:space="preserve">individual </w:t>
      </w:r>
      <w:r w:rsidR="00DB2248" w:rsidRPr="00DE74E3">
        <w:rPr>
          <w:sz w:val="20"/>
          <w:szCs w:val="20"/>
        </w:rPr>
        <w:t xml:space="preserve">rights, </w:t>
      </w:r>
      <w:proofErr w:type="gramStart"/>
      <w:r w:rsidR="00DB2248" w:rsidRPr="00DE74E3">
        <w:rPr>
          <w:sz w:val="20"/>
          <w:szCs w:val="20"/>
        </w:rPr>
        <w:t>many of the human rights of indigenous peoples are held collectively by communities, tribes, nations, or peoples</w:t>
      </w:r>
      <w:proofErr w:type="gramEnd"/>
      <w:r w:rsidR="00DB2248" w:rsidRPr="00DE74E3">
        <w:rPr>
          <w:sz w:val="20"/>
          <w:szCs w:val="20"/>
        </w:rPr>
        <w:t xml:space="preserve">. </w:t>
      </w:r>
      <w:r w:rsidR="00341A91" w:rsidRPr="00DE74E3">
        <w:rPr>
          <w:sz w:val="20"/>
          <w:szCs w:val="20"/>
        </w:rPr>
        <w:t>S</w:t>
      </w:r>
      <w:r w:rsidR="00DB2248" w:rsidRPr="00DE74E3">
        <w:rPr>
          <w:sz w:val="20"/>
          <w:szCs w:val="20"/>
        </w:rPr>
        <w:t xml:space="preserve">erious attention to this topic </w:t>
      </w:r>
      <w:r w:rsidR="00F56ECC" w:rsidRPr="00DE74E3">
        <w:rPr>
          <w:sz w:val="20"/>
          <w:szCs w:val="20"/>
        </w:rPr>
        <w:t>is necessary</w:t>
      </w:r>
      <w:r w:rsidRPr="00DE74E3">
        <w:rPr>
          <w:sz w:val="20"/>
          <w:szCs w:val="20"/>
        </w:rPr>
        <w:t xml:space="preserve"> </w:t>
      </w:r>
      <w:r w:rsidR="00341A91" w:rsidRPr="00DE74E3">
        <w:rPr>
          <w:sz w:val="20"/>
          <w:szCs w:val="20"/>
        </w:rPr>
        <w:t>to</w:t>
      </w:r>
      <w:r w:rsidRPr="00DE74E3">
        <w:rPr>
          <w:sz w:val="20"/>
          <w:szCs w:val="20"/>
        </w:rPr>
        <w:t xml:space="preserve"> </w:t>
      </w:r>
      <w:r w:rsidR="00563828" w:rsidRPr="00DE74E3">
        <w:rPr>
          <w:sz w:val="20"/>
          <w:szCs w:val="20"/>
        </w:rPr>
        <w:t>effectively protect indigenous peoples’ human rights and to help business actors to clearly understand their human rights obligations in this area.</w:t>
      </w:r>
      <w:r w:rsidR="00DB2248" w:rsidRPr="00DE74E3">
        <w:rPr>
          <w:sz w:val="20"/>
          <w:szCs w:val="20"/>
        </w:rPr>
        <w:t xml:space="preserve"> </w:t>
      </w:r>
    </w:p>
    <w:p w14:paraId="05685324" w14:textId="77777777" w:rsidR="00D65D44" w:rsidRPr="00DE74E3" w:rsidRDefault="00D65D44" w:rsidP="00D65D44">
      <w:pPr>
        <w:widowControl/>
        <w:rPr>
          <w:sz w:val="20"/>
          <w:szCs w:val="20"/>
        </w:rPr>
      </w:pPr>
    </w:p>
    <w:p w14:paraId="0E4A35E4" w14:textId="77777777" w:rsidR="004D1AB3" w:rsidRPr="00DE74E3" w:rsidRDefault="00D65D44" w:rsidP="00D65D44">
      <w:pPr>
        <w:widowControl/>
        <w:ind w:firstLine="720"/>
        <w:rPr>
          <w:sz w:val="20"/>
          <w:szCs w:val="20"/>
        </w:rPr>
      </w:pPr>
      <w:r w:rsidRPr="00DE74E3">
        <w:rPr>
          <w:sz w:val="20"/>
          <w:szCs w:val="20"/>
        </w:rPr>
        <w:t xml:space="preserve">Some human rights have for many years been recognized as rights held by groups or peoples, not solely by individuals. Most prominent is the right of self-determination, which is guaranteed to “all peoples” by common Article One of the Covenant on Economic Social and Cultural Rights and the Covenant on Civil and Political Rights. </w:t>
      </w:r>
    </w:p>
    <w:p w14:paraId="50022CF1" w14:textId="77777777" w:rsidR="004D1AB3" w:rsidRPr="00DE74E3" w:rsidRDefault="004D1AB3" w:rsidP="00D65D44">
      <w:pPr>
        <w:widowControl/>
        <w:ind w:firstLine="720"/>
        <w:rPr>
          <w:sz w:val="20"/>
          <w:szCs w:val="20"/>
        </w:rPr>
      </w:pPr>
    </w:p>
    <w:p w14:paraId="7E82ED78" w14:textId="77777777" w:rsidR="00995AC0" w:rsidRPr="00DE74E3" w:rsidRDefault="00D65D44" w:rsidP="00D65D44">
      <w:pPr>
        <w:widowControl/>
        <w:ind w:firstLine="720"/>
        <w:rPr>
          <w:sz w:val="20"/>
          <w:szCs w:val="20"/>
        </w:rPr>
      </w:pPr>
      <w:r w:rsidRPr="00DE74E3">
        <w:rPr>
          <w:sz w:val="20"/>
          <w:szCs w:val="20"/>
        </w:rPr>
        <w:t xml:space="preserve">Paragraph 2 of this same common Article One is particularly relevant to </w:t>
      </w:r>
      <w:r w:rsidR="004D1AB3" w:rsidRPr="00DE74E3">
        <w:rPr>
          <w:sz w:val="20"/>
          <w:szCs w:val="20"/>
        </w:rPr>
        <w:t xml:space="preserve">many </w:t>
      </w:r>
      <w:r w:rsidRPr="00DE74E3">
        <w:rPr>
          <w:sz w:val="20"/>
          <w:szCs w:val="20"/>
        </w:rPr>
        <w:t xml:space="preserve">business </w:t>
      </w:r>
      <w:r w:rsidR="004D1AB3" w:rsidRPr="00DE74E3">
        <w:rPr>
          <w:sz w:val="20"/>
          <w:szCs w:val="20"/>
        </w:rPr>
        <w:t xml:space="preserve">and development </w:t>
      </w:r>
      <w:r w:rsidRPr="00DE74E3">
        <w:rPr>
          <w:sz w:val="20"/>
          <w:szCs w:val="20"/>
        </w:rPr>
        <w:t>projects. It provides that all peoples have the right to freely dispose of their natural wealth and resources</w:t>
      </w:r>
      <w:r w:rsidR="004D1AB3" w:rsidRPr="00DE74E3">
        <w:rPr>
          <w:sz w:val="20"/>
          <w:szCs w:val="20"/>
        </w:rPr>
        <w:t xml:space="preserve">, and further </w:t>
      </w:r>
      <w:proofErr w:type="gramStart"/>
      <w:r w:rsidRPr="00DE74E3">
        <w:rPr>
          <w:sz w:val="20"/>
          <w:szCs w:val="20"/>
        </w:rPr>
        <w:t>states</w:t>
      </w:r>
      <w:r w:rsidR="004D1AB3" w:rsidRPr="00DE74E3">
        <w:rPr>
          <w:sz w:val="20"/>
          <w:szCs w:val="20"/>
        </w:rPr>
        <w:t xml:space="preserve"> that</w:t>
      </w:r>
      <w:proofErr w:type="gramEnd"/>
      <w:r w:rsidRPr="00DE74E3">
        <w:rPr>
          <w:sz w:val="20"/>
          <w:szCs w:val="20"/>
        </w:rPr>
        <w:t xml:space="preserve"> “In no case may a people be deprived of its own means of subsistence.” </w:t>
      </w:r>
      <w:proofErr w:type="gramStart"/>
      <w:r w:rsidRPr="00DE74E3">
        <w:rPr>
          <w:sz w:val="20"/>
          <w:szCs w:val="20"/>
        </w:rPr>
        <w:t xml:space="preserve">The right of peoples to their natural resources is also guaranteed by Article 25 of the Covenant on Economic, </w:t>
      </w:r>
      <w:r w:rsidR="00995AC0" w:rsidRPr="00DE74E3">
        <w:rPr>
          <w:sz w:val="20"/>
          <w:szCs w:val="20"/>
        </w:rPr>
        <w:t>Social and Cultural Rights</w:t>
      </w:r>
      <w:proofErr w:type="gramEnd"/>
      <w:r w:rsidR="00995AC0" w:rsidRPr="00DE74E3">
        <w:rPr>
          <w:sz w:val="20"/>
          <w:szCs w:val="20"/>
        </w:rPr>
        <w:t>. Articles 3 and 4 of the United Nations Declaration on the Rights of Indigenous Peoples explicitly recognize indigenous peoples right of self-determination and self-government respectively.</w:t>
      </w:r>
    </w:p>
    <w:p w14:paraId="7FDCFF37" w14:textId="77777777" w:rsidR="00995AC0" w:rsidRPr="00DE74E3" w:rsidRDefault="00995AC0" w:rsidP="008F2959">
      <w:pPr>
        <w:widowControl/>
        <w:rPr>
          <w:sz w:val="20"/>
          <w:szCs w:val="20"/>
        </w:rPr>
      </w:pPr>
    </w:p>
    <w:p w14:paraId="5C37CD1A" w14:textId="77777777" w:rsidR="00D65D44" w:rsidRPr="00DE74E3" w:rsidRDefault="0096629D" w:rsidP="00D65D44">
      <w:pPr>
        <w:widowControl/>
        <w:ind w:firstLine="720"/>
        <w:rPr>
          <w:sz w:val="20"/>
          <w:szCs w:val="20"/>
        </w:rPr>
      </w:pPr>
      <w:r w:rsidRPr="00DE74E3">
        <w:rPr>
          <w:sz w:val="20"/>
          <w:szCs w:val="20"/>
        </w:rPr>
        <w:t>I</w:t>
      </w:r>
      <w:r w:rsidR="00503177" w:rsidRPr="00DE74E3">
        <w:rPr>
          <w:sz w:val="20"/>
          <w:szCs w:val="20"/>
        </w:rPr>
        <w:t>ndigenous peoples</w:t>
      </w:r>
      <w:r w:rsidRPr="00DE74E3">
        <w:rPr>
          <w:sz w:val="20"/>
          <w:szCs w:val="20"/>
        </w:rPr>
        <w:t>’</w:t>
      </w:r>
      <w:r w:rsidR="00D65D44" w:rsidRPr="00DE74E3">
        <w:rPr>
          <w:sz w:val="20"/>
          <w:szCs w:val="20"/>
        </w:rPr>
        <w:t xml:space="preserve"> </w:t>
      </w:r>
      <w:r w:rsidR="00503177" w:rsidRPr="00DE74E3">
        <w:rPr>
          <w:sz w:val="20"/>
          <w:szCs w:val="20"/>
        </w:rPr>
        <w:t>ownership of their lands, territory, and natural resources</w:t>
      </w:r>
      <w:r w:rsidRPr="00DE74E3">
        <w:rPr>
          <w:sz w:val="20"/>
          <w:szCs w:val="20"/>
        </w:rPr>
        <w:t xml:space="preserve"> is another </w:t>
      </w:r>
      <w:r w:rsidR="00355BC4" w:rsidRPr="00DE74E3">
        <w:rPr>
          <w:sz w:val="20"/>
          <w:szCs w:val="20"/>
        </w:rPr>
        <w:t>important</w:t>
      </w:r>
      <w:r w:rsidRPr="00DE74E3">
        <w:rPr>
          <w:sz w:val="20"/>
          <w:szCs w:val="20"/>
        </w:rPr>
        <w:t xml:space="preserve"> collective right</w:t>
      </w:r>
      <w:r w:rsidR="00503177" w:rsidRPr="00DE74E3">
        <w:rPr>
          <w:sz w:val="20"/>
          <w:szCs w:val="20"/>
        </w:rPr>
        <w:t xml:space="preserve">. </w:t>
      </w:r>
      <w:r w:rsidR="004D1AB3" w:rsidRPr="00DE74E3">
        <w:rPr>
          <w:sz w:val="20"/>
          <w:szCs w:val="20"/>
        </w:rPr>
        <w:t xml:space="preserve">All of </w:t>
      </w:r>
      <w:r w:rsidR="00D65D44" w:rsidRPr="00DE74E3">
        <w:rPr>
          <w:sz w:val="20"/>
          <w:szCs w:val="20"/>
        </w:rPr>
        <w:t>the</w:t>
      </w:r>
      <w:r w:rsidR="00503177" w:rsidRPr="00DE74E3">
        <w:rPr>
          <w:sz w:val="20"/>
          <w:szCs w:val="20"/>
        </w:rPr>
        <w:t>se</w:t>
      </w:r>
      <w:r w:rsidR="00D65D44" w:rsidRPr="00DE74E3">
        <w:rPr>
          <w:sz w:val="20"/>
          <w:szCs w:val="20"/>
        </w:rPr>
        <w:t xml:space="preserve"> collective rights of indigenous peoples have been recognized explicitly in the United Nations Declaration on the Rights of Indigenous Peoples</w:t>
      </w:r>
      <w:r w:rsidR="004E4776" w:rsidRPr="00DE74E3">
        <w:rPr>
          <w:sz w:val="20"/>
          <w:szCs w:val="20"/>
        </w:rPr>
        <w:t xml:space="preserve"> (Article 26)</w:t>
      </w:r>
      <w:r w:rsidR="00D65D44" w:rsidRPr="00DE74E3">
        <w:rPr>
          <w:sz w:val="20"/>
          <w:szCs w:val="20"/>
        </w:rPr>
        <w:t xml:space="preserve"> and </w:t>
      </w:r>
      <w:r w:rsidR="004E4776" w:rsidRPr="00DE74E3">
        <w:rPr>
          <w:sz w:val="20"/>
          <w:szCs w:val="20"/>
        </w:rPr>
        <w:t>the</w:t>
      </w:r>
      <w:r w:rsidR="00D65D44" w:rsidRPr="00DE74E3">
        <w:rPr>
          <w:sz w:val="20"/>
          <w:szCs w:val="20"/>
        </w:rPr>
        <w:t xml:space="preserve"> I</w:t>
      </w:r>
      <w:r w:rsidR="00503177" w:rsidRPr="00DE74E3">
        <w:rPr>
          <w:sz w:val="20"/>
          <w:szCs w:val="20"/>
        </w:rPr>
        <w:t xml:space="preserve">nternational </w:t>
      </w:r>
      <w:r w:rsidR="00D65D44" w:rsidRPr="00DE74E3">
        <w:rPr>
          <w:sz w:val="20"/>
          <w:szCs w:val="20"/>
        </w:rPr>
        <w:t>L</w:t>
      </w:r>
      <w:r w:rsidR="00503177" w:rsidRPr="00DE74E3">
        <w:rPr>
          <w:sz w:val="20"/>
          <w:szCs w:val="20"/>
        </w:rPr>
        <w:t xml:space="preserve">abor </w:t>
      </w:r>
      <w:r w:rsidR="00D65D44" w:rsidRPr="00DE74E3">
        <w:rPr>
          <w:sz w:val="20"/>
          <w:szCs w:val="20"/>
        </w:rPr>
        <w:t>O</w:t>
      </w:r>
      <w:r w:rsidR="00503177" w:rsidRPr="00DE74E3">
        <w:rPr>
          <w:sz w:val="20"/>
          <w:szCs w:val="20"/>
        </w:rPr>
        <w:t>rganization</w:t>
      </w:r>
      <w:r w:rsidR="00D65D44" w:rsidRPr="00DE74E3">
        <w:rPr>
          <w:sz w:val="20"/>
          <w:szCs w:val="20"/>
        </w:rPr>
        <w:t xml:space="preserve"> Convention 169</w:t>
      </w:r>
      <w:r w:rsidR="004E4776" w:rsidRPr="00DE74E3">
        <w:rPr>
          <w:sz w:val="20"/>
          <w:szCs w:val="20"/>
        </w:rPr>
        <w:t xml:space="preserve"> (Article 13-15)</w:t>
      </w:r>
      <w:r w:rsidR="00D65D44" w:rsidRPr="00DE74E3">
        <w:rPr>
          <w:sz w:val="20"/>
          <w:szCs w:val="20"/>
        </w:rPr>
        <w:t xml:space="preserve">. </w:t>
      </w:r>
      <w:r w:rsidR="00341A91" w:rsidRPr="00DE74E3">
        <w:rPr>
          <w:sz w:val="20"/>
          <w:szCs w:val="20"/>
        </w:rPr>
        <w:t>T</w:t>
      </w:r>
      <w:r w:rsidR="00503177" w:rsidRPr="00DE74E3">
        <w:rPr>
          <w:sz w:val="20"/>
          <w:szCs w:val="20"/>
        </w:rPr>
        <w:t xml:space="preserve">he United Nations Special Rapporteur Erica-Irene Daes </w:t>
      </w:r>
      <w:r w:rsidRPr="00DE74E3">
        <w:rPr>
          <w:sz w:val="20"/>
          <w:szCs w:val="20"/>
        </w:rPr>
        <w:t>i</w:t>
      </w:r>
      <w:r w:rsidR="00503177" w:rsidRPr="00DE74E3">
        <w:rPr>
          <w:sz w:val="20"/>
          <w:szCs w:val="20"/>
        </w:rPr>
        <w:t xml:space="preserve">n “Indigenous Peoples Permanent Sovereignty over Natural Resources” </w:t>
      </w:r>
      <w:r w:rsidR="004D1AB3" w:rsidRPr="00DE74E3">
        <w:rPr>
          <w:sz w:val="20"/>
          <w:szCs w:val="20"/>
        </w:rPr>
        <w:t>explains</w:t>
      </w:r>
      <w:r w:rsidR="00503177" w:rsidRPr="00DE74E3">
        <w:rPr>
          <w:sz w:val="20"/>
          <w:szCs w:val="20"/>
        </w:rPr>
        <w:t xml:space="preserve"> indigenous peoples’ legal and governmental authority to manage and control the natural resources pertaining to their lands and territory</w:t>
      </w:r>
      <w:r w:rsidR="008F2959" w:rsidRPr="00DE74E3">
        <w:rPr>
          <w:sz w:val="20"/>
          <w:szCs w:val="20"/>
        </w:rPr>
        <w:t xml:space="preserve"> and</w:t>
      </w:r>
      <w:r w:rsidRPr="00DE74E3">
        <w:rPr>
          <w:sz w:val="20"/>
          <w:szCs w:val="20"/>
        </w:rPr>
        <w:t>,</w:t>
      </w:r>
      <w:r w:rsidR="008F2959" w:rsidRPr="00DE74E3">
        <w:rPr>
          <w:sz w:val="20"/>
          <w:szCs w:val="20"/>
        </w:rPr>
        <w:t xml:space="preserve"> in doing so</w:t>
      </w:r>
      <w:r w:rsidRPr="00DE74E3">
        <w:rPr>
          <w:sz w:val="20"/>
          <w:szCs w:val="20"/>
        </w:rPr>
        <w:t>,</w:t>
      </w:r>
      <w:r w:rsidR="008F2959" w:rsidRPr="00DE74E3">
        <w:rPr>
          <w:sz w:val="20"/>
          <w:szCs w:val="20"/>
        </w:rPr>
        <w:t xml:space="preserve"> to enjoy the benefits of their development and conservation</w:t>
      </w:r>
      <w:r w:rsidR="00503177" w:rsidRPr="00DE74E3">
        <w:rPr>
          <w:sz w:val="20"/>
          <w:szCs w:val="20"/>
        </w:rPr>
        <w:t>.</w:t>
      </w:r>
      <w:r w:rsidR="00503177" w:rsidRPr="00DE74E3">
        <w:rPr>
          <w:rStyle w:val="FootnoteReference"/>
          <w:sz w:val="20"/>
          <w:szCs w:val="20"/>
          <w:vertAlign w:val="superscript"/>
        </w:rPr>
        <w:footnoteReference w:id="4"/>
      </w:r>
      <w:r w:rsidR="00503177" w:rsidRPr="00DE74E3">
        <w:rPr>
          <w:sz w:val="20"/>
          <w:szCs w:val="20"/>
          <w:vertAlign w:val="superscript"/>
        </w:rPr>
        <w:t xml:space="preserve"> </w:t>
      </w:r>
      <w:r w:rsidR="00D65D44" w:rsidRPr="00DE74E3">
        <w:rPr>
          <w:sz w:val="20"/>
          <w:szCs w:val="20"/>
        </w:rPr>
        <w:t>In the Americas,</w:t>
      </w:r>
      <w:r w:rsidRPr="00DE74E3">
        <w:rPr>
          <w:sz w:val="20"/>
          <w:szCs w:val="20"/>
        </w:rPr>
        <w:t xml:space="preserve"> human rights cases and decisions have repea</w:t>
      </w:r>
      <w:r w:rsidR="004D1AB3" w:rsidRPr="00DE74E3">
        <w:rPr>
          <w:sz w:val="20"/>
          <w:szCs w:val="20"/>
        </w:rPr>
        <w:t>tedl</w:t>
      </w:r>
      <w:r w:rsidRPr="00DE74E3">
        <w:rPr>
          <w:sz w:val="20"/>
          <w:szCs w:val="20"/>
        </w:rPr>
        <w:t>y recognized</w:t>
      </w:r>
      <w:r w:rsidR="00D65D44" w:rsidRPr="00DE74E3">
        <w:rPr>
          <w:sz w:val="20"/>
          <w:szCs w:val="20"/>
        </w:rPr>
        <w:t xml:space="preserve"> indigenous peoples’ rights to land as collectively held property rights.</w:t>
      </w:r>
      <w:r w:rsidR="00503177" w:rsidRPr="00DE74E3">
        <w:rPr>
          <w:rStyle w:val="FootnoteReference"/>
          <w:sz w:val="20"/>
          <w:szCs w:val="20"/>
          <w:vertAlign w:val="superscript"/>
        </w:rPr>
        <w:footnoteReference w:id="5"/>
      </w:r>
      <w:r w:rsidR="00FE3B02" w:rsidRPr="00DE74E3">
        <w:rPr>
          <w:sz w:val="20"/>
          <w:szCs w:val="20"/>
        </w:rPr>
        <w:t xml:space="preserve"> More recently, </w:t>
      </w:r>
      <w:r w:rsidR="008F2959" w:rsidRPr="00DE74E3">
        <w:rPr>
          <w:sz w:val="20"/>
          <w:szCs w:val="20"/>
        </w:rPr>
        <w:t xml:space="preserve">states have reached consensus </w:t>
      </w:r>
      <w:r w:rsidR="003A25AE" w:rsidRPr="00DE74E3">
        <w:rPr>
          <w:sz w:val="20"/>
          <w:szCs w:val="20"/>
        </w:rPr>
        <w:t>on most of the provision</w:t>
      </w:r>
      <w:r w:rsidR="004A7655" w:rsidRPr="00DE74E3">
        <w:rPr>
          <w:sz w:val="20"/>
          <w:szCs w:val="20"/>
        </w:rPr>
        <w:t>s</w:t>
      </w:r>
      <w:r w:rsidR="003A25AE" w:rsidRPr="00DE74E3">
        <w:rPr>
          <w:sz w:val="20"/>
          <w:szCs w:val="20"/>
        </w:rPr>
        <w:t xml:space="preserve"> of the </w:t>
      </w:r>
      <w:r w:rsidR="00107E03" w:rsidRPr="00DE74E3">
        <w:rPr>
          <w:sz w:val="20"/>
          <w:szCs w:val="20"/>
        </w:rPr>
        <w:t>p</w:t>
      </w:r>
      <w:r w:rsidR="003A25AE" w:rsidRPr="00DE74E3">
        <w:rPr>
          <w:sz w:val="20"/>
          <w:szCs w:val="20"/>
        </w:rPr>
        <w:t xml:space="preserve">roposed American Declaration on the Rights of Indigenous Peoples relating to </w:t>
      </w:r>
      <w:r w:rsidR="00FE3B02" w:rsidRPr="00DE74E3">
        <w:rPr>
          <w:sz w:val="20"/>
          <w:szCs w:val="20"/>
        </w:rPr>
        <w:t>indigenous peoples’ collective property rights to lands, territory and natural resources</w:t>
      </w:r>
      <w:r w:rsidR="004E4776" w:rsidRPr="00DE74E3">
        <w:rPr>
          <w:sz w:val="20"/>
          <w:szCs w:val="20"/>
        </w:rPr>
        <w:t xml:space="preserve"> (Article XXIV)</w:t>
      </w:r>
      <w:r w:rsidR="00FE3B02" w:rsidRPr="00DE74E3">
        <w:rPr>
          <w:sz w:val="20"/>
          <w:szCs w:val="20"/>
        </w:rPr>
        <w:t>.</w:t>
      </w:r>
      <w:r w:rsidR="00FE3B02" w:rsidRPr="00DE74E3">
        <w:rPr>
          <w:rStyle w:val="FootnoteReference"/>
          <w:sz w:val="20"/>
          <w:szCs w:val="20"/>
          <w:vertAlign w:val="superscript"/>
        </w:rPr>
        <w:footnoteReference w:id="6"/>
      </w:r>
    </w:p>
    <w:p w14:paraId="63C43C7A" w14:textId="77777777" w:rsidR="00832A89" w:rsidRPr="00DE74E3" w:rsidRDefault="00832A89" w:rsidP="00D65D44">
      <w:pPr>
        <w:widowControl/>
        <w:rPr>
          <w:sz w:val="20"/>
          <w:szCs w:val="20"/>
        </w:rPr>
      </w:pPr>
    </w:p>
    <w:p w14:paraId="7A5112F2" w14:textId="77777777" w:rsidR="00563828" w:rsidRPr="00DE74E3" w:rsidRDefault="00995AC0" w:rsidP="00645BE6">
      <w:pPr>
        <w:ind w:firstLine="720"/>
        <w:rPr>
          <w:sz w:val="20"/>
          <w:szCs w:val="20"/>
        </w:rPr>
      </w:pPr>
      <w:r w:rsidRPr="00DE74E3">
        <w:rPr>
          <w:sz w:val="20"/>
          <w:szCs w:val="20"/>
        </w:rPr>
        <w:t>Indigenous peoples’ collective rights deserve serious attention in the future instrument</w:t>
      </w:r>
      <w:r w:rsidR="00107E03" w:rsidRPr="00DE74E3">
        <w:rPr>
          <w:sz w:val="20"/>
          <w:szCs w:val="20"/>
        </w:rPr>
        <w:t>,</w:t>
      </w:r>
      <w:r w:rsidR="00355BC4" w:rsidRPr="00DE74E3">
        <w:rPr>
          <w:sz w:val="20"/>
          <w:szCs w:val="20"/>
        </w:rPr>
        <w:t xml:space="preserve"> </w:t>
      </w:r>
      <w:r w:rsidRPr="00DE74E3">
        <w:rPr>
          <w:sz w:val="20"/>
          <w:szCs w:val="20"/>
        </w:rPr>
        <w:t xml:space="preserve">because </w:t>
      </w:r>
      <w:r w:rsidR="00D65D44" w:rsidRPr="00DE74E3">
        <w:rPr>
          <w:sz w:val="20"/>
          <w:szCs w:val="20"/>
        </w:rPr>
        <w:t xml:space="preserve">in </w:t>
      </w:r>
      <w:r w:rsidR="00355BC4" w:rsidRPr="00DE74E3">
        <w:rPr>
          <w:sz w:val="20"/>
          <w:szCs w:val="20"/>
        </w:rPr>
        <w:t xml:space="preserve">conducting </w:t>
      </w:r>
      <w:r w:rsidR="00D65D44" w:rsidRPr="00DE74E3">
        <w:rPr>
          <w:sz w:val="20"/>
          <w:szCs w:val="20"/>
        </w:rPr>
        <w:t xml:space="preserve">a human rights impact assessment, </w:t>
      </w:r>
      <w:r w:rsidR="00355BC4" w:rsidRPr="00DE74E3">
        <w:rPr>
          <w:sz w:val="20"/>
          <w:szCs w:val="20"/>
        </w:rPr>
        <w:t xml:space="preserve">assessing the presence of and risks to </w:t>
      </w:r>
      <w:r w:rsidR="00D65D44" w:rsidRPr="00DE74E3">
        <w:rPr>
          <w:sz w:val="20"/>
          <w:szCs w:val="20"/>
        </w:rPr>
        <w:t>collectively held human rights can pose a unique challenge. For example, conducting consultation with indigenous people</w:t>
      </w:r>
      <w:r w:rsidR="00355BC4" w:rsidRPr="00DE74E3">
        <w:rPr>
          <w:sz w:val="20"/>
          <w:szCs w:val="20"/>
        </w:rPr>
        <w:t>s</w:t>
      </w:r>
      <w:r w:rsidR="00D65D44" w:rsidRPr="00DE74E3">
        <w:rPr>
          <w:sz w:val="20"/>
          <w:szCs w:val="20"/>
        </w:rPr>
        <w:t xml:space="preserve"> and acquiring</w:t>
      </w:r>
      <w:r w:rsidR="004A7655" w:rsidRPr="00DE74E3">
        <w:rPr>
          <w:sz w:val="20"/>
          <w:szCs w:val="20"/>
        </w:rPr>
        <w:t xml:space="preserve"> free,</w:t>
      </w:r>
      <w:r w:rsidR="00D65D44" w:rsidRPr="00DE74E3">
        <w:rPr>
          <w:sz w:val="20"/>
          <w:szCs w:val="20"/>
        </w:rPr>
        <w:t xml:space="preserve"> prior and informed consent for proposed project activities usually requires engaging</w:t>
      </w:r>
      <w:r w:rsidR="004D1AB3" w:rsidRPr="00DE74E3">
        <w:rPr>
          <w:sz w:val="20"/>
          <w:szCs w:val="20"/>
        </w:rPr>
        <w:t xml:space="preserve"> with</w:t>
      </w:r>
      <w:r w:rsidR="00D65D44" w:rsidRPr="00DE74E3">
        <w:rPr>
          <w:sz w:val="20"/>
          <w:szCs w:val="20"/>
        </w:rPr>
        <w:t xml:space="preserve"> representatives of the rights-holders</w:t>
      </w:r>
      <w:r w:rsidR="004D1AB3" w:rsidRPr="00DE74E3">
        <w:rPr>
          <w:sz w:val="20"/>
          <w:szCs w:val="20"/>
        </w:rPr>
        <w:t>--</w:t>
      </w:r>
      <w:r w:rsidR="00D65D44" w:rsidRPr="00DE74E3">
        <w:rPr>
          <w:sz w:val="20"/>
          <w:szCs w:val="20"/>
        </w:rPr>
        <w:t xml:space="preserve"> </w:t>
      </w:r>
      <w:r w:rsidR="00DB2248" w:rsidRPr="00DE74E3">
        <w:rPr>
          <w:sz w:val="20"/>
          <w:szCs w:val="20"/>
        </w:rPr>
        <w:t>the people</w:t>
      </w:r>
      <w:r w:rsidR="00D65D44" w:rsidRPr="00DE74E3">
        <w:rPr>
          <w:sz w:val="20"/>
          <w:szCs w:val="20"/>
        </w:rPr>
        <w:t xml:space="preserve"> or community concerned. Indigenous human rights include extensive rights relating to self-governance and indigenous co</w:t>
      </w:r>
      <w:r w:rsidRPr="00DE74E3">
        <w:rPr>
          <w:sz w:val="20"/>
          <w:szCs w:val="20"/>
        </w:rPr>
        <w:t>ntrol over lands and resources.</w:t>
      </w:r>
      <w:r w:rsidR="00355BC4" w:rsidRPr="00DE74E3">
        <w:rPr>
          <w:sz w:val="20"/>
          <w:szCs w:val="20"/>
        </w:rPr>
        <w:t xml:space="preserve"> </w:t>
      </w:r>
      <w:r w:rsidR="00D65D44" w:rsidRPr="00DE74E3">
        <w:rPr>
          <w:sz w:val="20"/>
          <w:szCs w:val="20"/>
        </w:rPr>
        <w:t xml:space="preserve">Failing to understand the extent of these collective </w:t>
      </w:r>
      <w:r w:rsidR="00D65D44" w:rsidRPr="00DE74E3">
        <w:rPr>
          <w:sz w:val="20"/>
          <w:szCs w:val="20"/>
        </w:rPr>
        <w:lastRenderedPageBreak/>
        <w:t xml:space="preserve">rights </w:t>
      </w:r>
      <w:r w:rsidR="00355BC4" w:rsidRPr="00DE74E3">
        <w:rPr>
          <w:sz w:val="20"/>
          <w:szCs w:val="20"/>
        </w:rPr>
        <w:t xml:space="preserve">can lead to consultation processes that actually </w:t>
      </w:r>
      <w:r w:rsidR="00D65D44" w:rsidRPr="00DE74E3">
        <w:rPr>
          <w:sz w:val="20"/>
          <w:szCs w:val="20"/>
        </w:rPr>
        <w:t>undermin</w:t>
      </w:r>
      <w:r w:rsidR="00355BC4" w:rsidRPr="00DE74E3">
        <w:rPr>
          <w:sz w:val="20"/>
          <w:szCs w:val="20"/>
        </w:rPr>
        <w:t>e</w:t>
      </w:r>
      <w:r w:rsidR="00D65D44" w:rsidRPr="00DE74E3">
        <w:rPr>
          <w:sz w:val="20"/>
          <w:szCs w:val="20"/>
        </w:rPr>
        <w:t xml:space="preserve"> traditional indigenous means of decision-making </w:t>
      </w:r>
      <w:r w:rsidR="00AA23D4" w:rsidRPr="00DE74E3">
        <w:rPr>
          <w:sz w:val="20"/>
          <w:szCs w:val="20"/>
        </w:rPr>
        <w:t>and</w:t>
      </w:r>
      <w:r w:rsidR="00D65D44" w:rsidRPr="00DE74E3">
        <w:rPr>
          <w:sz w:val="20"/>
          <w:szCs w:val="20"/>
        </w:rPr>
        <w:t xml:space="preserve"> run afoul of international human rights standards. </w:t>
      </w:r>
      <w:r w:rsidRPr="00DE74E3">
        <w:rPr>
          <w:sz w:val="20"/>
          <w:szCs w:val="20"/>
        </w:rPr>
        <w:t xml:space="preserve"> </w:t>
      </w:r>
    </w:p>
    <w:p w14:paraId="1350CD12" w14:textId="77777777" w:rsidR="00563828" w:rsidRPr="00DE74E3" w:rsidRDefault="00563828" w:rsidP="00645BE6">
      <w:pPr>
        <w:ind w:firstLine="720"/>
        <w:rPr>
          <w:sz w:val="20"/>
          <w:szCs w:val="20"/>
        </w:rPr>
      </w:pPr>
    </w:p>
    <w:p w14:paraId="1DD7E875" w14:textId="77777777" w:rsidR="005C0894" w:rsidRPr="00DE74E3" w:rsidRDefault="005C0894" w:rsidP="00645BE6">
      <w:pPr>
        <w:ind w:firstLine="720"/>
        <w:rPr>
          <w:sz w:val="20"/>
          <w:szCs w:val="20"/>
        </w:rPr>
      </w:pPr>
      <w:r w:rsidRPr="00DE74E3">
        <w:rPr>
          <w:sz w:val="20"/>
          <w:szCs w:val="20"/>
        </w:rPr>
        <w:t xml:space="preserve">The complexity of addressing these collective human rights is illustrated by a recent case before the Inter-American Court of Human Rights, which suggests that in some </w:t>
      </w:r>
      <w:r w:rsidR="00C8773A" w:rsidRPr="00DE74E3">
        <w:rPr>
          <w:sz w:val="20"/>
          <w:szCs w:val="20"/>
        </w:rPr>
        <w:t>instances</w:t>
      </w:r>
      <w:r w:rsidRPr="00DE74E3">
        <w:rPr>
          <w:sz w:val="20"/>
          <w:szCs w:val="20"/>
        </w:rPr>
        <w:t xml:space="preserve"> even securing the support of traditional leaders</w:t>
      </w:r>
      <w:r w:rsidR="00BA095F" w:rsidRPr="00DE74E3">
        <w:rPr>
          <w:sz w:val="20"/>
          <w:szCs w:val="20"/>
        </w:rPr>
        <w:t>,</w:t>
      </w:r>
      <w:r w:rsidRPr="00DE74E3">
        <w:rPr>
          <w:sz w:val="20"/>
          <w:szCs w:val="20"/>
        </w:rPr>
        <w:t xml:space="preserve"> in the absence of a community consensus</w:t>
      </w:r>
      <w:r w:rsidR="00BA095F" w:rsidRPr="00DE74E3">
        <w:rPr>
          <w:sz w:val="20"/>
          <w:szCs w:val="20"/>
        </w:rPr>
        <w:t>,</w:t>
      </w:r>
      <w:r w:rsidRPr="00DE74E3">
        <w:rPr>
          <w:sz w:val="20"/>
          <w:szCs w:val="20"/>
        </w:rPr>
        <w:t xml:space="preserve"> may not shield corporations from risks associated with violations of collective human rights.</w:t>
      </w:r>
      <w:r w:rsidR="00563828" w:rsidRPr="00DE74E3">
        <w:rPr>
          <w:sz w:val="20"/>
          <w:szCs w:val="20"/>
        </w:rPr>
        <w:t xml:space="preserve"> </w:t>
      </w:r>
      <w:r w:rsidRPr="00DE74E3">
        <w:rPr>
          <w:sz w:val="20"/>
          <w:szCs w:val="20"/>
        </w:rPr>
        <w:t>In that case, the court noted that human rights tribunals must consider complaints alleging violations of human rights, including collectively held property rights, made by community members, even when recognized traditional leaders oppose the human rights complaint.</w:t>
      </w:r>
      <w:r w:rsidRPr="00DE74E3">
        <w:rPr>
          <w:rStyle w:val="FootnoteReference"/>
          <w:sz w:val="20"/>
          <w:szCs w:val="20"/>
          <w:vertAlign w:val="superscript"/>
        </w:rPr>
        <w:footnoteReference w:id="7"/>
      </w:r>
      <w:r w:rsidRPr="00DE74E3">
        <w:rPr>
          <w:sz w:val="20"/>
          <w:szCs w:val="20"/>
          <w:vertAlign w:val="superscript"/>
        </w:rPr>
        <w:t xml:space="preserve"> </w:t>
      </w:r>
      <w:r w:rsidRPr="00DE74E3">
        <w:rPr>
          <w:sz w:val="20"/>
          <w:szCs w:val="20"/>
        </w:rPr>
        <w:t xml:space="preserve">To effectively protect indigenous peoples’ human rights and to set clear standards for businesses, the proposed instrument will need to give careful attention to the details of indigenous peoples’ collective rights.  </w:t>
      </w:r>
    </w:p>
    <w:p w14:paraId="7EFD9DD4" w14:textId="77777777" w:rsidR="004D1AB3" w:rsidRPr="00DE74E3" w:rsidRDefault="004D1AB3" w:rsidP="00DB2248">
      <w:pPr>
        <w:rPr>
          <w:b/>
          <w:sz w:val="20"/>
          <w:szCs w:val="20"/>
        </w:rPr>
      </w:pPr>
    </w:p>
    <w:p w14:paraId="629CB93C" w14:textId="77777777" w:rsidR="00A84F83" w:rsidRPr="00DE74E3" w:rsidRDefault="004D1AB3" w:rsidP="00DB2248">
      <w:pPr>
        <w:rPr>
          <w:b/>
          <w:sz w:val="20"/>
          <w:szCs w:val="20"/>
        </w:rPr>
      </w:pPr>
      <w:r w:rsidRPr="00DE74E3">
        <w:rPr>
          <w:b/>
          <w:sz w:val="20"/>
          <w:szCs w:val="20"/>
        </w:rPr>
        <w:t>Scope</w:t>
      </w:r>
      <w:r w:rsidR="00FE18F3" w:rsidRPr="00DE74E3">
        <w:rPr>
          <w:b/>
          <w:sz w:val="20"/>
          <w:szCs w:val="20"/>
        </w:rPr>
        <w:t xml:space="preserve">: </w:t>
      </w:r>
      <w:r w:rsidR="00E15A09" w:rsidRPr="00DE74E3">
        <w:rPr>
          <w:b/>
          <w:sz w:val="20"/>
          <w:szCs w:val="20"/>
        </w:rPr>
        <w:t>Public Sector</w:t>
      </w:r>
      <w:r w:rsidR="00A84F83" w:rsidRPr="00DE74E3">
        <w:rPr>
          <w:b/>
          <w:sz w:val="20"/>
          <w:szCs w:val="20"/>
        </w:rPr>
        <w:t xml:space="preserve"> Financial Institutions</w:t>
      </w:r>
    </w:p>
    <w:p w14:paraId="317B304E" w14:textId="77777777" w:rsidR="00A84F83" w:rsidRPr="00DE74E3" w:rsidRDefault="00A84F83" w:rsidP="006F2EE7">
      <w:pPr>
        <w:ind w:firstLine="720"/>
        <w:rPr>
          <w:sz w:val="20"/>
          <w:szCs w:val="20"/>
        </w:rPr>
      </w:pPr>
    </w:p>
    <w:p w14:paraId="5DF8DD53" w14:textId="77777777" w:rsidR="00C1148A" w:rsidRPr="00DE74E3" w:rsidRDefault="00DC0FB6" w:rsidP="000556E9">
      <w:pPr>
        <w:ind w:firstLine="720"/>
        <w:rPr>
          <w:sz w:val="20"/>
          <w:szCs w:val="20"/>
        </w:rPr>
      </w:pPr>
      <w:r w:rsidRPr="00DE74E3">
        <w:rPr>
          <w:sz w:val="20"/>
          <w:szCs w:val="20"/>
        </w:rPr>
        <w:t>The Center</w:t>
      </w:r>
      <w:r w:rsidR="006F2EE7" w:rsidRPr="00DE74E3">
        <w:rPr>
          <w:sz w:val="20"/>
          <w:szCs w:val="20"/>
        </w:rPr>
        <w:t xml:space="preserve"> urge</w:t>
      </w:r>
      <w:r w:rsidRPr="00DE74E3">
        <w:rPr>
          <w:sz w:val="20"/>
          <w:szCs w:val="20"/>
        </w:rPr>
        <w:t>s</w:t>
      </w:r>
      <w:r w:rsidR="006F2EE7" w:rsidRPr="00DE74E3">
        <w:rPr>
          <w:sz w:val="20"/>
          <w:szCs w:val="20"/>
        </w:rPr>
        <w:t xml:space="preserve"> the Working Group to</w:t>
      </w:r>
      <w:r w:rsidR="00C90867" w:rsidRPr="00DE74E3">
        <w:rPr>
          <w:sz w:val="20"/>
          <w:szCs w:val="20"/>
        </w:rPr>
        <w:t xml:space="preserve"> </w:t>
      </w:r>
      <w:r w:rsidR="005C0894" w:rsidRPr="00DE74E3">
        <w:rPr>
          <w:sz w:val="20"/>
          <w:szCs w:val="20"/>
        </w:rPr>
        <w:t xml:space="preserve">include </w:t>
      </w:r>
      <w:r w:rsidR="00E15A09" w:rsidRPr="00DE74E3">
        <w:rPr>
          <w:sz w:val="20"/>
          <w:szCs w:val="20"/>
        </w:rPr>
        <w:t>public sector</w:t>
      </w:r>
      <w:r w:rsidR="00C90867" w:rsidRPr="00DE74E3">
        <w:rPr>
          <w:sz w:val="20"/>
          <w:szCs w:val="20"/>
        </w:rPr>
        <w:t xml:space="preserve"> financial institutions </w:t>
      </w:r>
      <w:r w:rsidR="004D1AB3" w:rsidRPr="00DE74E3">
        <w:rPr>
          <w:sz w:val="20"/>
          <w:szCs w:val="20"/>
        </w:rPr>
        <w:t>with</w:t>
      </w:r>
      <w:r w:rsidR="005C0894" w:rsidRPr="00DE74E3">
        <w:rPr>
          <w:sz w:val="20"/>
          <w:szCs w:val="20"/>
        </w:rPr>
        <w:t xml:space="preserve">in the </w:t>
      </w:r>
      <w:r w:rsidR="00B25134" w:rsidRPr="00DE74E3">
        <w:rPr>
          <w:sz w:val="20"/>
          <w:szCs w:val="20"/>
        </w:rPr>
        <w:t>scope</w:t>
      </w:r>
      <w:r w:rsidR="005C0894" w:rsidRPr="00DE74E3">
        <w:rPr>
          <w:sz w:val="20"/>
          <w:szCs w:val="20"/>
        </w:rPr>
        <w:t xml:space="preserve"> of</w:t>
      </w:r>
      <w:r w:rsidR="00E15A09" w:rsidRPr="00DE74E3">
        <w:rPr>
          <w:sz w:val="20"/>
          <w:szCs w:val="20"/>
        </w:rPr>
        <w:t xml:space="preserve"> the </w:t>
      </w:r>
      <w:r w:rsidR="005C0894" w:rsidRPr="00DE74E3">
        <w:rPr>
          <w:sz w:val="20"/>
          <w:szCs w:val="20"/>
        </w:rPr>
        <w:t xml:space="preserve">proposed </w:t>
      </w:r>
      <w:r w:rsidR="00C1148A" w:rsidRPr="00DE74E3">
        <w:rPr>
          <w:sz w:val="20"/>
          <w:szCs w:val="20"/>
        </w:rPr>
        <w:t>instrument</w:t>
      </w:r>
      <w:r w:rsidR="005C0894" w:rsidRPr="00DE74E3">
        <w:rPr>
          <w:sz w:val="20"/>
          <w:szCs w:val="20"/>
        </w:rPr>
        <w:t>.</w:t>
      </w:r>
      <w:r w:rsidR="00C1148A" w:rsidRPr="00DE74E3">
        <w:rPr>
          <w:sz w:val="20"/>
          <w:szCs w:val="20"/>
        </w:rPr>
        <w:t xml:space="preserve"> </w:t>
      </w:r>
      <w:r w:rsidR="00E15A09" w:rsidRPr="00DE74E3">
        <w:rPr>
          <w:sz w:val="20"/>
          <w:szCs w:val="20"/>
        </w:rPr>
        <w:t>A</w:t>
      </w:r>
      <w:r w:rsidR="00D44224" w:rsidRPr="00DE74E3">
        <w:rPr>
          <w:sz w:val="20"/>
          <w:szCs w:val="20"/>
        </w:rPr>
        <w:t>ddress</w:t>
      </w:r>
      <w:r w:rsidR="00E15A09" w:rsidRPr="00DE74E3">
        <w:rPr>
          <w:sz w:val="20"/>
          <w:szCs w:val="20"/>
        </w:rPr>
        <w:t>ing</w:t>
      </w:r>
      <w:r w:rsidR="00D44224" w:rsidRPr="00DE74E3">
        <w:rPr>
          <w:sz w:val="20"/>
          <w:szCs w:val="20"/>
        </w:rPr>
        <w:t xml:space="preserve"> the full range of </w:t>
      </w:r>
      <w:r w:rsidR="004E4776" w:rsidRPr="00DE74E3">
        <w:rPr>
          <w:sz w:val="20"/>
          <w:szCs w:val="20"/>
        </w:rPr>
        <w:t>actors involved in human rights violations</w:t>
      </w:r>
      <w:r w:rsidR="00D44224" w:rsidRPr="00DE74E3">
        <w:rPr>
          <w:sz w:val="20"/>
          <w:szCs w:val="20"/>
        </w:rPr>
        <w:t xml:space="preserve"> in the business context </w:t>
      </w:r>
      <w:r w:rsidR="00E15A09" w:rsidRPr="00DE74E3">
        <w:rPr>
          <w:sz w:val="20"/>
          <w:szCs w:val="20"/>
        </w:rPr>
        <w:t xml:space="preserve">will allow the Working Group to </w:t>
      </w:r>
      <w:r w:rsidR="00A179E9" w:rsidRPr="00DE74E3">
        <w:rPr>
          <w:sz w:val="20"/>
          <w:szCs w:val="20"/>
        </w:rPr>
        <w:t xml:space="preserve">comprehensively address all </w:t>
      </w:r>
      <w:r w:rsidR="00D44224" w:rsidRPr="00DE74E3">
        <w:rPr>
          <w:sz w:val="20"/>
          <w:szCs w:val="20"/>
        </w:rPr>
        <w:t>relevant</w:t>
      </w:r>
      <w:r w:rsidR="00FE18F3" w:rsidRPr="00DE74E3">
        <w:rPr>
          <w:sz w:val="20"/>
          <w:szCs w:val="20"/>
        </w:rPr>
        <w:t xml:space="preserve"> liability issues</w:t>
      </w:r>
      <w:r w:rsidR="00E15A09" w:rsidRPr="00DE74E3">
        <w:rPr>
          <w:sz w:val="20"/>
          <w:szCs w:val="20"/>
        </w:rPr>
        <w:t xml:space="preserve">, </w:t>
      </w:r>
      <w:r w:rsidR="005C0894" w:rsidRPr="00DE74E3">
        <w:rPr>
          <w:sz w:val="20"/>
          <w:szCs w:val="20"/>
        </w:rPr>
        <w:t>including cases where</w:t>
      </w:r>
      <w:r w:rsidR="00E15A09" w:rsidRPr="00DE74E3">
        <w:rPr>
          <w:sz w:val="20"/>
          <w:szCs w:val="20"/>
        </w:rPr>
        <w:t xml:space="preserve"> corporate abuses </w:t>
      </w:r>
      <w:r w:rsidR="00F55592" w:rsidRPr="00DE74E3">
        <w:rPr>
          <w:sz w:val="20"/>
          <w:szCs w:val="20"/>
        </w:rPr>
        <w:t>occur in</w:t>
      </w:r>
      <w:r w:rsidR="00E15A09" w:rsidRPr="00DE74E3">
        <w:rPr>
          <w:sz w:val="20"/>
          <w:szCs w:val="20"/>
        </w:rPr>
        <w:t xml:space="preserve"> projects that have received public financing.</w:t>
      </w:r>
    </w:p>
    <w:p w14:paraId="2F4FB3D0" w14:textId="77777777" w:rsidR="00C1148A" w:rsidRPr="00DE74E3" w:rsidRDefault="00C1148A" w:rsidP="000556E9">
      <w:pPr>
        <w:ind w:firstLine="720"/>
        <w:rPr>
          <w:sz w:val="20"/>
          <w:szCs w:val="20"/>
        </w:rPr>
      </w:pPr>
    </w:p>
    <w:p w14:paraId="1FB1F34E" w14:textId="77777777" w:rsidR="00FE18F3" w:rsidRPr="00DE74E3" w:rsidRDefault="00E15A09" w:rsidP="000556E9">
      <w:pPr>
        <w:ind w:firstLine="720"/>
        <w:rPr>
          <w:sz w:val="20"/>
          <w:szCs w:val="20"/>
        </w:rPr>
      </w:pPr>
      <w:r w:rsidRPr="00DE74E3">
        <w:rPr>
          <w:sz w:val="20"/>
          <w:szCs w:val="20"/>
        </w:rPr>
        <w:t xml:space="preserve">Public sector financial institutions are banks owned and controlled by one or more states.  </w:t>
      </w:r>
      <w:r w:rsidR="00D84E4A" w:rsidRPr="00DE74E3">
        <w:rPr>
          <w:sz w:val="20"/>
          <w:szCs w:val="20"/>
        </w:rPr>
        <w:t>T</w:t>
      </w:r>
      <w:r w:rsidRPr="00DE74E3">
        <w:rPr>
          <w:sz w:val="20"/>
          <w:szCs w:val="20"/>
        </w:rPr>
        <w:t>he Brazilian Development Bank</w:t>
      </w:r>
      <w:r w:rsidR="00D84E4A" w:rsidRPr="00DE74E3">
        <w:rPr>
          <w:rStyle w:val="FootnoteReference"/>
          <w:sz w:val="20"/>
          <w:szCs w:val="20"/>
          <w:vertAlign w:val="superscript"/>
        </w:rPr>
        <w:footnoteReference w:id="8"/>
      </w:r>
      <w:r w:rsidRPr="00DE74E3">
        <w:rPr>
          <w:sz w:val="20"/>
          <w:szCs w:val="20"/>
        </w:rPr>
        <w:t xml:space="preserve"> </w:t>
      </w:r>
      <w:r w:rsidR="00D84E4A" w:rsidRPr="00DE74E3">
        <w:rPr>
          <w:sz w:val="20"/>
          <w:szCs w:val="20"/>
        </w:rPr>
        <w:t>and China Development Bank</w:t>
      </w:r>
      <w:r w:rsidR="00D84E4A" w:rsidRPr="00DE74E3">
        <w:rPr>
          <w:rStyle w:val="FootnoteReference"/>
          <w:sz w:val="20"/>
          <w:szCs w:val="20"/>
          <w:vertAlign w:val="superscript"/>
        </w:rPr>
        <w:footnoteReference w:id="9"/>
      </w:r>
      <w:r w:rsidR="00D84E4A" w:rsidRPr="00DE74E3">
        <w:rPr>
          <w:sz w:val="20"/>
          <w:szCs w:val="20"/>
          <w:vertAlign w:val="superscript"/>
        </w:rPr>
        <w:t xml:space="preserve"> </w:t>
      </w:r>
      <w:r w:rsidR="00D84E4A" w:rsidRPr="00DE74E3">
        <w:rPr>
          <w:sz w:val="20"/>
          <w:szCs w:val="20"/>
        </w:rPr>
        <w:t>are example</w:t>
      </w:r>
      <w:r w:rsidR="00B73A7D" w:rsidRPr="00DE74E3">
        <w:rPr>
          <w:sz w:val="20"/>
          <w:szCs w:val="20"/>
        </w:rPr>
        <w:t>s</w:t>
      </w:r>
      <w:r w:rsidR="00D84E4A" w:rsidRPr="00DE74E3">
        <w:rPr>
          <w:sz w:val="20"/>
          <w:szCs w:val="20"/>
        </w:rPr>
        <w:t xml:space="preserve"> of banks owned and controlled by only one state. </w:t>
      </w:r>
      <w:r w:rsidR="00953951" w:rsidRPr="00DE74E3">
        <w:rPr>
          <w:sz w:val="20"/>
          <w:szCs w:val="20"/>
        </w:rPr>
        <w:t xml:space="preserve"> </w:t>
      </w:r>
      <w:r w:rsidR="005C0894" w:rsidRPr="00DE74E3">
        <w:rPr>
          <w:sz w:val="20"/>
          <w:szCs w:val="20"/>
        </w:rPr>
        <w:t>T</w:t>
      </w:r>
      <w:r w:rsidR="00D84E4A" w:rsidRPr="00DE74E3">
        <w:rPr>
          <w:sz w:val="20"/>
          <w:szCs w:val="20"/>
        </w:rPr>
        <w:t xml:space="preserve">he New Development Bank </w:t>
      </w:r>
      <w:r w:rsidR="00697438" w:rsidRPr="00DE74E3">
        <w:rPr>
          <w:sz w:val="20"/>
          <w:szCs w:val="20"/>
        </w:rPr>
        <w:t xml:space="preserve">BRICS </w:t>
      </w:r>
      <w:r w:rsidR="0037785E" w:rsidRPr="00DE74E3">
        <w:rPr>
          <w:sz w:val="20"/>
          <w:szCs w:val="20"/>
        </w:rPr>
        <w:t xml:space="preserve">(formerly referred to as the </w:t>
      </w:r>
      <w:r w:rsidR="00D84E4A" w:rsidRPr="00DE74E3">
        <w:rPr>
          <w:sz w:val="20"/>
          <w:szCs w:val="20"/>
        </w:rPr>
        <w:t>BRICS</w:t>
      </w:r>
      <w:r w:rsidR="0037785E" w:rsidRPr="00DE74E3">
        <w:rPr>
          <w:sz w:val="20"/>
          <w:szCs w:val="20"/>
        </w:rPr>
        <w:t xml:space="preserve"> Development Bank)</w:t>
      </w:r>
      <w:r w:rsidR="00D84E4A" w:rsidRPr="00DE74E3">
        <w:rPr>
          <w:sz w:val="20"/>
          <w:szCs w:val="20"/>
        </w:rPr>
        <w:t>,</w:t>
      </w:r>
      <w:r w:rsidR="00D84E4A" w:rsidRPr="00DE74E3">
        <w:rPr>
          <w:rStyle w:val="FootnoteReference"/>
          <w:sz w:val="20"/>
          <w:szCs w:val="20"/>
          <w:vertAlign w:val="superscript"/>
        </w:rPr>
        <w:footnoteReference w:id="10"/>
      </w:r>
      <w:r w:rsidR="00D84E4A" w:rsidRPr="00DE74E3">
        <w:rPr>
          <w:sz w:val="20"/>
          <w:szCs w:val="20"/>
        </w:rPr>
        <w:t xml:space="preserve"> the International Bank for Reconstruction and Development (the World Bank),</w:t>
      </w:r>
      <w:r w:rsidR="00D84E4A" w:rsidRPr="00DE74E3">
        <w:rPr>
          <w:rStyle w:val="FootnoteReference"/>
          <w:sz w:val="20"/>
          <w:szCs w:val="20"/>
          <w:vertAlign w:val="superscript"/>
        </w:rPr>
        <w:footnoteReference w:id="11"/>
      </w:r>
      <w:r w:rsidR="00D84E4A" w:rsidRPr="00DE74E3">
        <w:rPr>
          <w:sz w:val="20"/>
          <w:szCs w:val="20"/>
          <w:vertAlign w:val="superscript"/>
        </w:rPr>
        <w:t xml:space="preserve"> </w:t>
      </w:r>
      <w:r w:rsidR="00D84E4A" w:rsidRPr="00DE74E3">
        <w:rPr>
          <w:sz w:val="20"/>
          <w:szCs w:val="20"/>
        </w:rPr>
        <w:t>the International Finance Corporation,</w:t>
      </w:r>
      <w:r w:rsidR="00D84E4A" w:rsidRPr="00DE74E3">
        <w:rPr>
          <w:rStyle w:val="FootnoteReference"/>
          <w:sz w:val="20"/>
          <w:szCs w:val="20"/>
          <w:vertAlign w:val="superscript"/>
        </w:rPr>
        <w:footnoteReference w:id="12"/>
      </w:r>
      <w:r w:rsidR="005C0894" w:rsidRPr="00DE74E3">
        <w:rPr>
          <w:sz w:val="20"/>
          <w:szCs w:val="20"/>
        </w:rPr>
        <w:t xml:space="preserve"> and</w:t>
      </w:r>
      <w:r w:rsidR="00D84E4A" w:rsidRPr="00DE74E3">
        <w:rPr>
          <w:sz w:val="20"/>
          <w:szCs w:val="20"/>
        </w:rPr>
        <w:t xml:space="preserve"> the Inter-American Development Bank</w:t>
      </w:r>
      <w:r w:rsidR="0037785E" w:rsidRPr="00DE74E3">
        <w:rPr>
          <w:sz w:val="20"/>
          <w:szCs w:val="20"/>
        </w:rPr>
        <w:t xml:space="preserve"> (IDB)</w:t>
      </w:r>
      <w:r w:rsidR="00D84E4A" w:rsidRPr="00DE74E3">
        <w:rPr>
          <w:sz w:val="20"/>
          <w:szCs w:val="20"/>
        </w:rPr>
        <w:t>,</w:t>
      </w:r>
      <w:r w:rsidR="00D84E4A" w:rsidRPr="00DE74E3">
        <w:rPr>
          <w:rStyle w:val="FootnoteReference"/>
          <w:sz w:val="20"/>
          <w:szCs w:val="20"/>
          <w:vertAlign w:val="superscript"/>
        </w:rPr>
        <w:footnoteReference w:id="13"/>
      </w:r>
      <w:r w:rsidR="00D84E4A" w:rsidRPr="00DE74E3">
        <w:rPr>
          <w:sz w:val="20"/>
          <w:szCs w:val="20"/>
          <w:vertAlign w:val="superscript"/>
        </w:rPr>
        <w:t xml:space="preserve"> </w:t>
      </w:r>
      <w:r w:rsidR="005C0894" w:rsidRPr="00DE74E3">
        <w:rPr>
          <w:sz w:val="20"/>
          <w:szCs w:val="20"/>
        </w:rPr>
        <w:t xml:space="preserve">are </w:t>
      </w:r>
      <w:r w:rsidR="0037785E" w:rsidRPr="00DE74E3">
        <w:rPr>
          <w:sz w:val="20"/>
          <w:szCs w:val="20"/>
        </w:rPr>
        <w:t xml:space="preserve">all </w:t>
      </w:r>
      <w:r w:rsidR="005C0894" w:rsidRPr="00DE74E3">
        <w:rPr>
          <w:sz w:val="20"/>
          <w:szCs w:val="20"/>
        </w:rPr>
        <w:t>examples of banks controlled and owned by more than one state.</w:t>
      </w:r>
      <w:r w:rsidR="005C0894" w:rsidRPr="00DE74E3" w:rsidDel="005C0894">
        <w:rPr>
          <w:sz w:val="20"/>
          <w:szCs w:val="20"/>
        </w:rPr>
        <w:t xml:space="preserve"> </w:t>
      </w:r>
    </w:p>
    <w:p w14:paraId="08CFA86B" w14:textId="77777777" w:rsidR="00C1148A" w:rsidRPr="00DE74E3" w:rsidRDefault="00C1148A" w:rsidP="004A7655">
      <w:pPr>
        <w:rPr>
          <w:sz w:val="20"/>
          <w:szCs w:val="20"/>
        </w:rPr>
      </w:pPr>
    </w:p>
    <w:p w14:paraId="217CC360" w14:textId="77777777" w:rsidR="00065A13" w:rsidRPr="00DE74E3" w:rsidRDefault="0037785E" w:rsidP="00065A13">
      <w:pPr>
        <w:ind w:firstLine="720"/>
        <w:rPr>
          <w:sz w:val="20"/>
          <w:szCs w:val="20"/>
        </w:rPr>
      </w:pPr>
      <w:r w:rsidRPr="00DE74E3">
        <w:rPr>
          <w:sz w:val="20"/>
          <w:szCs w:val="20"/>
        </w:rPr>
        <w:t>It is important for t</w:t>
      </w:r>
      <w:r w:rsidR="00E57BCD" w:rsidRPr="00DE74E3">
        <w:rPr>
          <w:sz w:val="20"/>
          <w:szCs w:val="20"/>
        </w:rPr>
        <w:t xml:space="preserve">he Working Group </w:t>
      </w:r>
      <w:r w:rsidRPr="00DE74E3">
        <w:rPr>
          <w:sz w:val="20"/>
          <w:szCs w:val="20"/>
        </w:rPr>
        <w:t xml:space="preserve">to </w:t>
      </w:r>
      <w:r w:rsidR="00832A89" w:rsidRPr="00DE74E3">
        <w:rPr>
          <w:sz w:val="20"/>
          <w:szCs w:val="20"/>
        </w:rPr>
        <w:t xml:space="preserve">address the bank-business nexus </w:t>
      </w:r>
      <w:r w:rsidR="00E57BCD" w:rsidRPr="00DE74E3">
        <w:rPr>
          <w:sz w:val="20"/>
          <w:szCs w:val="20"/>
        </w:rPr>
        <w:t xml:space="preserve">within the </w:t>
      </w:r>
      <w:r w:rsidR="00392EE0" w:rsidRPr="00DE74E3">
        <w:rPr>
          <w:sz w:val="20"/>
          <w:szCs w:val="20"/>
        </w:rPr>
        <w:t>proposed</w:t>
      </w:r>
      <w:r w:rsidR="00E57BCD" w:rsidRPr="00DE74E3">
        <w:rPr>
          <w:sz w:val="20"/>
          <w:szCs w:val="20"/>
        </w:rPr>
        <w:t xml:space="preserve"> instrument</w:t>
      </w:r>
      <w:r w:rsidRPr="00DE74E3">
        <w:rPr>
          <w:sz w:val="20"/>
          <w:szCs w:val="20"/>
        </w:rPr>
        <w:t xml:space="preserve"> for several reasons</w:t>
      </w:r>
      <w:r w:rsidR="00E57BCD" w:rsidRPr="00DE74E3">
        <w:rPr>
          <w:sz w:val="20"/>
          <w:szCs w:val="20"/>
        </w:rPr>
        <w:t xml:space="preserve">.  </w:t>
      </w:r>
      <w:r w:rsidR="001C1379" w:rsidRPr="00DE74E3">
        <w:rPr>
          <w:sz w:val="20"/>
          <w:szCs w:val="20"/>
        </w:rPr>
        <w:t>First,</w:t>
      </w:r>
      <w:r w:rsidR="00E57BCD" w:rsidRPr="00DE74E3">
        <w:rPr>
          <w:sz w:val="20"/>
          <w:szCs w:val="20"/>
        </w:rPr>
        <w:t xml:space="preserve"> </w:t>
      </w:r>
      <w:r w:rsidR="00832A89" w:rsidRPr="00DE74E3">
        <w:rPr>
          <w:sz w:val="20"/>
          <w:szCs w:val="20"/>
        </w:rPr>
        <w:t>public sector financial institutions</w:t>
      </w:r>
      <w:r w:rsidR="00E57BCD" w:rsidRPr="00DE74E3">
        <w:rPr>
          <w:sz w:val="20"/>
          <w:szCs w:val="20"/>
        </w:rPr>
        <w:t xml:space="preserve"> </w:t>
      </w:r>
      <w:r w:rsidRPr="00DE74E3">
        <w:rPr>
          <w:sz w:val="20"/>
          <w:szCs w:val="20"/>
        </w:rPr>
        <w:t xml:space="preserve">often </w:t>
      </w:r>
      <w:r w:rsidR="00E57BCD" w:rsidRPr="00DE74E3">
        <w:rPr>
          <w:sz w:val="20"/>
          <w:szCs w:val="20"/>
        </w:rPr>
        <w:t xml:space="preserve">fund corporations </w:t>
      </w:r>
      <w:r w:rsidR="002E2231" w:rsidRPr="00DE74E3">
        <w:rPr>
          <w:sz w:val="20"/>
          <w:szCs w:val="20"/>
        </w:rPr>
        <w:t xml:space="preserve">in </w:t>
      </w:r>
      <w:r w:rsidR="00E57BCD" w:rsidRPr="00DE74E3">
        <w:rPr>
          <w:sz w:val="20"/>
          <w:szCs w:val="20"/>
        </w:rPr>
        <w:t xml:space="preserve">business sectors that </w:t>
      </w:r>
      <w:r w:rsidR="00392EE0" w:rsidRPr="00DE74E3">
        <w:rPr>
          <w:sz w:val="20"/>
          <w:szCs w:val="20"/>
        </w:rPr>
        <w:t xml:space="preserve">disproportionately affect </w:t>
      </w:r>
      <w:r w:rsidR="00E57BCD" w:rsidRPr="00DE74E3">
        <w:rPr>
          <w:sz w:val="20"/>
          <w:szCs w:val="20"/>
        </w:rPr>
        <w:t>indigenous communities, such as resource extraction</w:t>
      </w:r>
      <w:r w:rsidRPr="00DE74E3">
        <w:rPr>
          <w:sz w:val="20"/>
          <w:szCs w:val="20"/>
        </w:rPr>
        <w:t>,</w:t>
      </w:r>
      <w:r w:rsidR="00E57BCD" w:rsidRPr="00DE74E3">
        <w:rPr>
          <w:sz w:val="20"/>
          <w:szCs w:val="20"/>
        </w:rPr>
        <w:t xml:space="preserve"> energy </w:t>
      </w:r>
      <w:r w:rsidR="002E2231" w:rsidRPr="00DE74E3">
        <w:rPr>
          <w:sz w:val="20"/>
          <w:szCs w:val="20"/>
        </w:rPr>
        <w:t>development,</w:t>
      </w:r>
      <w:r w:rsidRPr="00DE74E3">
        <w:rPr>
          <w:sz w:val="20"/>
          <w:szCs w:val="20"/>
        </w:rPr>
        <w:t xml:space="preserve"> </w:t>
      </w:r>
      <w:r w:rsidR="00E57BCD" w:rsidRPr="00DE74E3">
        <w:rPr>
          <w:sz w:val="20"/>
          <w:szCs w:val="20"/>
        </w:rPr>
        <w:t>and large-scale infrastructure projects.</w:t>
      </w:r>
      <w:r w:rsidR="00832A89" w:rsidRPr="00DE74E3">
        <w:rPr>
          <w:sz w:val="20"/>
          <w:szCs w:val="20"/>
        </w:rPr>
        <w:t xml:space="preserve">  </w:t>
      </w:r>
      <w:r w:rsidRPr="00DE74E3">
        <w:rPr>
          <w:sz w:val="20"/>
          <w:szCs w:val="20"/>
        </w:rPr>
        <w:t xml:space="preserve">As one </w:t>
      </w:r>
      <w:r w:rsidR="00832A89" w:rsidRPr="00DE74E3">
        <w:rPr>
          <w:sz w:val="20"/>
          <w:szCs w:val="20"/>
        </w:rPr>
        <w:t xml:space="preserve">example, </w:t>
      </w:r>
      <w:r w:rsidR="00006FE0" w:rsidRPr="00DE74E3">
        <w:rPr>
          <w:sz w:val="20"/>
          <w:szCs w:val="20"/>
        </w:rPr>
        <w:t xml:space="preserve">the </w:t>
      </w:r>
      <w:r w:rsidR="009B430F" w:rsidRPr="00DE74E3">
        <w:rPr>
          <w:sz w:val="20"/>
          <w:szCs w:val="20"/>
        </w:rPr>
        <w:t>IDB</w:t>
      </w:r>
      <w:r w:rsidRPr="00DE74E3">
        <w:rPr>
          <w:sz w:val="20"/>
          <w:szCs w:val="20"/>
        </w:rPr>
        <w:t xml:space="preserve"> provides</w:t>
      </w:r>
      <w:r w:rsidR="009B430F" w:rsidRPr="00DE74E3">
        <w:rPr>
          <w:sz w:val="20"/>
          <w:szCs w:val="20"/>
        </w:rPr>
        <w:t xml:space="preserve"> </w:t>
      </w:r>
      <w:r w:rsidR="00006FE0" w:rsidRPr="00DE74E3">
        <w:rPr>
          <w:sz w:val="20"/>
          <w:szCs w:val="20"/>
        </w:rPr>
        <w:t>financial support</w:t>
      </w:r>
      <w:r w:rsidRPr="00DE74E3">
        <w:rPr>
          <w:sz w:val="20"/>
          <w:szCs w:val="20"/>
        </w:rPr>
        <w:t xml:space="preserve"> to the Mareña Renovables Wind Power </w:t>
      </w:r>
      <w:r w:rsidRPr="00DE74E3">
        <w:rPr>
          <w:sz w:val="20"/>
          <w:szCs w:val="20"/>
        </w:rPr>
        <w:lastRenderedPageBreak/>
        <w:t>Project</w:t>
      </w:r>
      <w:r w:rsidR="00E014FC" w:rsidRPr="00DE74E3">
        <w:rPr>
          <w:sz w:val="20"/>
          <w:szCs w:val="20"/>
        </w:rPr>
        <w:t xml:space="preserve"> (now renamed “</w:t>
      </w:r>
      <w:r w:rsidR="00E014FC" w:rsidRPr="00DE74E3">
        <w:rPr>
          <w:sz w:val="20"/>
          <w:szCs w:val="20"/>
          <w:lang w:val="es-AR"/>
        </w:rPr>
        <w:t>Energía Eólica</w:t>
      </w:r>
      <w:r w:rsidR="00E014FC" w:rsidRPr="00DE74E3">
        <w:rPr>
          <w:sz w:val="20"/>
          <w:szCs w:val="20"/>
        </w:rPr>
        <w:t xml:space="preserve"> del Sur”)</w:t>
      </w:r>
      <w:r w:rsidRPr="00DE74E3">
        <w:rPr>
          <w:sz w:val="20"/>
          <w:szCs w:val="20"/>
        </w:rPr>
        <w:t xml:space="preserve"> in Oaxaca, Mexico.</w:t>
      </w:r>
      <w:r w:rsidRPr="00DE74E3">
        <w:rPr>
          <w:rStyle w:val="FootnoteReference"/>
          <w:sz w:val="20"/>
          <w:szCs w:val="20"/>
          <w:vertAlign w:val="superscript"/>
        </w:rPr>
        <w:footnoteReference w:id="14"/>
      </w:r>
      <w:r w:rsidRPr="00DE74E3">
        <w:rPr>
          <w:sz w:val="20"/>
          <w:szCs w:val="20"/>
          <w:vertAlign w:val="superscript"/>
        </w:rPr>
        <w:t xml:space="preserve"> </w:t>
      </w:r>
      <w:r w:rsidRPr="00DE74E3">
        <w:rPr>
          <w:sz w:val="20"/>
          <w:szCs w:val="20"/>
        </w:rPr>
        <w:t xml:space="preserve"> In this project, </w:t>
      </w:r>
      <w:r w:rsidR="00006FE0" w:rsidRPr="00DE74E3">
        <w:rPr>
          <w:sz w:val="20"/>
          <w:szCs w:val="20"/>
        </w:rPr>
        <w:t xml:space="preserve">a wind power </w:t>
      </w:r>
      <w:r w:rsidR="009B430F" w:rsidRPr="00DE74E3">
        <w:rPr>
          <w:sz w:val="20"/>
          <w:szCs w:val="20"/>
        </w:rPr>
        <w:t>company</w:t>
      </w:r>
      <w:r w:rsidR="002E2231" w:rsidRPr="00DE74E3">
        <w:rPr>
          <w:sz w:val="20"/>
          <w:szCs w:val="20"/>
        </w:rPr>
        <w:t xml:space="preserve"> is constructing</w:t>
      </w:r>
      <w:r w:rsidR="009B430F" w:rsidRPr="00DE74E3">
        <w:rPr>
          <w:sz w:val="20"/>
          <w:szCs w:val="20"/>
        </w:rPr>
        <w:t xml:space="preserve"> a wind farm and transmission lines on lands owned and possessed by </w:t>
      </w:r>
      <w:r w:rsidR="00006FE0" w:rsidRPr="00DE74E3">
        <w:rPr>
          <w:sz w:val="20"/>
          <w:szCs w:val="20"/>
        </w:rPr>
        <w:t>indigenous communities</w:t>
      </w:r>
      <w:r w:rsidR="00392EE0" w:rsidRPr="00DE74E3">
        <w:rPr>
          <w:sz w:val="20"/>
          <w:szCs w:val="20"/>
        </w:rPr>
        <w:t xml:space="preserve">. The project has resulted in numerous violations of the communities’ human rights, including their collective property rights. </w:t>
      </w:r>
      <w:r w:rsidR="002E2231" w:rsidRPr="00DE74E3">
        <w:rPr>
          <w:sz w:val="20"/>
          <w:szCs w:val="20"/>
        </w:rPr>
        <w:t>T</w:t>
      </w:r>
      <w:r w:rsidR="00832A89" w:rsidRPr="00DE74E3">
        <w:rPr>
          <w:sz w:val="20"/>
          <w:szCs w:val="20"/>
        </w:rPr>
        <w:t>he Brazilian Development Bank</w:t>
      </w:r>
      <w:r w:rsidR="004A7655" w:rsidRPr="00DE74E3">
        <w:rPr>
          <w:sz w:val="20"/>
          <w:szCs w:val="20"/>
        </w:rPr>
        <w:t>,</w:t>
      </w:r>
      <w:r w:rsidR="00832A89" w:rsidRPr="00DE74E3">
        <w:rPr>
          <w:rStyle w:val="FootnoteReference"/>
          <w:sz w:val="20"/>
          <w:szCs w:val="20"/>
          <w:vertAlign w:val="superscript"/>
        </w:rPr>
        <w:footnoteReference w:id="15"/>
      </w:r>
      <w:r w:rsidR="00832A89" w:rsidRPr="00DE74E3">
        <w:rPr>
          <w:sz w:val="20"/>
          <w:szCs w:val="20"/>
          <w:vertAlign w:val="superscript"/>
        </w:rPr>
        <w:t xml:space="preserve"> </w:t>
      </w:r>
      <w:r w:rsidR="00832A89" w:rsidRPr="00DE74E3">
        <w:rPr>
          <w:sz w:val="20"/>
          <w:szCs w:val="20"/>
        </w:rPr>
        <w:t>the International Finance Corporation</w:t>
      </w:r>
      <w:r w:rsidR="004A7655" w:rsidRPr="00DE74E3">
        <w:rPr>
          <w:sz w:val="20"/>
          <w:szCs w:val="20"/>
        </w:rPr>
        <w:t>,</w:t>
      </w:r>
      <w:r w:rsidR="00832A89" w:rsidRPr="00DE74E3">
        <w:rPr>
          <w:rStyle w:val="FootnoteReference"/>
          <w:sz w:val="20"/>
          <w:szCs w:val="20"/>
          <w:vertAlign w:val="superscript"/>
        </w:rPr>
        <w:footnoteReference w:id="16"/>
      </w:r>
      <w:r w:rsidR="00832A89" w:rsidRPr="00DE74E3">
        <w:rPr>
          <w:sz w:val="20"/>
          <w:szCs w:val="20"/>
        </w:rPr>
        <w:t xml:space="preserve"> and the Inter-American Development Bank</w:t>
      </w:r>
      <w:r w:rsidR="00DB4068" w:rsidRPr="00DE74E3">
        <w:rPr>
          <w:rStyle w:val="FootnoteReference"/>
          <w:sz w:val="20"/>
          <w:szCs w:val="20"/>
          <w:vertAlign w:val="superscript"/>
        </w:rPr>
        <w:footnoteReference w:id="17"/>
      </w:r>
      <w:r w:rsidR="00006FE0" w:rsidRPr="00DE74E3">
        <w:rPr>
          <w:sz w:val="20"/>
          <w:szCs w:val="20"/>
        </w:rPr>
        <w:t xml:space="preserve"> </w:t>
      </w:r>
      <w:r w:rsidR="002E2231" w:rsidRPr="00DE74E3">
        <w:rPr>
          <w:sz w:val="20"/>
          <w:szCs w:val="20"/>
        </w:rPr>
        <w:t xml:space="preserve">also provide funding to </w:t>
      </w:r>
      <w:r w:rsidR="00392EE0" w:rsidRPr="00DE74E3">
        <w:rPr>
          <w:sz w:val="20"/>
          <w:szCs w:val="20"/>
        </w:rPr>
        <w:t xml:space="preserve">similar private sector projects that can affect indigenous peoples </w:t>
      </w:r>
      <w:r w:rsidR="002E2231" w:rsidRPr="00DE74E3">
        <w:rPr>
          <w:sz w:val="20"/>
          <w:szCs w:val="20"/>
        </w:rPr>
        <w:t xml:space="preserve">in developing countries. </w:t>
      </w:r>
    </w:p>
    <w:p w14:paraId="4A5FFDAF" w14:textId="77777777" w:rsidR="00E306E1" w:rsidRPr="00DE74E3" w:rsidRDefault="00E306E1" w:rsidP="00645BE6">
      <w:pPr>
        <w:rPr>
          <w:sz w:val="20"/>
          <w:szCs w:val="20"/>
        </w:rPr>
      </w:pPr>
    </w:p>
    <w:p w14:paraId="5F940B2C" w14:textId="77777777" w:rsidR="00B15947" w:rsidRPr="00DE74E3" w:rsidRDefault="001C1379" w:rsidP="00CE5844">
      <w:pPr>
        <w:ind w:firstLine="720"/>
        <w:rPr>
          <w:sz w:val="20"/>
          <w:szCs w:val="20"/>
        </w:rPr>
      </w:pPr>
      <w:r w:rsidRPr="00DE74E3">
        <w:rPr>
          <w:sz w:val="20"/>
          <w:szCs w:val="20"/>
        </w:rPr>
        <w:t xml:space="preserve">Secondly, </w:t>
      </w:r>
      <w:r w:rsidR="002401EE" w:rsidRPr="00DE74E3">
        <w:rPr>
          <w:sz w:val="20"/>
          <w:szCs w:val="20"/>
        </w:rPr>
        <w:t xml:space="preserve">almost </w:t>
      </w:r>
      <w:r w:rsidR="001521BE" w:rsidRPr="00DE74E3">
        <w:rPr>
          <w:sz w:val="20"/>
          <w:szCs w:val="20"/>
        </w:rPr>
        <w:t xml:space="preserve">no </w:t>
      </w:r>
      <w:r w:rsidR="009B430F" w:rsidRPr="00DE74E3">
        <w:rPr>
          <w:sz w:val="20"/>
          <w:szCs w:val="20"/>
        </w:rPr>
        <w:t>public sector financial institutions</w:t>
      </w:r>
      <w:r w:rsidR="00CE5844" w:rsidRPr="00DE74E3">
        <w:rPr>
          <w:sz w:val="20"/>
          <w:szCs w:val="20"/>
        </w:rPr>
        <w:t xml:space="preserve"> </w:t>
      </w:r>
      <w:r w:rsidR="00B15947" w:rsidRPr="00DE74E3">
        <w:rPr>
          <w:sz w:val="20"/>
          <w:szCs w:val="20"/>
        </w:rPr>
        <w:t xml:space="preserve">carry out </w:t>
      </w:r>
      <w:r w:rsidR="002401EE" w:rsidRPr="00DE74E3">
        <w:rPr>
          <w:sz w:val="20"/>
          <w:szCs w:val="20"/>
        </w:rPr>
        <w:t>any human rights due diligence</w:t>
      </w:r>
      <w:r w:rsidR="007148FD" w:rsidRPr="00DE74E3">
        <w:rPr>
          <w:sz w:val="20"/>
          <w:szCs w:val="20"/>
        </w:rPr>
        <w:t xml:space="preserve"> or require client companies to do so</w:t>
      </w:r>
      <w:r w:rsidR="001521BE" w:rsidRPr="00DE74E3">
        <w:rPr>
          <w:sz w:val="20"/>
          <w:szCs w:val="20"/>
        </w:rPr>
        <w:t xml:space="preserve">. Although </w:t>
      </w:r>
      <w:r w:rsidR="007148FD" w:rsidRPr="00DE74E3">
        <w:rPr>
          <w:sz w:val="20"/>
          <w:szCs w:val="20"/>
        </w:rPr>
        <w:t>t</w:t>
      </w:r>
      <w:r w:rsidR="004062F1" w:rsidRPr="00DE74E3">
        <w:rPr>
          <w:sz w:val="20"/>
          <w:szCs w:val="20"/>
        </w:rPr>
        <w:t>he Guiding Principles</w:t>
      </w:r>
      <w:r w:rsidR="007148FD" w:rsidRPr="00DE74E3">
        <w:rPr>
          <w:sz w:val="20"/>
          <w:szCs w:val="20"/>
        </w:rPr>
        <w:t xml:space="preserve"> call for human rights due diligence to be carried out by private sector actors</w:t>
      </w:r>
      <w:r w:rsidR="001521BE" w:rsidRPr="00DE74E3">
        <w:rPr>
          <w:sz w:val="20"/>
          <w:szCs w:val="20"/>
        </w:rPr>
        <w:t>,</w:t>
      </w:r>
      <w:r w:rsidR="00006FE0" w:rsidRPr="00DE74E3">
        <w:rPr>
          <w:sz w:val="20"/>
          <w:szCs w:val="20"/>
        </w:rPr>
        <w:t xml:space="preserve"> t</w:t>
      </w:r>
      <w:r w:rsidR="00B15947" w:rsidRPr="00DE74E3">
        <w:rPr>
          <w:sz w:val="20"/>
          <w:szCs w:val="20"/>
        </w:rPr>
        <w:t xml:space="preserve">hese banks and their </w:t>
      </w:r>
      <w:r w:rsidR="00CE5844" w:rsidRPr="00DE74E3">
        <w:rPr>
          <w:sz w:val="20"/>
          <w:szCs w:val="20"/>
        </w:rPr>
        <w:t>m</w:t>
      </w:r>
      <w:r w:rsidR="00B15947" w:rsidRPr="00DE74E3">
        <w:rPr>
          <w:sz w:val="20"/>
          <w:szCs w:val="20"/>
        </w:rPr>
        <w:t xml:space="preserve">ember </w:t>
      </w:r>
      <w:r w:rsidR="00CE5844" w:rsidRPr="00DE74E3">
        <w:rPr>
          <w:sz w:val="20"/>
          <w:szCs w:val="20"/>
        </w:rPr>
        <w:t>s</w:t>
      </w:r>
      <w:r w:rsidR="00B15947" w:rsidRPr="00DE74E3">
        <w:rPr>
          <w:sz w:val="20"/>
          <w:szCs w:val="20"/>
        </w:rPr>
        <w:t xml:space="preserve">tates are failing to promote respect for human rights </w:t>
      </w:r>
      <w:r w:rsidR="001521BE" w:rsidRPr="00DE74E3">
        <w:rPr>
          <w:sz w:val="20"/>
          <w:szCs w:val="20"/>
        </w:rPr>
        <w:t xml:space="preserve">or </w:t>
      </w:r>
      <w:r w:rsidR="00B15947" w:rsidRPr="00DE74E3">
        <w:rPr>
          <w:sz w:val="20"/>
          <w:szCs w:val="20"/>
        </w:rPr>
        <w:t>to demand actions to effectively protect human rights</w:t>
      </w:r>
      <w:r w:rsidR="004E4F31" w:rsidRPr="00DE74E3">
        <w:rPr>
          <w:sz w:val="20"/>
          <w:szCs w:val="20"/>
        </w:rPr>
        <w:t xml:space="preserve"> in the business context</w:t>
      </w:r>
      <w:r w:rsidR="00B15947" w:rsidRPr="00DE74E3">
        <w:rPr>
          <w:sz w:val="20"/>
          <w:szCs w:val="20"/>
        </w:rPr>
        <w:t>.</w:t>
      </w:r>
      <w:r w:rsidR="001521BE" w:rsidRPr="00DE74E3">
        <w:rPr>
          <w:rStyle w:val="FootnoteReference"/>
          <w:sz w:val="20"/>
          <w:szCs w:val="20"/>
          <w:vertAlign w:val="superscript"/>
        </w:rPr>
        <w:footnoteReference w:id="18"/>
      </w:r>
      <w:r w:rsidR="00B15947" w:rsidRPr="00DE74E3">
        <w:rPr>
          <w:sz w:val="20"/>
          <w:szCs w:val="20"/>
        </w:rPr>
        <w:t xml:space="preserve"> </w:t>
      </w:r>
      <w:r w:rsidR="00CE5844" w:rsidRPr="00DE74E3">
        <w:rPr>
          <w:sz w:val="20"/>
          <w:szCs w:val="20"/>
        </w:rPr>
        <w:t xml:space="preserve"> </w:t>
      </w:r>
      <w:r w:rsidR="00B15947" w:rsidRPr="00DE74E3">
        <w:rPr>
          <w:sz w:val="20"/>
          <w:szCs w:val="20"/>
        </w:rPr>
        <w:t xml:space="preserve">Human rights due diligence measures, including human rights impact assessments and </w:t>
      </w:r>
      <w:r w:rsidR="00006FE0" w:rsidRPr="00DE74E3">
        <w:rPr>
          <w:sz w:val="20"/>
          <w:szCs w:val="20"/>
        </w:rPr>
        <w:t>operational policies</w:t>
      </w:r>
      <w:r w:rsidR="003D13F0" w:rsidRPr="00DE74E3">
        <w:rPr>
          <w:sz w:val="20"/>
          <w:szCs w:val="20"/>
        </w:rPr>
        <w:t xml:space="preserve"> mandating human rights compliance</w:t>
      </w:r>
      <w:r w:rsidR="00B15947" w:rsidRPr="00DE74E3">
        <w:rPr>
          <w:sz w:val="20"/>
          <w:szCs w:val="20"/>
        </w:rPr>
        <w:t>, should be required p</w:t>
      </w:r>
      <w:r w:rsidR="00CE5844" w:rsidRPr="00DE74E3">
        <w:rPr>
          <w:sz w:val="20"/>
          <w:szCs w:val="20"/>
        </w:rPr>
        <w:t xml:space="preserve">rior to </w:t>
      </w:r>
      <w:r w:rsidR="00392EE0" w:rsidRPr="00DE74E3">
        <w:rPr>
          <w:sz w:val="20"/>
          <w:szCs w:val="20"/>
        </w:rPr>
        <w:t xml:space="preserve">approving </w:t>
      </w:r>
      <w:r w:rsidR="00CE5844" w:rsidRPr="00DE74E3">
        <w:rPr>
          <w:sz w:val="20"/>
          <w:szCs w:val="20"/>
        </w:rPr>
        <w:t xml:space="preserve">financing </w:t>
      </w:r>
      <w:r w:rsidR="00392EE0" w:rsidRPr="00DE74E3">
        <w:rPr>
          <w:sz w:val="20"/>
          <w:szCs w:val="20"/>
        </w:rPr>
        <w:t xml:space="preserve">for private sector projects. </w:t>
      </w:r>
    </w:p>
    <w:p w14:paraId="4D7D86B4" w14:textId="77777777" w:rsidR="006F2EE7" w:rsidRPr="00DE74E3" w:rsidRDefault="006F2EE7" w:rsidP="006F2EE7">
      <w:pPr>
        <w:rPr>
          <w:sz w:val="20"/>
          <w:szCs w:val="20"/>
        </w:rPr>
      </w:pPr>
    </w:p>
    <w:p w14:paraId="63A57A8F" w14:textId="77777777" w:rsidR="00D50BBF" w:rsidRPr="00DE74E3" w:rsidRDefault="00D50BBF" w:rsidP="00773233">
      <w:pPr>
        <w:ind w:firstLine="720"/>
        <w:rPr>
          <w:sz w:val="20"/>
          <w:szCs w:val="20"/>
        </w:rPr>
      </w:pPr>
      <w:r w:rsidRPr="00DE74E3">
        <w:rPr>
          <w:sz w:val="20"/>
          <w:szCs w:val="20"/>
        </w:rPr>
        <w:t xml:space="preserve">The International Finance Corporation (IFC) stands out as perhaps the only public sector financial institution that formally implements human rights due diligence into its activities.  The IFC’s </w:t>
      </w:r>
      <w:r w:rsidRPr="00DE74E3">
        <w:rPr>
          <w:i/>
          <w:sz w:val="20"/>
          <w:szCs w:val="20"/>
        </w:rPr>
        <w:t>Guide to Human Rights Impact Assessment and Management</w:t>
      </w:r>
      <w:r w:rsidRPr="00DE74E3">
        <w:rPr>
          <w:sz w:val="20"/>
          <w:szCs w:val="20"/>
        </w:rPr>
        <w:t>, adopted in 2010, was developed in conjunction with the International Business Leaders Forum, in association with the UN Global Compact.</w:t>
      </w:r>
      <w:r w:rsidRPr="00DE74E3">
        <w:rPr>
          <w:rStyle w:val="FootnoteReference"/>
          <w:sz w:val="20"/>
          <w:szCs w:val="20"/>
          <w:vertAlign w:val="superscript"/>
        </w:rPr>
        <w:footnoteReference w:id="19"/>
      </w:r>
      <w:r w:rsidRPr="00DE74E3">
        <w:rPr>
          <w:sz w:val="20"/>
          <w:szCs w:val="20"/>
        </w:rPr>
        <w:t xml:space="preserve">  Still, the </w:t>
      </w:r>
      <w:r w:rsidRPr="00DE74E3">
        <w:rPr>
          <w:i/>
          <w:sz w:val="20"/>
          <w:szCs w:val="20"/>
        </w:rPr>
        <w:t>Guide</w:t>
      </w:r>
      <w:r w:rsidRPr="00DE74E3">
        <w:rPr>
          <w:sz w:val="20"/>
          <w:szCs w:val="20"/>
        </w:rPr>
        <w:t xml:space="preserve"> is only a voluntary policy tool that IFC client companies can make use of if they choose—it is not part of the IFC</w:t>
      </w:r>
      <w:r w:rsidR="00293347" w:rsidRPr="00DE74E3">
        <w:rPr>
          <w:sz w:val="20"/>
          <w:szCs w:val="20"/>
        </w:rPr>
        <w:t>’s</w:t>
      </w:r>
      <w:r w:rsidRPr="00DE74E3">
        <w:rPr>
          <w:sz w:val="20"/>
          <w:szCs w:val="20"/>
        </w:rPr>
        <w:t xml:space="preserve"> mandatory environmental and so</w:t>
      </w:r>
      <w:r w:rsidR="00293347" w:rsidRPr="00DE74E3">
        <w:rPr>
          <w:sz w:val="20"/>
          <w:szCs w:val="20"/>
        </w:rPr>
        <w:t xml:space="preserve">cial performance standards, their </w:t>
      </w:r>
      <w:r w:rsidRPr="00DE74E3">
        <w:rPr>
          <w:sz w:val="20"/>
          <w:szCs w:val="20"/>
        </w:rPr>
        <w:t>“safeguards” policy framework.  The IFC’s existing voluntary human rights tools are insufficient to prevent human rights violations.  St</w:t>
      </w:r>
      <w:r w:rsidR="00773233" w:rsidRPr="00DE74E3">
        <w:rPr>
          <w:sz w:val="20"/>
          <w:szCs w:val="20"/>
        </w:rPr>
        <w:t>ronger, binding law is needed.</w:t>
      </w:r>
    </w:p>
    <w:p w14:paraId="5E5BB19D" w14:textId="77777777" w:rsidR="009D47CE" w:rsidRPr="00DE74E3" w:rsidRDefault="009D47CE" w:rsidP="007F7539">
      <w:pPr>
        <w:ind w:firstLine="720"/>
        <w:rPr>
          <w:sz w:val="20"/>
          <w:szCs w:val="20"/>
        </w:rPr>
      </w:pPr>
    </w:p>
    <w:p w14:paraId="7EB9C2ED" w14:textId="77777777" w:rsidR="00F25DF5" w:rsidRPr="00DE74E3" w:rsidRDefault="00C71439" w:rsidP="00F25DF5">
      <w:pPr>
        <w:ind w:firstLine="720"/>
        <w:rPr>
          <w:sz w:val="20"/>
          <w:szCs w:val="20"/>
        </w:rPr>
      </w:pPr>
      <w:r w:rsidRPr="00DE74E3">
        <w:rPr>
          <w:sz w:val="20"/>
          <w:szCs w:val="20"/>
        </w:rPr>
        <w:t>Thirdly, a</w:t>
      </w:r>
      <w:r w:rsidR="009B430F" w:rsidRPr="00DE74E3">
        <w:rPr>
          <w:sz w:val="20"/>
          <w:szCs w:val="20"/>
        </w:rPr>
        <w:t xml:space="preserve">pplying human rights standards to public sector financial institutions would clarify the rules and obligations for all actors.  It would reduce legal and policy incoherence, help actors avoid unintentional rights violations and allow victims to better </w:t>
      </w:r>
      <w:proofErr w:type="gramStart"/>
      <w:r w:rsidR="009B430F" w:rsidRPr="00DE74E3">
        <w:rPr>
          <w:sz w:val="20"/>
          <w:szCs w:val="20"/>
        </w:rPr>
        <w:t>understand</w:t>
      </w:r>
      <w:proofErr w:type="gramEnd"/>
      <w:r w:rsidR="009B430F" w:rsidRPr="00DE74E3">
        <w:rPr>
          <w:sz w:val="20"/>
          <w:szCs w:val="20"/>
        </w:rPr>
        <w:t xml:space="preserve"> and assert their rights within the existing human rights framework.  The victims in the Mareña Renovables project were obliged to seek</w:t>
      </w:r>
      <w:r w:rsidR="00BA095F" w:rsidRPr="00DE74E3">
        <w:rPr>
          <w:sz w:val="20"/>
          <w:szCs w:val="20"/>
        </w:rPr>
        <w:t xml:space="preserve"> a</w:t>
      </w:r>
      <w:r w:rsidR="009B430F" w:rsidRPr="00DE74E3">
        <w:rPr>
          <w:sz w:val="20"/>
          <w:szCs w:val="20"/>
        </w:rPr>
        <w:t xml:space="preserve"> remedy from an internal project-complaint mechanism</w:t>
      </w:r>
      <w:r w:rsidR="00332E77" w:rsidRPr="00DE74E3">
        <w:rPr>
          <w:sz w:val="20"/>
          <w:szCs w:val="20"/>
        </w:rPr>
        <w:t xml:space="preserve"> of the IDB</w:t>
      </w:r>
      <w:r w:rsidR="00D50BBF" w:rsidRPr="00DE74E3">
        <w:rPr>
          <w:sz w:val="20"/>
          <w:szCs w:val="20"/>
        </w:rPr>
        <w:t>.  This mechanism</w:t>
      </w:r>
      <w:r w:rsidR="009B430F" w:rsidRPr="00DE74E3">
        <w:rPr>
          <w:sz w:val="20"/>
          <w:szCs w:val="20"/>
        </w:rPr>
        <w:t xml:space="preserve"> appl</w:t>
      </w:r>
      <w:r w:rsidR="00293347" w:rsidRPr="00DE74E3">
        <w:rPr>
          <w:sz w:val="20"/>
          <w:szCs w:val="20"/>
        </w:rPr>
        <w:t>ie</w:t>
      </w:r>
      <w:r w:rsidR="00D50BBF" w:rsidRPr="00DE74E3">
        <w:rPr>
          <w:sz w:val="20"/>
          <w:szCs w:val="20"/>
        </w:rPr>
        <w:t>s</w:t>
      </w:r>
      <w:r w:rsidR="009B430F" w:rsidRPr="00DE74E3">
        <w:rPr>
          <w:sz w:val="20"/>
          <w:szCs w:val="20"/>
        </w:rPr>
        <w:t xml:space="preserve"> standards unique to the IDB and operat</w:t>
      </w:r>
      <w:r w:rsidR="00D50BBF" w:rsidRPr="00DE74E3">
        <w:rPr>
          <w:sz w:val="20"/>
          <w:szCs w:val="20"/>
        </w:rPr>
        <w:t>es</w:t>
      </w:r>
      <w:r w:rsidR="009B430F" w:rsidRPr="00DE74E3">
        <w:rPr>
          <w:sz w:val="20"/>
          <w:szCs w:val="20"/>
        </w:rPr>
        <w:t xml:space="preserve"> without binding precedent or even </w:t>
      </w:r>
      <w:r w:rsidR="00D50BBF" w:rsidRPr="00DE74E3">
        <w:rPr>
          <w:sz w:val="20"/>
          <w:szCs w:val="20"/>
        </w:rPr>
        <w:t xml:space="preserve">significant </w:t>
      </w:r>
      <w:r w:rsidR="009B430F" w:rsidRPr="00DE74E3">
        <w:rPr>
          <w:sz w:val="20"/>
          <w:szCs w:val="20"/>
        </w:rPr>
        <w:t>institutional history.  This institution-specific approach to rights protection is unpredictable</w:t>
      </w:r>
      <w:r w:rsidR="00D50BBF" w:rsidRPr="00DE74E3">
        <w:rPr>
          <w:sz w:val="20"/>
          <w:szCs w:val="20"/>
        </w:rPr>
        <w:t xml:space="preserve"> and </w:t>
      </w:r>
      <w:r w:rsidR="009B430F" w:rsidRPr="00DE74E3">
        <w:rPr>
          <w:sz w:val="20"/>
          <w:szCs w:val="20"/>
        </w:rPr>
        <w:t>unreliable</w:t>
      </w:r>
      <w:r w:rsidR="00D50BBF" w:rsidRPr="00DE74E3">
        <w:rPr>
          <w:sz w:val="20"/>
          <w:szCs w:val="20"/>
        </w:rPr>
        <w:t>.</w:t>
      </w:r>
      <w:r w:rsidR="009B430F" w:rsidRPr="00DE74E3">
        <w:rPr>
          <w:sz w:val="20"/>
          <w:szCs w:val="20"/>
        </w:rPr>
        <w:t xml:space="preserve"> </w:t>
      </w:r>
      <w:r w:rsidR="00D50BBF" w:rsidRPr="00DE74E3">
        <w:rPr>
          <w:sz w:val="20"/>
          <w:szCs w:val="20"/>
        </w:rPr>
        <w:t>I</w:t>
      </w:r>
      <w:r w:rsidR="009B430F" w:rsidRPr="00DE74E3">
        <w:rPr>
          <w:sz w:val="20"/>
          <w:szCs w:val="20"/>
        </w:rPr>
        <w:t xml:space="preserve">n the aggregate </w:t>
      </w:r>
      <w:r w:rsidR="00D50BBF" w:rsidRPr="00DE74E3">
        <w:rPr>
          <w:sz w:val="20"/>
          <w:szCs w:val="20"/>
        </w:rPr>
        <w:t xml:space="preserve">it </w:t>
      </w:r>
      <w:r w:rsidR="009B430F" w:rsidRPr="00DE74E3">
        <w:rPr>
          <w:sz w:val="20"/>
          <w:szCs w:val="20"/>
        </w:rPr>
        <w:t>presents a cumbersome approach that risks deep fragmentation of relevant international law principles</w:t>
      </w:r>
      <w:r w:rsidR="00D50BBF" w:rsidRPr="00DE74E3">
        <w:rPr>
          <w:sz w:val="20"/>
          <w:szCs w:val="20"/>
        </w:rPr>
        <w:t xml:space="preserve"> </w:t>
      </w:r>
      <w:r w:rsidR="009B430F" w:rsidRPr="00DE74E3">
        <w:rPr>
          <w:sz w:val="20"/>
          <w:szCs w:val="20"/>
        </w:rPr>
        <w:t xml:space="preserve">as each </w:t>
      </w:r>
      <w:r w:rsidR="00D50BBF" w:rsidRPr="00DE74E3">
        <w:rPr>
          <w:sz w:val="20"/>
          <w:szCs w:val="20"/>
        </w:rPr>
        <w:t xml:space="preserve">institution’s </w:t>
      </w:r>
      <w:r w:rsidR="009B430F" w:rsidRPr="00DE74E3">
        <w:rPr>
          <w:sz w:val="20"/>
          <w:szCs w:val="20"/>
        </w:rPr>
        <w:t>mechanism addresses cases independently of the broader international system, often without any reference to binding international legal standards.</w:t>
      </w:r>
    </w:p>
    <w:p w14:paraId="3777F7B5" w14:textId="77777777" w:rsidR="009B430F" w:rsidRPr="00DE74E3" w:rsidRDefault="009B430F" w:rsidP="009B430F">
      <w:pPr>
        <w:ind w:firstLine="720"/>
        <w:rPr>
          <w:sz w:val="20"/>
          <w:szCs w:val="20"/>
        </w:rPr>
      </w:pPr>
    </w:p>
    <w:p w14:paraId="1066AD1A" w14:textId="77777777" w:rsidR="000F7DE4" w:rsidRPr="00DE74E3" w:rsidRDefault="00C71439" w:rsidP="00C71439">
      <w:pPr>
        <w:ind w:firstLine="720"/>
        <w:rPr>
          <w:sz w:val="20"/>
          <w:szCs w:val="20"/>
        </w:rPr>
      </w:pPr>
      <w:r w:rsidRPr="00DE74E3">
        <w:rPr>
          <w:sz w:val="20"/>
          <w:szCs w:val="20"/>
        </w:rPr>
        <w:t xml:space="preserve">Fourthly, </w:t>
      </w:r>
      <w:r w:rsidR="00D50BBF" w:rsidRPr="00DE74E3">
        <w:rPr>
          <w:sz w:val="20"/>
          <w:szCs w:val="20"/>
        </w:rPr>
        <w:t xml:space="preserve">because </w:t>
      </w:r>
      <w:r w:rsidRPr="00DE74E3">
        <w:rPr>
          <w:sz w:val="20"/>
          <w:szCs w:val="20"/>
        </w:rPr>
        <w:t>these banks’</w:t>
      </w:r>
      <w:r w:rsidR="009B430F" w:rsidRPr="00DE74E3">
        <w:rPr>
          <w:sz w:val="20"/>
          <w:szCs w:val="20"/>
        </w:rPr>
        <w:t xml:space="preserve"> internal project-complaint mechanisms are, by design and principle, severely limited in </w:t>
      </w:r>
      <w:r w:rsidR="00D50BBF" w:rsidRPr="00DE74E3">
        <w:rPr>
          <w:sz w:val="20"/>
          <w:szCs w:val="20"/>
        </w:rPr>
        <w:t xml:space="preserve">their </w:t>
      </w:r>
      <w:r w:rsidR="009B430F" w:rsidRPr="00DE74E3">
        <w:rPr>
          <w:sz w:val="20"/>
          <w:szCs w:val="20"/>
        </w:rPr>
        <w:t>ability to provide remed</w:t>
      </w:r>
      <w:r w:rsidR="00332E77" w:rsidRPr="00DE74E3">
        <w:rPr>
          <w:sz w:val="20"/>
          <w:szCs w:val="20"/>
        </w:rPr>
        <w:t>ies</w:t>
      </w:r>
      <w:r w:rsidR="009B430F" w:rsidRPr="00DE74E3">
        <w:rPr>
          <w:sz w:val="20"/>
          <w:szCs w:val="20"/>
        </w:rPr>
        <w:t xml:space="preserve"> to victims</w:t>
      </w:r>
      <w:r w:rsidR="00D50BBF" w:rsidRPr="00DE74E3">
        <w:rPr>
          <w:sz w:val="20"/>
          <w:szCs w:val="20"/>
        </w:rPr>
        <w:t>,</w:t>
      </w:r>
      <w:r w:rsidR="009B430F" w:rsidRPr="00DE74E3">
        <w:rPr>
          <w:sz w:val="20"/>
          <w:szCs w:val="20"/>
        </w:rPr>
        <w:t xml:space="preserve"> </w:t>
      </w:r>
      <w:r w:rsidR="00D50BBF" w:rsidRPr="00DE74E3">
        <w:rPr>
          <w:sz w:val="20"/>
          <w:szCs w:val="20"/>
        </w:rPr>
        <w:t>t</w:t>
      </w:r>
      <w:r w:rsidR="009B430F" w:rsidRPr="00DE74E3">
        <w:rPr>
          <w:sz w:val="20"/>
          <w:szCs w:val="20"/>
        </w:rPr>
        <w:t>hey do not meet the applicable international human rights law standards relating to the right to an effective remedy.</w:t>
      </w:r>
      <w:r w:rsidR="009B430F" w:rsidRPr="00DE74E3">
        <w:rPr>
          <w:rStyle w:val="FootnoteReference"/>
          <w:sz w:val="20"/>
          <w:szCs w:val="20"/>
          <w:vertAlign w:val="superscript"/>
        </w:rPr>
        <w:footnoteReference w:id="20"/>
      </w:r>
      <w:r w:rsidR="009B430F" w:rsidRPr="00DE74E3">
        <w:rPr>
          <w:sz w:val="20"/>
          <w:szCs w:val="20"/>
          <w:vertAlign w:val="superscript"/>
        </w:rPr>
        <w:t xml:space="preserve"> </w:t>
      </w:r>
      <w:r w:rsidR="009B430F" w:rsidRPr="00DE74E3">
        <w:rPr>
          <w:sz w:val="20"/>
          <w:szCs w:val="20"/>
        </w:rPr>
        <w:t xml:space="preserve"> The IDB’s Independent Consultation and Investigation Mechanism is a useful tool, but after a violation has occurred, it can only seek to identify and call attention to breaches of the IDB’s policies.</w:t>
      </w:r>
      <w:r w:rsidR="009B430F" w:rsidRPr="00DE74E3">
        <w:rPr>
          <w:rStyle w:val="FootnoteReference"/>
          <w:sz w:val="20"/>
          <w:szCs w:val="20"/>
          <w:vertAlign w:val="superscript"/>
        </w:rPr>
        <w:footnoteReference w:id="21"/>
      </w:r>
      <w:r w:rsidR="009B430F" w:rsidRPr="00DE74E3">
        <w:rPr>
          <w:sz w:val="20"/>
          <w:szCs w:val="20"/>
        </w:rPr>
        <w:t xml:space="preserve"> </w:t>
      </w:r>
      <w:r w:rsidR="009B430F" w:rsidRPr="00DE74E3">
        <w:rPr>
          <w:sz w:val="20"/>
          <w:szCs w:val="20"/>
          <w:vertAlign w:val="superscript"/>
        </w:rPr>
        <w:t xml:space="preserve"> </w:t>
      </w:r>
      <w:r w:rsidR="009B430F" w:rsidRPr="00DE74E3">
        <w:rPr>
          <w:sz w:val="20"/>
          <w:szCs w:val="20"/>
        </w:rPr>
        <w:t xml:space="preserve">Such a system can provide useful internal feedback to the institution, </w:t>
      </w:r>
      <w:r w:rsidR="009B430F" w:rsidRPr="00DE74E3">
        <w:rPr>
          <w:sz w:val="20"/>
          <w:szCs w:val="20"/>
        </w:rPr>
        <w:lastRenderedPageBreak/>
        <w:t>but does little to remedy violations, and the value of its work as a deterrent to future violations is uncertain.</w:t>
      </w:r>
      <w:r w:rsidR="00293347" w:rsidRPr="00DE74E3">
        <w:rPr>
          <w:sz w:val="20"/>
          <w:szCs w:val="20"/>
        </w:rPr>
        <w:t xml:space="preserve"> </w:t>
      </w:r>
      <w:r w:rsidR="009B430F" w:rsidRPr="00DE74E3">
        <w:rPr>
          <w:sz w:val="20"/>
          <w:szCs w:val="20"/>
        </w:rPr>
        <w:t xml:space="preserve"> </w:t>
      </w:r>
    </w:p>
    <w:p w14:paraId="4E0B89D3" w14:textId="77777777" w:rsidR="00C23617" w:rsidRPr="00DE74E3" w:rsidRDefault="00C23617" w:rsidP="00C23617">
      <w:pPr>
        <w:ind w:firstLine="720"/>
        <w:rPr>
          <w:sz w:val="20"/>
          <w:szCs w:val="20"/>
        </w:rPr>
      </w:pPr>
    </w:p>
    <w:p w14:paraId="2BB33327" w14:textId="77777777" w:rsidR="006F2EE7" w:rsidRPr="00DE74E3" w:rsidRDefault="00295185" w:rsidP="00222F4B">
      <w:pPr>
        <w:ind w:firstLine="720"/>
        <w:rPr>
          <w:sz w:val="20"/>
          <w:szCs w:val="20"/>
          <w:vertAlign w:val="superscript"/>
        </w:rPr>
      </w:pPr>
      <w:proofErr w:type="gramStart"/>
      <w:r w:rsidRPr="00DE74E3">
        <w:rPr>
          <w:sz w:val="20"/>
          <w:szCs w:val="20"/>
        </w:rPr>
        <w:t xml:space="preserve">Finally, </w:t>
      </w:r>
      <w:r w:rsidR="00CB5A53" w:rsidRPr="00DE74E3">
        <w:rPr>
          <w:sz w:val="20"/>
          <w:szCs w:val="20"/>
        </w:rPr>
        <w:t xml:space="preserve">a treaty </w:t>
      </w:r>
      <w:r w:rsidR="00C71439" w:rsidRPr="00DE74E3">
        <w:rPr>
          <w:sz w:val="20"/>
          <w:szCs w:val="20"/>
        </w:rPr>
        <w:t>requiring</w:t>
      </w:r>
      <w:r w:rsidR="00CB5A53" w:rsidRPr="00DE74E3">
        <w:rPr>
          <w:sz w:val="20"/>
          <w:szCs w:val="20"/>
        </w:rPr>
        <w:t xml:space="preserve"> business entities to conduct basic </w:t>
      </w:r>
      <w:r w:rsidRPr="00DE74E3">
        <w:rPr>
          <w:sz w:val="20"/>
          <w:szCs w:val="20"/>
        </w:rPr>
        <w:t>human rights due diligence</w:t>
      </w:r>
      <w:r w:rsidR="0087427A" w:rsidRPr="00DE74E3">
        <w:rPr>
          <w:sz w:val="20"/>
          <w:szCs w:val="20"/>
        </w:rPr>
        <w:t xml:space="preserve"> make</w:t>
      </w:r>
      <w:r w:rsidR="00C71439" w:rsidRPr="00DE74E3">
        <w:rPr>
          <w:sz w:val="20"/>
          <w:szCs w:val="20"/>
        </w:rPr>
        <w:t>s</w:t>
      </w:r>
      <w:r w:rsidR="0087427A" w:rsidRPr="00DE74E3">
        <w:rPr>
          <w:sz w:val="20"/>
          <w:szCs w:val="20"/>
        </w:rPr>
        <w:t xml:space="preserve"> economic sense.</w:t>
      </w:r>
      <w:proofErr w:type="gramEnd"/>
      <w:r w:rsidR="00CB5A53" w:rsidRPr="00DE74E3">
        <w:rPr>
          <w:sz w:val="20"/>
          <w:szCs w:val="20"/>
        </w:rPr>
        <w:t xml:space="preserve"> </w:t>
      </w:r>
      <w:r w:rsidR="00C71439" w:rsidRPr="00DE74E3">
        <w:rPr>
          <w:sz w:val="20"/>
          <w:szCs w:val="20"/>
        </w:rPr>
        <w:t xml:space="preserve"> </w:t>
      </w:r>
      <w:r w:rsidR="00BB430C" w:rsidRPr="00DE74E3">
        <w:rPr>
          <w:sz w:val="20"/>
          <w:szCs w:val="20"/>
        </w:rPr>
        <w:t xml:space="preserve">In </w:t>
      </w:r>
      <w:r w:rsidR="008952C3" w:rsidRPr="00DE74E3">
        <w:rPr>
          <w:sz w:val="20"/>
          <w:szCs w:val="20"/>
        </w:rPr>
        <w:t>the Mareña Renovables</w:t>
      </w:r>
      <w:r w:rsidR="00DB4585" w:rsidRPr="00DE74E3">
        <w:rPr>
          <w:sz w:val="20"/>
          <w:szCs w:val="20"/>
        </w:rPr>
        <w:t xml:space="preserve"> project </w:t>
      </w:r>
      <w:r w:rsidR="00BB430C" w:rsidRPr="00DE74E3">
        <w:rPr>
          <w:sz w:val="20"/>
          <w:szCs w:val="20"/>
        </w:rPr>
        <w:t xml:space="preserve">discussed above, the project as designed </w:t>
      </w:r>
      <w:r w:rsidR="00DB4585" w:rsidRPr="00DE74E3">
        <w:rPr>
          <w:sz w:val="20"/>
          <w:szCs w:val="20"/>
        </w:rPr>
        <w:t>failed</w:t>
      </w:r>
      <w:r w:rsidR="00332E77" w:rsidRPr="00DE74E3">
        <w:rPr>
          <w:sz w:val="20"/>
          <w:szCs w:val="20"/>
        </w:rPr>
        <w:t>,</w:t>
      </w:r>
      <w:r w:rsidR="00DB4585" w:rsidRPr="00DE74E3">
        <w:rPr>
          <w:sz w:val="20"/>
          <w:szCs w:val="20"/>
        </w:rPr>
        <w:t xml:space="preserve"> and all involved incurred </w:t>
      </w:r>
      <w:r w:rsidR="001F591E" w:rsidRPr="00DE74E3">
        <w:rPr>
          <w:sz w:val="20"/>
          <w:szCs w:val="20"/>
        </w:rPr>
        <w:t>significant</w:t>
      </w:r>
      <w:r w:rsidR="00DB4585" w:rsidRPr="00DE74E3">
        <w:rPr>
          <w:sz w:val="20"/>
          <w:szCs w:val="20"/>
        </w:rPr>
        <w:t xml:space="preserve"> costs. </w:t>
      </w:r>
      <w:r w:rsidR="00C71439" w:rsidRPr="00DE74E3">
        <w:rPr>
          <w:sz w:val="20"/>
          <w:szCs w:val="20"/>
        </w:rPr>
        <w:t xml:space="preserve"> </w:t>
      </w:r>
      <w:r w:rsidR="00DB4585" w:rsidRPr="00DE74E3">
        <w:rPr>
          <w:sz w:val="20"/>
          <w:szCs w:val="20"/>
        </w:rPr>
        <w:t xml:space="preserve">The company and local </w:t>
      </w:r>
      <w:r w:rsidR="001F591E" w:rsidRPr="00DE74E3">
        <w:rPr>
          <w:sz w:val="20"/>
          <w:szCs w:val="20"/>
        </w:rPr>
        <w:t>officials</w:t>
      </w:r>
      <w:r w:rsidR="00DB4585" w:rsidRPr="00DE74E3">
        <w:rPr>
          <w:sz w:val="20"/>
          <w:szCs w:val="20"/>
        </w:rPr>
        <w:t xml:space="preserve"> spent money and time initially </w:t>
      </w:r>
      <w:r w:rsidR="00CB5A53" w:rsidRPr="00DE74E3">
        <w:rPr>
          <w:sz w:val="20"/>
          <w:szCs w:val="20"/>
        </w:rPr>
        <w:t>fig</w:t>
      </w:r>
      <w:r w:rsidR="009F5B00" w:rsidRPr="00DE74E3">
        <w:rPr>
          <w:sz w:val="20"/>
          <w:szCs w:val="20"/>
        </w:rPr>
        <w:t>hting against accountability while</w:t>
      </w:r>
      <w:r w:rsidR="00CB5A53" w:rsidRPr="00DE74E3">
        <w:rPr>
          <w:sz w:val="20"/>
          <w:szCs w:val="20"/>
        </w:rPr>
        <w:t xml:space="preserve"> the indigenous peoples</w:t>
      </w:r>
      <w:r w:rsidR="00DB4585" w:rsidRPr="00DE74E3">
        <w:rPr>
          <w:sz w:val="20"/>
          <w:szCs w:val="20"/>
        </w:rPr>
        <w:t xml:space="preserve"> bore the </w:t>
      </w:r>
      <w:r w:rsidR="009F5B00" w:rsidRPr="00DE74E3">
        <w:rPr>
          <w:sz w:val="20"/>
          <w:szCs w:val="20"/>
        </w:rPr>
        <w:t>expenses</w:t>
      </w:r>
      <w:r w:rsidR="00DB4585" w:rsidRPr="00DE74E3">
        <w:rPr>
          <w:sz w:val="20"/>
          <w:szCs w:val="20"/>
        </w:rPr>
        <w:t xml:space="preserve"> of </w:t>
      </w:r>
      <w:r w:rsidR="00CB5A53" w:rsidRPr="00DE74E3">
        <w:rPr>
          <w:sz w:val="20"/>
          <w:szCs w:val="20"/>
        </w:rPr>
        <w:t xml:space="preserve">bringing </w:t>
      </w:r>
      <w:r w:rsidR="009F5B00" w:rsidRPr="00DE74E3">
        <w:rPr>
          <w:sz w:val="20"/>
          <w:szCs w:val="20"/>
        </w:rPr>
        <w:t>the complaint;</w:t>
      </w:r>
      <w:r w:rsidR="00C71439" w:rsidRPr="00DE74E3">
        <w:rPr>
          <w:rStyle w:val="FootnoteReference"/>
          <w:sz w:val="20"/>
          <w:szCs w:val="20"/>
          <w:vertAlign w:val="superscript"/>
        </w:rPr>
        <w:footnoteReference w:id="22"/>
      </w:r>
      <w:r w:rsidR="00CB5A53" w:rsidRPr="00DE74E3">
        <w:rPr>
          <w:sz w:val="20"/>
          <w:szCs w:val="20"/>
        </w:rPr>
        <w:t xml:space="preserve"> the company </w:t>
      </w:r>
      <w:r w:rsidR="00DB4585" w:rsidRPr="00DE74E3">
        <w:rPr>
          <w:sz w:val="20"/>
          <w:szCs w:val="20"/>
        </w:rPr>
        <w:t xml:space="preserve">and bank </w:t>
      </w:r>
      <w:r w:rsidR="00BB430C" w:rsidRPr="00DE74E3">
        <w:rPr>
          <w:sz w:val="20"/>
          <w:szCs w:val="20"/>
        </w:rPr>
        <w:t xml:space="preserve">paid </w:t>
      </w:r>
      <w:r w:rsidR="00DB4585" w:rsidRPr="00DE74E3">
        <w:rPr>
          <w:sz w:val="20"/>
          <w:szCs w:val="20"/>
        </w:rPr>
        <w:t xml:space="preserve">the costs of </w:t>
      </w:r>
      <w:r w:rsidR="009F5B00" w:rsidRPr="00DE74E3">
        <w:rPr>
          <w:sz w:val="20"/>
          <w:szCs w:val="20"/>
        </w:rPr>
        <w:t>extensive delay and ultimate relocation of the project</w:t>
      </w:r>
      <w:r w:rsidR="00DB4585" w:rsidRPr="00DE74E3">
        <w:rPr>
          <w:sz w:val="20"/>
          <w:szCs w:val="20"/>
        </w:rPr>
        <w:t>.</w:t>
      </w:r>
      <w:r w:rsidR="00773233" w:rsidRPr="00DE74E3">
        <w:rPr>
          <w:rStyle w:val="FootnoteReference"/>
          <w:sz w:val="20"/>
          <w:szCs w:val="20"/>
          <w:vertAlign w:val="superscript"/>
        </w:rPr>
        <w:footnoteReference w:id="23"/>
      </w:r>
      <w:r w:rsidR="00DB4585" w:rsidRPr="00DE74E3">
        <w:rPr>
          <w:sz w:val="20"/>
          <w:szCs w:val="20"/>
          <w:vertAlign w:val="superscript"/>
        </w:rPr>
        <w:t xml:space="preserve"> </w:t>
      </w:r>
      <w:r w:rsidR="00222F4B" w:rsidRPr="00DE74E3">
        <w:rPr>
          <w:sz w:val="20"/>
          <w:szCs w:val="20"/>
        </w:rPr>
        <w:t xml:space="preserve"> </w:t>
      </w:r>
      <w:r w:rsidR="009F5B00" w:rsidRPr="00DE74E3">
        <w:rPr>
          <w:sz w:val="20"/>
          <w:szCs w:val="20"/>
        </w:rPr>
        <w:t>T</w:t>
      </w:r>
      <w:r w:rsidR="00DB4585" w:rsidRPr="00DE74E3">
        <w:rPr>
          <w:sz w:val="20"/>
          <w:szCs w:val="20"/>
        </w:rPr>
        <w:t>his economic waste</w:t>
      </w:r>
      <w:r w:rsidR="00CB5A53" w:rsidRPr="00DE74E3">
        <w:rPr>
          <w:sz w:val="20"/>
          <w:szCs w:val="20"/>
        </w:rPr>
        <w:t xml:space="preserve"> could all have</w:t>
      </w:r>
      <w:r w:rsidR="001F591E" w:rsidRPr="00DE74E3">
        <w:rPr>
          <w:sz w:val="20"/>
          <w:szCs w:val="20"/>
        </w:rPr>
        <w:t xml:space="preserve"> been avoided through human rights due diligence at the initial design stage </w:t>
      </w:r>
      <w:r w:rsidR="00F807BF" w:rsidRPr="00DE74E3">
        <w:rPr>
          <w:sz w:val="20"/>
          <w:szCs w:val="20"/>
        </w:rPr>
        <w:t>to identify t</w:t>
      </w:r>
      <w:r w:rsidR="009F5B00" w:rsidRPr="00DE74E3">
        <w:rPr>
          <w:sz w:val="20"/>
          <w:szCs w:val="20"/>
        </w:rPr>
        <w:t xml:space="preserve">he relevant human rights issues, </w:t>
      </w:r>
      <w:r w:rsidR="00BB430C" w:rsidRPr="00DE74E3">
        <w:rPr>
          <w:sz w:val="20"/>
          <w:szCs w:val="20"/>
        </w:rPr>
        <w:t xml:space="preserve">the </w:t>
      </w:r>
      <w:r w:rsidR="00F807BF" w:rsidRPr="00DE74E3">
        <w:rPr>
          <w:sz w:val="20"/>
          <w:szCs w:val="20"/>
        </w:rPr>
        <w:t xml:space="preserve">rights holders, and the applicable law. </w:t>
      </w:r>
      <w:r w:rsidR="00222F4B" w:rsidRPr="00DE74E3">
        <w:rPr>
          <w:sz w:val="20"/>
          <w:szCs w:val="20"/>
        </w:rPr>
        <w:t xml:space="preserve"> </w:t>
      </w:r>
      <w:r w:rsidR="00CB5A53" w:rsidRPr="00DE74E3">
        <w:rPr>
          <w:sz w:val="20"/>
          <w:szCs w:val="20"/>
        </w:rPr>
        <w:t xml:space="preserve">Human rights due diligence is not about fighting </w:t>
      </w:r>
      <w:r w:rsidR="001F591E" w:rsidRPr="00DE74E3">
        <w:rPr>
          <w:sz w:val="20"/>
          <w:szCs w:val="20"/>
        </w:rPr>
        <w:t>development</w:t>
      </w:r>
      <w:r w:rsidR="00F807BF" w:rsidRPr="00DE74E3">
        <w:rPr>
          <w:sz w:val="20"/>
          <w:szCs w:val="20"/>
        </w:rPr>
        <w:t xml:space="preserve">; it is about </w:t>
      </w:r>
      <w:r w:rsidR="009F5B00" w:rsidRPr="00DE74E3">
        <w:rPr>
          <w:sz w:val="20"/>
          <w:szCs w:val="20"/>
        </w:rPr>
        <w:t>creating sustainable projects with reduced risks and better outcomes for</w:t>
      </w:r>
      <w:r w:rsidR="008952C3" w:rsidRPr="00DE74E3">
        <w:rPr>
          <w:sz w:val="20"/>
          <w:szCs w:val="20"/>
        </w:rPr>
        <w:t xml:space="preserve"> both</w:t>
      </w:r>
      <w:r w:rsidR="009F5B00" w:rsidRPr="00DE74E3">
        <w:rPr>
          <w:sz w:val="20"/>
          <w:szCs w:val="20"/>
        </w:rPr>
        <w:t xml:space="preserve"> proponents and affected peoples.</w:t>
      </w:r>
    </w:p>
    <w:p w14:paraId="14BE2E4C" w14:textId="77777777" w:rsidR="00812B38" w:rsidRPr="00DE74E3" w:rsidRDefault="00812B38" w:rsidP="006F2EE7">
      <w:pPr>
        <w:rPr>
          <w:b/>
          <w:sz w:val="20"/>
          <w:szCs w:val="20"/>
        </w:rPr>
      </w:pPr>
    </w:p>
    <w:p w14:paraId="5F02C5E4" w14:textId="77777777" w:rsidR="00222F4B" w:rsidRPr="00DE74E3" w:rsidRDefault="00222F4B" w:rsidP="006F2EE7">
      <w:pPr>
        <w:rPr>
          <w:b/>
          <w:sz w:val="20"/>
          <w:szCs w:val="20"/>
        </w:rPr>
      </w:pPr>
      <w:r w:rsidRPr="00DE74E3">
        <w:rPr>
          <w:b/>
          <w:sz w:val="20"/>
          <w:szCs w:val="20"/>
        </w:rPr>
        <w:t>Conclusion</w:t>
      </w:r>
    </w:p>
    <w:p w14:paraId="086EA315" w14:textId="77777777" w:rsidR="00222F4B" w:rsidRPr="00DE74E3" w:rsidRDefault="00222F4B" w:rsidP="00222F4B">
      <w:pPr>
        <w:ind w:firstLine="720"/>
        <w:rPr>
          <w:sz w:val="20"/>
          <w:szCs w:val="20"/>
        </w:rPr>
      </w:pPr>
    </w:p>
    <w:p w14:paraId="17731BA5" w14:textId="77777777" w:rsidR="00DB492A" w:rsidRPr="00DE74E3" w:rsidRDefault="006F2EE7" w:rsidP="002D7BE9">
      <w:pPr>
        <w:ind w:firstLine="720"/>
        <w:rPr>
          <w:sz w:val="20"/>
          <w:szCs w:val="20"/>
        </w:rPr>
      </w:pPr>
      <w:r w:rsidRPr="00DE74E3">
        <w:rPr>
          <w:sz w:val="20"/>
          <w:szCs w:val="20"/>
        </w:rPr>
        <w:t xml:space="preserve">In order to be </w:t>
      </w:r>
      <w:r w:rsidR="00EC088D" w:rsidRPr="00DE74E3">
        <w:rPr>
          <w:sz w:val="20"/>
          <w:szCs w:val="20"/>
        </w:rPr>
        <w:t>useful</w:t>
      </w:r>
      <w:r w:rsidRPr="00DE74E3">
        <w:rPr>
          <w:sz w:val="20"/>
          <w:szCs w:val="20"/>
        </w:rPr>
        <w:t xml:space="preserve">, this new </w:t>
      </w:r>
      <w:r w:rsidR="000E46F8" w:rsidRPr="00DE74E3">
        <w:rPr>
          <w:sz w:val="20"/>
          <w:szCs w:val="20"/>
        </w:rPr>
        <w:t>instrument</w:t>
      </w:r>
      <w:r w:rsidRPr="00DE74E3">
        <w:rPr>
          <w:sz w:val="20"/>
          <w:szCs w:val="20"/>
        </w:rPr>
        <w:t xml:space="preserve"> must be able to improve the lives of those </w:t>
      </w:r>
      <w:r w:rsidR="00982565" w:rsidRPr="00DE74E3">
        <w:rPr>
          <w:sz w:val="20"/>
          <w:szCs w:val="20"/>
        </w:rPr>
        <w:t>whose human rights have been violated</w:t>
      </w:r>
      <w:r w:rsidRPr="00DE74E3">
        <w:rPr>
          <w:sz w:val="20"/>
          <w:szCs w:val="20"/>
        </w:rPr>
        <w:t xml:space="preserve"> by business activities, regardless of </w:t>
      </w:r>
      <w:r w:rsidR="00467E35" w:rsidRPr="00DE74E3">
        <w:rPr>
          <w:sz w:val="20"/>
          <w:szCs w:val="20"/>
        </w:rPr>
        <w:t xml:space="preserve">whether those rights are individual or collective, and regardless of </w:t>
      </w:r>
      <w:r w:rsidRPr="00DE74E3">
        <w:rPr>
          <w:sz w:val="20"/>
          <w:szCs w:val="20"/>
        </w:rPr>
        <w:t xml:space="preserve">the details of </w:t>
      </w:r>
      <w:r w:rsidR="00982565" w:rsidRPr="00DE74E3">
        <w:rPr>
          <w:sz w:val="20"/>
          <w:szCs w:val="20"/>
        </w:rPr>
        <w:t xml:space="preserve">the violator’s </w:t>
      </w:r>
      <w:r w:rsidRPr="00DE74E3">
        <w:rPr>
          <w:sz w:val="20"/>
          <w:szCs w:val="20"/>
        </w:rPr>
        <w:t xml:space="preserve">entity structure.  </w:t>
      </w:r>
      <w:r w:rsidR="00A150C8" w:rsidRPr="00DE74E3">
        <w:rPr>
          <w:sz w:val="20"/>
          <w:szCs w:val="20"/>
        </w:rPr>
        <w:t xml:space="preserve">Many of the important substantive rights of indigenous peoples, including their rights of self-determination, self-government, and their right to their lands, territories and natural resources are collective rights.  </w:t>
      </w:r>
      <w:r w:rsidR="00EC088D" w:rsidRPr="00DE74E3">
        <w:rPr>
          <w:sz w:val="20"/>
          <w:szCs w:val="20"/>
        </w:rPr>
        <w:t>Effectively</w:t>
      </w:r>
      <w:r w:rsidR="00DB492A" w:rsidRPr="00DE74E3">
        <w:rPr>
          <w:sz w:val="20"/>
          <w:szCs w:val="20"/>
        </w:rPr>
        <w:t xml:space="preserve"> protecting these collective rights will require careful study and direct attention in the text of the proposed instrument.</w:t>
      </w:r>
    </w:p>
    <w:p w14:paraId="35F85991" w14:textId="77777777" w:rsidR="00DB492A" w:rsidRPr="00DE74E3" w:rsidRDefault="00DB492A" w:rsidP="002D7BE9">
      <w:pPr>
        <w:ind w:firstLine="720"/>
        <w:rPr>
          <w:sz w:val="20"/>
          <w:szCs w:val="20"/>
        </w:rPr>
      </w:pPr>
    </w:p>
    <w:p w14:paraId="1390D43D" w14:textId="77777777" w:rsidR="0046490B" w:rsidRPr="00DE74E3" w:rsidRDefault="002D7BE9" w:rsidP="002D7BE9">
      <w:pPr>
        <w:ind w:firstLine="720"/>
        <w:rPr>
          <w:sz w:val="20"/>
          <w:szCs w:val="20"/>
        </w:rPr>
      </w:pPr>
      <w:r w:rsidRPr="00DE74E3">
        <w:rPr>
          <w:sz w:val="20"/>
          <w:szCs w:val="20"/>
        </w:rPr>
        <w:t>Public sector financial institutions</w:t>
      </w:r>
      <w:r w:rsidR="009A3270" w:rsidRPr="00DE74E3">
        <w:rPr>
          <w:sz w:val="20"/>
          <w:szCs w:val="20"/>
        </w:rPr>
        <w:t>, such as international financial institutions,</w:t>
      </w:r>
      <w:r w:rsidRPr="00DE74E3">
        <w:rPr>
          <w:sz w:val="20"/>
          <w:szCs w:val="20"/>
        </w:rPr>
        <w:t xml:space="preserve"> are legal entities with legal rights and obligations under international law</w:t>
      </w:r>
      <w:r w:rsidR="009A3270" w:rsidRPr="00DE74E3">
        <w:rPr>
          <w:sz w:val="20"/>
          <w:szCs w:val="20"/>
        </w:rPr>
        <w:t xml:space="preserve"> as international intergovernmental organizations</w:t>
      </w:r>
      <w:r w:rsidR="006F2EE7" w:rsidRPr="00DE74E3">
        <w:rPr>
          <w:sz w:val="20"/>
          <w:szCs w:val="20"/>
        </w:rPr>
        <w:t>.</w:t>
      </w:r>
      <w:r w:rsidR="006F2EE7" w:rsidRPr="00DE74E3">
        <w:rPr>
          <w:rStyle w:val="FootnoteReference"/>
          <w:sz w:val="20"/>
          <w:szCs w:val="20"/>
          <w:vertAlign w:val="superscript"/>
        </w:rPr>
        <w:footnoteReference w:id="24"/>
      </w:r>
      <w:r w:rsidR="006F2EE7" w:rsidRPr="00DE74E3">
        <w:rPr>
          <w:sz w:val="20"/>
          <w:szCs w:val="20"/>
          <w:vertAlign w:val="superscript"/>
        </w:rPr>
        <w:t xml:space="preserve"> </w:t>
      </w:r>
      <w:r w:rsidR="006F2EE7" w:rsidRPr="00DE74E3">
        <w:rPr>
          <w:sz w:val="20"/>
          <w:szCs w:val="20"/>
        </w:rPr>
        <w:t xml:space="preserve"> </w:t>
      </w:r>
      <w:r w:rsidR="007C517D" w:rsidRPr="00DE74E3">
        <w:rPr>
          <w:sz w:val="20"/>
          <w:szCs w:val="20"/>
        </w:rPr>
        <w:t xml:space="preserve">In many cases </w:t>
      </w:r>
      <w:r w:rsidR="00691CFD" w:rsidRPr="00DE74E3">
        <w:rPr>
          <w:sz w:val="20"/>
          <w:szCs w:val="20"/>
        </w:rPr>
        <w:t>their investment activities</w:t>
      </w:r>
      <w:r w:rsidR="002C3D2A" w:rsidRPr="00DE74E3">
        <w:rPr>
          <w:sz w:val="20"/>
          <w:szCs w:val="20"/>
        </w:rPr>
        <w:t xml:space="preserve"> </w:t>
      </w:r>
      <w:r w:rsidR="00691CFD" w:rsidRPr="00DE74E3">
        <w:rPr>
          <w:sz w:val="20"/>
          <w:szCs w:val="20"/>
        </w:rPr>
        <w:t xml:space="preserve">are </w:t>
      </w:r>
      <w:r w:rsidR="007C517D" w:rsidRPr="00DE74E3">
        <w:rPr>
          <w:sz w:val="20"/>
          <w:szCs w:val="20"/>
        </w:rPr>
        <w:t>also functionally indistinguishable from</w:t>
      </w:r>
      <w:r w:rsidR="00691CFD" w:rsidRPr="00DE74E3">
        <w:rPr>
          <w:sz w:val="20"/>
          <w:szCs w:val="20"/>
        </w:rPr>
        <w:t xml:space="preserve"> those of</w:t>
      </w:r>
      <w:r w:rsidR="007C517D" w:rsidRPr="00DE74E3">
        <w:rPr>
          <w:sz w:val="20"/>
          <w:szCs w:val="20"/>
        </w:rPr>
        <w:t xml:space="preserve"> private transnational corporations.  They </w:t>
      </w:r>
      <w:r w:rsidR="0046490B" w:rsidRPr="00DE74E3">
        <w:rPr>
          <w:sz w:val="20"/>
          <w:szCs w:val="20"/>
        </w:rPr>
        <w:t>engage in</w:t>
      </w:r>
      <w:r w:rsidR="007C517D" w:rsidRPr="00DE74E3">
        <w:rPr>
          <w:sz w:val="20"/>
          <w:szCs w:val="20"/>
        </w:rPr>
        <w:t xml:space="preserve"> the same sort of business activities and present the same sorts of </w:t>
      </w:r>
      <w:r w:rsidR="00691CFD" w:rsidRPr="00DE74E3">
        <w:rPr>
          <w:sz w:val="20"/>
          <w:szCs w:val="20"/>
        </w:rPr>
        <w:t>jurisdictional</w:t>
      </w:r>
      <w:r w:rsidR="007C517D" w:rsidRPr="00DE74E3">
        <w:rPr>
          <w:sz w:val="20"/>
          <w:szCs w:val="20"/>
        </w:rPr>
        <w:t xml:space="preserve"> barriers and complexities that too often prevent those whose rights have been violated from obtaining</w:t>
      </w:r>
      <w:r w:rsidR="00332E77" w:rsidRPr="00DE74E3">
        <w:rPr>
          <w:sz w:val="20"/>
          <w:szCs w:val="20"/>
        </w:rPr>
        <w:t xml:space="preserve"> a</w:t>
      </w:r>
      <w:r w:rsidR="007C517D" w:rsidRPr="00DE74E3">
        <w:rPr>
          <w:sz w:val="20"/>
          <w:szCs w:val="20"/>
        </w:rPr>
        <w:t xml:space="preserve"> remedy</w:t>
      </w:r>
      <w:r w:rsidR="00467E35" w:rsidRPr="00DE74E3">
        <w:rPr>
          <w:sz w:val="20"/>
          <w:szCs w:val="20"/>
        </w:rPr>
        <w:t xml:space="preserve">. To be effective and useful from a victim’s perspective, this proposed treaty should not make arbitrary distinctions based on whether </w:t>
      </w:r>
      <w:r w:rsidR="00467E35" w:rsidRPr="00DE74E3">
        <w:rPr>
          <w:sz w:val="20"/>
          <w:szCs w:val="20"/>
        </w:rPr>
        <w:lastRenderedPageBreak/>
        <w:t>the actor i</w:t>
      </w:r>
      <w:bookmarkStart w:id="14" w:name="_GoBack"/>
      <w:bookmarkEnd w:id="14"/>
      <w:r w:rsidR="00467E35" w:rsidRPr="00DE74E3">
        <w:rPr>
          <w:sz w:val="20"/>
          <w:szCs w:val="20"/>
        </w:rPr>
        <w:t>s a private investment bank or a public sector financial institution.  For victims, the important factor is that their human rights were violated.</w:t>
      </w:r>
    </w:p>
    <w:p w14:paraId="362AE35B" w14:textId="77777777" w:rsidR="0046490B" w:rsidRPr="00DE74E3" w:rsidRDefault="0046490B" w:rsidP="00222F4B">
      <w:pPr>
        <w:rPr>
          <w:sz w:val="20"/>
          <w:szCs w:val="20"/>
        </w:rPr>
      </w:pPr>
    </w:p>
    <w:p w14:paraId="2660E091" w14:textId="77777777" w:rsidR="00C36539" w:rsidRPr="00DE74E3" w:rsidRDefault="00691CFD" w:rsidP="0046490B">
      <w:pPr>
        <w:ind w:firstLine="720"/>
        <w:rPr>
          <w:sz w:val="20"/>
          <w:szCs w:val="20"/>
        </w:rPr>
      </w:pPr>
      <w:r w:rsidRPr="00DE74E3">
        <w:rPr>
          <w:sz w:val="20"/>
          <w:szCs w:val="20"/>
        </w:rPr>
        <w:t>T</w:t>
      </w:r>
      <w:r w:rsidR="007C517D" w:rsidRPr="00DE74E3">
        <w:rPr>
          <w:sz w:val="20"/>
          <w:szCs w:val="20"/>
        </w:rPr>
        <w:t xml:space="preserve">his </w:t>
      </w:r>
      <w:r w:rsidR="0046490B" w:rsidRPr="00DE74E3">
        <w:rPr>
          <w:sz w:val="20"/>
          <w:szCs w:val="20"/>
        </w:rPr>
        <w:t>Working G</w:t>
      </w:r>
      <w:r w:rsidR="00DC437F" w:rsidRPr="00DE74E3">
        <w:rPr>
          <w:sz w:val="20"/>
          <w:szCs w:val="20"/>
        </w:rPr>
        <w:t xml:space="preserve">roup </w:t>
      </w:r>
      <w:r w:rsidR="007C517D" w:rsidRPr="00DE74E3">
        <w:rPr>
          <w:sz w:val="20"/>
          <w:szCs w:val="20"/>
        </w:rPr>
        <w:t xml:space="preserve">has the opportunity to </w:t>
      </w:r>
      <w:r w:rsidRPr="00DE74E3">
        <w:rPr>
          <w:sz w:val="20"/>
          <w:szCs w:val="20"/>
        </w:rPr>
        <w:t>create a practic</w:t>
      </w:r>
      <w:r w:rsidR="00982565" w:rsidRPr="00DE74E3">
        <w:rPr>
          <w:sz w:val="20"/>
          <w:szCs w:val="20"/>
        </w:rPr>
        <w:t>al instrument that will protect</w:t>
      </w:r>
      <w:r w:rsidRPr="00DE74E3">
        <w:rPr>
          <w:sz w:val="20"/>
          <w:szCs w:val="20"/>
        </w:rPr>
        <w:t xml:space="preserve"> human rights and </w:t>
      </w:r>
      <w:r w:rsidR="00982565" w:rsidRPr="00DE74E3">
        <w:rPr>
          <w:sz w:val="20"/>
          <w:szCs w:val="20"/>
        </w:rPr>
        <w:t>help</w:t>
      </w:r>
      <w:r w:rsidRPr="00DE74E3">
        <w:rPr>
          <w:sz w:val="20"/>
          <w:szCs w:val="20"/>
        </w:rPr>
        <w:t xml:space="preserve"> individuals </w:t>
      </w:r>
      <w:r w:rsidR="00C75C5F" w:rsidRPr="00DE74E3">
        <w:rPr>
          <w:sz w:val="20"/>
          <w:szCs w:val="20"/>
        </w:rPr>
        <w:t xml:space="preserve">and communities </w:t>
      </w:r>
      <w:r w:rsidR="00982565" w:rsidRPr="00DE74E3">
        <w:rPr>
          <w:sz w:val="20"/>
          <w:szCs w:val="20"/>
        </w:rPr>
        <w:t xml:space="preserve">to </w:t>
      </w:r>
      <w:r w:rsidRPr="00DE74E3">
        <w:rPr>
          <w:sz w:val="20"/>
          <w:szCs w:val="20"/>
        </w:rPr>
        <w:t>obtain justice for violations they may suffer</w:t>
      </w:r>
      <w:r w:rsidR="00982565" w:rsidRPr="00DE74E3">
        <w:rPr>
          <w:sz w:val="20"/>
          <w:szCs w:val="20"/>
        </w:rPr>
        <w:t xml:space="preserve"> due to business activities</w:t>
      </w:r>
      <w:r w:rsidRPr="00DE74E3">
        <w:rPr>
          <w:sz w:val="20"/>
          <w:szCs w:val="20"/>
        </w:rPr>
        <w:t xml:space="preserve">. </w:t>
      </w:r>
      <w:r w:rsidR="00F419F6" w:rsidRPr="00DE74E3">
        <w:rPr>
          <w:sz w:val="20"/>
          <w:szCs w:val="20"/>
        </w:rPr>
        <w:t>T</w:t>
      </w:r>
      <w:r w:rsidR="0036628C" w:rsidRPr="00DE74E3">
        <w:rPr>
          <w:sz w:val="20"/>
          <w:szCs w:val="20"/>
        </w:rPr>
        <w:t xml:space="preserve">he </w:t>
      </w:r>
      <w:r w:rsidR="00293347" w:rsidRPr="00DE74E3">
        <w:rPr>
          <w:sz w:val="20"/>
          <w:szCs w:val="20"/>
        </w:rPr>
        <w:t xml:space="preserve">core </w:t>
      </w:r>
      <w:r w:rsidR="0036628C" w:rsidRPr="00DE74E3">
        <w:rPr>
          <w:sz w:val="20"/>
          <w:szCs w:val="20"/>
        </w:rPr>
        <w:t xml:space="preserve">benefits this </w:t>
      </w:r>
      <w:r w:rsidR="00467E35" w:rsidRPr="00DE74E3">
        <w:rPr>
          <w:sz w:val="20"/>
          <w:szCs w:val="20"/>
        </w:rPr>
        <w:t xml:space="preserve">instrument </w:t>
      </w:r>
      <w:r w:rsidR="0036628C" w:rsidRPr="00DE74E3">
        <w:rPr>
          <w:sz w:val="20"/>
          <w:szCs w:val="20"/>
        </w:rPr>
        <w:t xml:space="preserve">can offer </w:t>
      </w:r>
      <w:r w:rsidR="00467E35" w:rsidRPr="00DE74E3">
        <w:rPr>
          <w:sz w:val="20"/>
          <w:szCs w:val="20"/>
        </w:rPr>
        <w:t xml:space="preserve">victims </w:t>
      </w:r>
      <w:r w:rsidR="0036628C" w:rsidRPr="00DE74E3">
        <w:rPr>
          <w:sz w:val="20"/>
          <w:szCs w:val="20"/>
        </w:rPr>
        <w:t>are a clear legal standard that can be used to evaluate their claim</w:t>
      </w:r>
      <w:r w:rsidR="00467E35" w:rsidRPr="00DE74E3">
        <w:rPr>
          <w:sz w:val="20"/>
          <w:szCs w:val="20"/>
        </w:rPr>
        <w:t>s</w:t>
      </w:r>
      <w:r w:rsidR="0036628C" w:rsidRPr="00DE74E3">
        <w:rPr>
          <w:sz w:val="20"/>
          <w:szCs w:val="20"/>
        </w:rPr>
        <w:t xml:space="preserve"> and access to the existing international human rights system and its extensive body of law and guidance.  </w:t>
      </w:r>
      <w:r w:rsidR="00466E50" w:rsidRPr="00DE74E3">
        <w:rPr>
          <w:sz w:val="20"/>
          <w:szCs w:val="20"/>
        </w:rPr>
        <w:t xml:space="preserve">While the </w:t>
      </w:r>
      <w:r w:rsidR="00DB492A" w:rsidRPr="00DE74E3">
        <w:rPr>
          <w:sz w:val="20"/>
          <w:szCs w:val="20"/>
        </w:rPr>
        <w:t xml:space="preserve">true </w:t>
      </w:r>
      <w:r w:rsidR="00466E50" w:rsidRPr="00DE74E3">
        <w:rPr>
          <w:sz w:val="20"/>
          <w:szCs w:val="20"/>
        </w:rPr>
        <w:t xml:space="preserve">value of the </w:t>
      </w:r>
      <w:r w:rsidR="00467E35" w:rsidRPr="00DE74E3">
        <w:rPr>
          <w:sz w:val="20"/>
          <w:szCs w:val="20"/>
        </w:rPr>
        <w:t xml:space="preserve">instrument will be </w:t>
      </w:r>
      <w:r w:rsidR="00466E50" w:rsidRPr="00DE74E3">
        <w:rPr>
          <w:sz w:val="20"/>
          <w:szCs w:val="20"/>
        </w:rPr>
        <w:t>measured by its impact on individuals’</w:t>
      </w:r>
      <w:r w:rsidR="00467E35" w:rsidRPr="00DE74E3">
        <w:rPr>
          <w:sz w:val="20"/>
          <w:szCs w:val="20"/>
        </w:rPr>
        <w:t xml:space="preserve"> and peoples’</w:t>
      </w:r>
      <w:r w:rsidR="00466E50" w:rsidRPr="00DE74E3">
        <w:rPr>
          <w:sz w:val="20"/>
          <w:szCs w:val="20"/>
        </w:rPr>
        <w:t xml:space="preserve"> ability to enjoy their rights, clear legal standards that are applied fairly and evenly will also benefit business actors, including </w:t>
      </w:r>
      <w:r w:rsidR="00621C4D" w:rsidRPr="00DE74E3">
        <w:rPr>
          <w:sz w:val="20"/>
          <w:szCs w:val="20"/>
        </w:rPr>
        <w:t>public sector</w:t>
      </w:r>
      <w:r w:rsidR="00C75C5F" w:rsidRPr="00DE74E3">
        <w:rPr>
          <w:sz w:val="20"/>
          <w:szCs w:val="20"/>
        </w:rPr>
        <w:t xml:space="preserve"> financial institutions</w:t>
      </w:r>
      <w:r w:rsidR="00466E50" w:rsidRPr="00DE74E3">
        <w:rPr>
          <w:sz w:val="20"/>
          <w:szCs w:val="20"/>
        </w:rPr>
        <w:t>, by helping them to identify and reduce human rights risks in their undertakings in a clear and consistent manner.</w:t>
      </w:r>
    </w:p>
    <w:p w14:paraId="6D93F197" w14:textId="77777777" w:rsidR="00467E35" w:rsidRPr="00DE74E3" w:rsidRDefault="00467E35" w:rsidP="0046490B">
      <w:pPr>
        <w:ind w:firstLine="720"/>
        <w:rPr>
          <w:sz w:val="20"/>
          <w:szCs w:val="20"/>
        </w:rPr>
      </w:pPr>
    </w:p>
    <w:p w14:paraId="5FA822AB" w14:textId="77777777" w:rsidR="00191314" w:rsidRPr="00DE74E3" w:rsidRDefault="0066775C" w:rsidP="00D06B9F">
      <w:pPr>
        <w:rPr>
          <w:b/>
          <w:sz w:val="20"/>
          <w:szCs w:val="20"/>
          <w:lang w:val="en-CA"/>
        </w:rPr>
      </w:pPr>
      <w:r w:rsidRPr="00DE74E3">
        <w:rPr>
          <w:b/>
          <w:sz w:val="20"/>
          <w:szCs w:val="20"/>
          <w:lang w:val="en-CA"/>
        </w:rPr>
        <w:t>Recommendations</w:t>
      </w:r>
    </w:p>
    <w:p w14:paraId="5046DADA" w14:textId="77777777" w:rsidR="00191314" w:rsidRPr="00DE74E3" w:rsidRDefault="00191314" w:rsidP="00D06B9F">
      <w:pPr>
        <w:rPr>
          <w:sz w:val="20"/>
          <w:szCs w:val="20"/>
          <w:lang w:val="en-CA"/>
        </w:rPr>
      </w:pPr>
    </w:p>
    <w:p w14:paraId="4946CA24" w14:textId="77777777" w:rsidR="0098143E" w:rsidRPr="00DE74E3" w:rsidRDefault="00E55B3D" w:rsidP="00645BE6">
      <w:pPr>
        <w:pStyle w:val="ListParagraph"/>
        <w:rPr>
          <w:b/>
          <w:sz w:val="20"/>
          <w:szCs w:val="20"/>
          <w:lang w:val="en-CA"/>
        </w:rPr>
      </w:pPr>
      <w:r w:rsidRPr="00DE74E3">
        <w:rPr>
          <w:b/>
          <w:sz w:val="20"/>
          <w:szCs w:val="20"/>
          <w:lang w:val="en-CA"/>
        </w:rPr>
        <w:t xml:space="preserve">1.  </w:t>
      </w:r>
      <w:r w:rsidR="00467E35" w:rsidRPr="00DE74E3">
        <w:rPr>
          <w:b/>
          <w:sz w:val="20"/>
          <w:szCs w:val="20"/>
          <w:lang w:val="en-CA"/>
        </w:rPr>
        <w:t>Directly address</w:t>
      </w:r>
      <w:r w:rsidR="00B25134" w:rsidRPr="00DE74E3">
        <w:rPr>
          <w:b/>
          <w:sz w:val="20"/>
          <w:szCs w:val="20"/>
          <w:lang w:val="en-CA"/>
        </w:rPr>
        <w:t xml:space="preserve"> </w:t>
      </w:r>
      <w:r w:rsidR="00621C4D" w:rsidRPr="00DE74E3">
        <w:rPr>
          <w:b/>
          <w:sz w:val="20"/>
          <w:szCs w:val="20"/>
          <w:lang w:val="en-CA"/>
        </w:rPr>
        <w:t xml:space="preserve">indigenous peoples’ collective rights </w:t>
      </w:r>
      <w:r w:rsidR="00B25134" w:rsidRPr="00DE74E3">
        <w:rPr>
          <w:b/>
          <w:sz w:val="20"/>
          <w:szCs w:val="20"/>
          <w:lang w:val="en-CA"/>
        </w:rPr>
        <w:t xml:space="preserve">within </w:t>
      </w:r>
      <w:r w:rsidR="00621C4D" w:rsidRPr="00DE74E3">
        <w:rPr>
          <w:b/>
          <w:sz w:val="20"/>
          <w:szCs w:val="20"/>
          <w:lang w:val="en-CA"/>
        </w:rPr>
        <w:t>the future instrument</w:t>
      </w:r>
      <w:r w:rsidR="00467E35" w:rsidRPr="00DE74E3">
        <w:rPr>
          <w:b/>
          <w:sz w:val="20"/>
          <w:szCs w:val="20"/>
          <w:lang w:val="en-CA"/>
        </w:rPr>
        <w:t>.</w:t>
      </w:r>
      <w:r w:rsidR="00621C4D" w:rsidRPr="00DE74E3">
        <w:rPr>
          <w:b/>
          <w:sz w:val="20"/>
          <w:szCs w:val="20"/>
          <w:lang w:val="en-CA"/>
        </w:rPr>
        <w:t xml:space="preserve"> </w:t>
      </w:r>
    </w:p>
    <w:p w14:paraId="3BC5A4F7" w14:textId="77777777" w:rsidR="0098143E" w:rsidRPr="00DE74E3" w:rsidRDefault="0098143E" w:rsidP="00645BE6">
      <w:pPr>
        <w:pStyle w:val="ListParagraph"/>
        <w:rPr>
          <w:sz w:val="20"/>
          <w:szCs w:val="20"/>
          <w:lang w:val="en-CA"/>
        </w:rPr>
      </w:pPr>
    </w:p>
    <w:p w14:paraId="28566210" w14:textId="77777777" w:rsidR="00621C4D" w:rsidRPr="00DE74E3" w:rsidRDefault="00BA0E21" w:rsidP="00645BE6">
      <w:pPr>
        <w:pStyle w:val="ListParagraph"/>
        <w:ind w:left="1440"/>
        <w:rPr>
          <w:i/>
          <w:sz w:val="20"/>
          <w:szCs w:val="20"/>
          <w:lang w:val="en-CA"/>
        </w:rPr>
      </w:pPr>
      <w:r w:rsidRPr="00DE74E3">
        <w:rPr>
          <w:i/>
          <w:sz w:val="20"/>
          <w:szCs w:val="20"/>
          <w:lang w:val="en-CA"/>
        </w:rPr>
        <w:t>While t</w:t>
      </w:r>
      <w:r w:rsidR="00CC761B" w:rsidRPr="00DE74E3">
        <w:rPr>
          <w:i/>
          <w:sz w:val="20"/>
          <w:szCs w:val="20"/>
          <w:lang w:val="en-CA"/>
        </w:rPr>
        <w:t>he Center understands that all human rights, including both civil and political rights and economic and social rights are indivisible and interrelated</w:t>
      </w:r>
      <w:r w:rsidRPr="00DE74E3">
        <w:rPr>
          <w:i/>
          <w:sz w:val="20"/>
          <w:szCs w:val="20"/>
          <w:lang w:val="en-CA"/>
        </w:rPr>
        <w:t xml:space="preserve">, </w:t>
      </w:r>
      <w:r w:rsidR="00CC761B" w:rsidRPr="00DE74E3">
        <w:rPr>
          <w:i/>
          <w:sz w:val="20"/>
          <w:szCs w:val="20"/>
          <w:lang w:val="en-CA"/>
        </w:rPr>
        <w:t xml:space="preserve">indigenous peoples’ collective rights </w:t>
      </w:r>
      <w:r w:rsidR="0098143E" w:rsidRPr="00DE74E3">
        <w:rPr>
          <w:i/>
          <w:sz w:val="20"/>
          <w:szCs w:val="20"/>
          <w:lang w:val="en-CA"/>
        </w:rPr>
        <w:t>raise</w:t>
      </w:r>
      <w:r w:rsidR="00CC761B" w:rsidRPr="00DE74E3">
        <w:rPr>
          <w:i/>
          <w:sz w:val="20"/>
          <w:szCs w:val="20"/>
          <w:lang w:val="en-CA"/>
        </w:rPr>
        <w:t xml:space="preserve"> unique </w:t>
      </w:r>
      <w:r w:rsidR="0098143E" w:rsidRPr="00DE74E3">
        <w:rPr>
          <w:i/>
          <w:sz w:val="20"/>
          <w:szCs w:val="20"/>
          <w:lang w:val="en-CA"/>
        </w:rPr>
        <w:t>issues</w:t>
      </w:r>
      <w:r w:rsidR="00CC761B" w:rsidRPr="00DE74E3">
        <w:rPr>
          <w:i/>
          <w:sz w:val="20"/>
          <w:szCs w:val="20"/>
          <w:lang w:val="en-CA"/>
        </w:rPr>
        <w:t xml:space="preserve"> and </w:t>
      </w:r>
      <w:r w:rsidR="00B25134" w:rsidRPr="00DE74E3">
        <w:rPr>
          <w:i/>
          <w:sz w:val="20"/>
          <w:szCs w:val="20"/>
          <w:lang w:val="en-CA"/>
        </w:rPr>
        <w:t>it is</w:t>
      </w:r>
      <w:r w:rsidR="00DB492A" w:rsidRPr="00DE74E3">
        <w:rPr>
          <w:i/>
          <w:sz w:val="20"/>
          <w:szCs w:val="20"/>
          <w:lang w:val="en-CA"/>
        </w:rPr>
        <w:t xml:space="preserve"> often</w:t>
      </w:r>
      <w:r w:rsidR="00B25134" w:rsidRPr="00DE74E3">
        <w:rPr>
          <w:i/>
          <w:sz w:val="20"/>
          <w:szCs w:val="20"/>
          <w:lang w:val="en-CA"/>
        </w:rPr>
        <w:t xml:space="preserve"> these rights that are</w:t>
      </w:r>
      <w:r w:rsidR="00CC761B" w:rsidRPr="00DE74E3">
        <w:rPr>
          <w:i/>
          <w:sz w:val="20"/>
          <w:szCs w:val="20"/>
          <w:lang w:val="en-CA"/>
        </w:rPr>
        <w:t xml:space="preserve"> at particular risk from </w:t>
      </w:r>
      <w:r w:rsidR="00B25134" w:rsidRPr="00DE74E3">
        <w:rPr>
          <w:i/>
          <w:sz w:val="20"/>
          <w:szCs w:val="20"/>
          <w:lang w:val="en-CA"/>
        </w:rPr>
        <w:t>business</w:t>
      </w:r>
      <w:r w:rsidR="00CC761B" w:rsidRPr="00DE74E3">
        <w:rPr>
          <w:i/>
          <w:sz w:val="20"/>
          <w:szCs w:val="20"/>
          <w:lang w:val="en-CA"/>
        </w:rPr>
        <w:t xml:space="preserve"> and development activities.  </w:t>
      </w:r>
    </w:p>
    <w:p w14:paraId="14FCBA7C" w14:textId="77777777" w:rsidR="00621C4D" w:rsidRPr="00DE74E3" w:rsidRDefault="00621C4D" w:rsidP="00621C4D">
      <w:pPr>
        <w:pStyle w:val="ListParagraph"/>
        <w:rPr>
          <w:sz w:val="20"/>
          <w:szCs w:val="20"/>
          <w:lang w:val="en-CA"/>
        </w:rPr>
      </w:pPr>
    </w:p>
    <w:p w14:paraId="3E8AE324" w14:textId="77777777" w:rsidR="0098143E" w:rsidRPr="00DE74E3" w:rsidRDefault="00E55B3D" w:rsidP="00645BE6">
      <w:pPr>
        <w:ind w:left="720"/>
        <w:rPr>
          <w:b/>
          <w:sz w:val="20"/>
          <w:szCs w:val="20"/>
          <w:lang w:val="en-CA"/>
        </w:rPr>
      </w:pPr>
      <w:r w:rsidRPr="00DE74E3">
        <w:rPr>
          <w:b/>
          <w:sz w:val="20"/>
          <w:szCs w:val="20"/>
          <w:lang w:val="en-CA"/>
        </w:rPr>
        <w:t xml:space="preserve">2.  </w:t>
      </w:r>
      <w:r w:rsidR="00B25134" w:rsidRPr="00DE74E3">
        <w:rPr>
          <w:b/>
          <w:sz w:val="20"/>
          <w:szCs w:val="20"/>
          <w:lang w:val="en-CA"/>
        </w:rPr>
        <w:t>Include public sector financial institutions within the scope of the proposed instrument.</w:t>
      </w:r>
      <w:r w:rsidRPr="00DE74E3">
        <w:rPr>
          <w:b/>
          <w:sz w:val="20"/>
          <w:szCs w:val="20"/>
          <w:lang w:val="en-CA"/>
        </w:rPr>
        <w:t xml:space="preserve"> </w:t>
      </w:r>
    </w:p>
    <w:p w14:paraId="7138A97A" w14:textId="77777777" w:rsidR="0098143E" w:rsidRPr="00DE74E3" w:rsidRDefault="0098143E" w:rsidP="00645BE6">
      <w:pPr>
        <w:ind w:left="720"/>
        <w:rPr>
          <w:sz w:val="20"/>
          <w:szCs w:val="20"/>
          <w:lang w:val="en-CA"/>
        </w:rPr>
      </w:pPr>
    </w:p>
    <w:p w14:paraId="25CA9F83" w14:textId="77777777" w:rsidR="00B25134" w:rsidRPr="00DE74E3" w:rsidRDefault="00E55B3D" w:rsidP="00645BE6">
      <w:pPr>
        <w:ind w:left="1440"/>
        <w:rPr>
          <w:i/>
          <w:sz w:val="20"/>
          <w:szCs w:val="20"/>
          <w:lang w:val="en-CA"/>
        </w:rPr>
      </w:pPr>
      <w:r w:rsidRPr="00DE74E3">
        <w:rPr>
          <w:i/>
          <w:sz w:val="20"/>
          <w:szCs w:val="20"/>
          <w:lang w:val="en-CA"/>
        </w:rPr>
        <w:t>Excluding these institutions from the scope of the treaty would create a significant gap in the treaty’s coverage</w:t>
      </w:r>
      <w:r w:rsidR="0098143E" w:rsidRPr="00DE74E3">
        <w:rPr>
          <w:i/>
          <w:sz w:val="20"/>
          <w:szCs w:val="20"/>
          <w:lang w:val="en-CA"/>
        </w:rPr>
        <w:t xml:space="preserve"> and encourage incoherence in the development and application of human rights law</w:t>
      </w:r>
      <w:r w:rsidRPr="00DE74E3">
        <w:rPr>
          <w:i/>
          <w:sz w:val="20"/>
          <w:szCs w:val="20"/>
          <w:lang w:val="en-CA"/>
        </w:rPr>
        <w:t>,</w:t>
      </w:r>
      <w:r w:rsidR="0098143E" w:rsidRPr="00DE74E3">
        <w:rPr>
          <w:i/>
          <w:sz w:val="20"/>
          <w:szCs w:val="20"/>
          <w:lang w:val="en-CA"/>
        </w:rPr>
        <w:t xml:space="preserve"> thereby</w:t>
      </w:r>
      <w:r w:rsidRPr="00DE74E3">
        <w:rPr>
          <w:i/>
          <w:sz w:val="20"/>
          <w:szCs w:val="20"/>
          <w:lang w:val="en-CA"/>
        </w:rPr>
        <w:t xml:space="preserve"> reducing the instrument’s effectiveness. </w:t>
      </w:r>
    </w:p>
    <w:p w14:paraId="69563789" w14:textId="77777777" w:rsidR="00E55B3D" w:rsidRPr="00DE74E3" w:rsidRDefault="00E55B3D" w:rsidP="00645BE6">
      <w:pPr>
        <w:ind w:left="720"/>
        <w:rPr>
          <w:sz w:val="20"/>
          <w:szCs w:val="20"/>
          <w:lang w:val="en-CA"/>
        </w:rPr>
      </w:pPr>
    </w:p>
    <w:p w14:paraId="2B9D5F88" w14:textId="77777777" w:rsidR="0098143E" w:rsidRPr="00DE74E3" w:rsidRDefault="00E55B3D" w:rsidP="00645BE6">
      <w:pPr>
        <w:pStyle w:val="ListParagraph"/>
        <w:rPr>
          <w:b/>
          <w:sz w:val="20"/>
          <w:szCs w:val="20"/>
          <w:lang w:val="en-CA"/>
        </w:rPr>
      </w:pPr>
      <w:r w:rsidRPr="00DE74E3">
        <w:rPr>
          <w:b/>
          <w:sz w:val="20"/>
          <w:szCs w:val="20"/>
          <w:lang w:val="en-CA"/>
        </w:rPr>
        <w:t xml:space="preserve">3.  </w:t>
      </w:r>
      <w:r w:rsidR="0066775C" w:rsidRPr="00DE74E3">
        <w:rPr>
          <w:b/>
          <w:sz w:val="20"/>
          <w:szCs w:val="20"/>
          <w:lang w:val="en-CA"/>
        </w:rPr>
        <w:t xml:space="preserve">Hold a panel discussion on the question of </w:t>
      </w:r>
      <w:r w:rsidRPr="00DE74E3">
        <w:rPr>
          <w:b/>
          <w:sz w:val="20"/>
          <w:szCs w:val="20"/>
          <w:lang w:val="en-CA"/>
        </w:rPr>
        <w:t xml:space="preserve">the human rights obligations of </w:t>
      </w:r>
      <w:r w:rsidR="0066775C" w:rsidRPr="00DE74E3">
        <w:rPr>
          <w:b/>
          <w:sz w:val="20"/>
          <w:szCs w:val="20"/>
          <w:lang w:val="en-CA"/>
        </w:rPr>
        <w:t>public sector financial institutions</w:t>
      </w:r>
      <w:r w:rsidRPr="00DE74E3">
        <w:rPr>
          <w:b/>
          <w:sz w:val="20"/>
          <w:szCs w:val="20"/>
          <w:lang w:val="en-CA"/>
        </w:rPr>
        <w:t xml:space="preserve">.  </w:t>
      </w:r>
    </w:p>
    <w:p w14:paraId="4F66B94D" w14:textId="77777777" w:rsidR="0098143E" w:rsidRPr="00DE74E3" w:rsidRDefault="0098143E" w:rsidP="00645BE6">
      <w:pPr>
        <w:pStyle w:val="ListParagraph"/>
        <w:rPr>
          <w:sz w:val="20"/>
          <w:szCs w:val="20"/>
          <w:lang w:val="en-CA"/>
        </w:rPr>
      </w:pPr>
    </w:p>
    <w:p w14:paraId="32DF9118" w14:textId="77777777" w:rsidR="000C2E22" w:rsidRPr="00DE74E3" w:rsidRDefault="00E55B3D" w:rsidP="00645BE6">
      <w:pPr>
        <w:pStyle w:val="ListParagraph"/>
        <w:ind w:left="1440"/>
        <w:rPr>
          <w:i/>
          <w:sz w:val="20"/>
          <w:szCs w:val="20"/>
          <w:lang w:val="en-CA"/>
        </w:rPr>
      </w:pPr>
      <w:r w:rsidRPr="00DE74E3">
        <w:rPr>
          <w:i/>
          <w:sz w:val="20"/>
          <w:szCs w:val="20"/>
          <w:lang w:val="en-CA"/>
        </w:rPr>
        <w:t xml:space="preserve">Although these institutions </w:t>
      </w:r>
      <w:r w:rsidR="000C2E22" w:rsidRPr="00DE74E3">
        <w:rPr>
          <w:i/>
          <w:sz w:val="20"/>
          <w:szCs w:val="20"/>
          <w:lang w:val="en-CA"/>
        </w:rPr>
        <w:t>often</w:t>
      </w:r>
      <w:r w:rsidRPr="00DE74E3">
        <w:rPr>
          <w:i/>
          <w:sz w:val="20"/>
          <w:szCs w:val="20"/>
          <w:lang w:val="en-CA"/>
        </w:rPr>
        <w:t xml:space="preserve"> conduct the same kind of business activities as private sector entities, and thus risk violating human </w:t>
      </w:r>
      <w:r w:rsidR="000C2E22" w:rsidRPr="00DE74E3">
        <w:rPr>
          <w:i/>
          <w:sz w:val="20"/>
          <w:szCs w:val="20"/>
          <w:lang w:val="en-CA"/>
        </w:rPr>
        <w:t xml:space="preserve">rights in the same ways, the types of projects they fund, the scale and scope of their activities, as well as their status as public sector institutions raise distinct </w:t>
      </w:r>
      <w:r w:rsidR="0098143E" w:rsidRPr="00DE74E3">
        <w:rPr>
          <w:i/>
          <w:sz w:val="20"/>
          <w:szCs w:val="20"/>
          <w:lang w:val="en-CA"/>
        </w:rPr>
        <w:t>questions</w:t>
      </w:r>
      <w:r w:rsidR="000C2E22" w:rsidRPr="00DE74E3">
        <w:rPr>
          <w:i/>
          <w:sz w:val="20"/>
          <w:szCs w:val="20"/>
          <w:lang w:val="en-CA"/>
        </w:rPr>
        <w:t xml:space="preserve"> that deserve focused attention during the development of this instrument.</w:t>
      </w:r>
    </w:p>
    <w:p w14:paraId="45CE228E" w14:textId="77777777" w:rsidR="00621C4D" w:rsidRPr="00DE74E3" w:rsidRDefault="00621C4D" w:rsidP="00621C4D">
      <w:pPr>
        <w:rPr>
          <w:sz w:val="20"/>
          <w:szCs w:val="20"/>
          <w:lang w:val="en-CA"/>
        </w:rPr>
      </w:pPr>
    </w:p>
    <w:p w14:paraId="10107D74" w14:textId="77777777" w:rsidR="0098143E" w:rsidRPr="00DE74E3" w:rsidRDefault="000C2E22" w:rsidP="00645BE6">
      <w:pPr>
        <w:pStyle w:val="ListParagraph"/>
        <w:rPr>
          <w:b/>
          <w:sz w:val="20"/>
          <w:szCs w:val="20"/>
          <w:lang w:val="en-CA"/>
        </w:rPr>
      </w:pPr>
      <w:r w:rsidRPr="00DE74E3">
        <w:rPr>
          <w:b/>
          <w:sz w:val="20"/>
          <w:szCs w:val="20"/>
          <w:lang w:val="en-CA"/>
        </w:rPr>
        <w:t xml:space="preserve">4.  </w:t>
      </w:r>
      <w:r w:rsidR="00191314" w:rsidRPr="00DE74E3">
        <w:rPr>
          <w:b/>
          <w:sz w:val="20"/>
          <w:szCs w:val="20"/>
          <w:lang w:val="en-CA"/>
        </w:rPr>
        <w:t xml:space="preserve">Hold a panel discussion on the distinction between human rights impact assessments and other kinds of assessments, such as environmental </w:t>
      </w:r>
      <w:r w:rsidR="00BA0E21" w:rsidRPr="00DE74E3">
        <w:rPr>
          <w:b/>
          <w:sz w:val="20"/>
          <w:szCs w:val="20"/>
          <w:lang w:val="en-CA"/>
        </w:rPr>
        <w:t>or</w:t>
      </w:r>
      <w:r w:rsidR="00191314" w:rsidRPr="00DE74E3">
        <w:rPr>
          <w:b/>
          <w:sz w:val="20"/>
          <w:szCs w:val="20"/>
          <w:lang w:val="en-CA"/>
        </w:rPr>
        <w:t xml:space="preserve"> social impact assessments.</w:t>
      </w:r>
      <w:r w:rsidR="00BA0E21" w:rsidRPr="00DE74E3">
        <w:rPr>
          <w:b/>
          <w:sz w:val="20"/>
          <w:szCs w:val="20"/>
          <w:lang w:val="en-CA"/>
        </w:rPr>
        <w:t xml:space="preserve">  </w:t>
      </w:r>
    </w:p>
    <w:p w14:paraId="63A972C7" w14:textId="77777777" w:rsidR="0098143E" w:rsidRPr="00DE74E3" w:rsidRDefault="0098143E" w:rsidP="00645BE6">
      <w:pPr>
        <w:pStyle w:val="ListParagraph"/>
        <w:rPr>
          <w:sz w:val="20"/>
          <w:szCs w:val="20"/>
          <w:lang w:val="en-CA"/>
        </w:rPr>
      </w:pPr>
    </w:p>
    <w:p w14:paraId="76A51980" w14:textId="77777777" w:rsidR="0098143E" w:rsidRPr="009A3270" w:rsidRDefault="00BA0E21" w:rsidP="009A3270">
      <w:pPr>
        <w:pStyle w:val="ListParagraph"/>
        <w:ind w:left="1440"/>
        <w:rPr>
          <w:i/>
          <w:lang w:val="en-CA"/>
        </w:rPr>
      </w:pPr>
      <w:r w:rsidRPr="00DE74E3">
        <w:rPr>
          <w:i/>
          <w:sz w:val="20"/>
          <w:szCs w:val="20"/>
          <w:lang w:val="en-CA"/>
        </w:rPr>
        <w:t>Al</w:t>
      </w:r>
      <w:r w:rsidR="000C2E22" w:rsidRPr="00DE74E3">
        <w:rPr>
          <w:i/>
          <w:sz w:val="20"/>
          <w:szCs w:val="20"/>
          <w:lang w:val="en-CA"/>
        </w:rPr>
        <w:t xml:space="preserve">l of these due diligence procedures share important features, but </w:t>
      </w:r>
      <w:r w:rsidR="0098143E" w:rsidRPr="00DE74E3">
        <w:rPr>
          <w:i/>
          <w:sz w:val="20"/>
          <w:szCs w:val="20"/>
          <w:lang w:val="en-CA"/>
        </w:rPr>
        <w:t>a</w:t>
      </w:r>
      <w:r w:rsidR="00812B38" w:rsidRPr="00DE74E3">
        <w:rPr>
          <w:i/>
          <w:sz w:val="20"/>
          <w:szCs w:val="20"/>
          <w:lang w:val="en-CA"/>
        </w:rPr>
        <w:t>n effective</w:t>
      </w:r>
      <w:r w:rsidR="0098143E" w:rsidRPr="00DE74E3">
        <w:rPr>
          <w:i/>
          <w:sz w:val="20"/>
          <w:szCs w:val="20"/>
          <w:lang w:val="en-CA"/>
        </w:rPr>
        <w:t xml:space="preserve"> human rights impact assessment requires a </w:t>
      </w:r>
      <w:r w:rsidR="00812B38" w:rsidRPr="00DE74E3">
        <w:rPr>
          <w:i/>
          <w:sz w:val="20"/>
          <w:szCs w:val="20"/>
          <w:lang w:val="en-CA"/>
        </w:rPr>
        <w:t>legal analysis, a specific approach that requires distinct skills and tools</w:t>
      </w:r>
      <w:r w:rsidR="00812B38" w:rsidRPr="00645BE6">
        <w:rPr>
          <w:i/>
          <w:lang w:val="en-CA"/>
        </w:rPr>
        <w:t>.</w:t>
      </w:r>
    </w:p>
    <w:sectPr w:rsidR="0098143E" w:rsidRPr="009A3270" w:rsidSect="008F2959">
      <w:footerReference w:type="even" r:id="rId12"/>
      <w:footerReference w:type="default" r:id="rId13"/>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FC50D" w14:textId="77777777" w:rsidR="00DE74E3" w:rsidRDefault="00DE74E3">
      <w:r>
        <w:separator/>
      </w:r>
    </w:p>
  </w:endnote>
  <w:endnote w:type="continuationSeparator" w:id="0">
    <w:p w14:paraId="6A5382E8" w14:textId="77777777" w:rsidR="00DE74E3" w:rsidRDefault="00D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GMIPA+TimesNewRoman">
    <w:altName w:val="Times New Roman"/>
    <w:panose1 w:val="00000000000000000000"/>
    <w:charset w:val="00"/>
    <w:family w:val="roman"/>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0C04" w14:textId="77777777" w:rsidR="00DE74E3" w:rsidRDefault="00DE74E3" w:rsidP="00656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ACEB2" w14:textId="77777777" w:rsidR="00DE74E3" w:rsidRDefault="00DE74E3" w:rsidP="006560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5EA2" w14:textId="77777777" w:rsidR="00DE74E3" w:rsidRDefault="00DE74E3" w:rsidP="00656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B1B">
      <w:rPr>
        <w:rStyle w:val="PageNumber"/>
        <w:noProof/>
      </w:rPr>
      <w:t>1</w:t>
    </w:r>
    <w:r>
      <w:rPr>
        <w:rStyle w:val="PageNumber"/>
      </w:rPr>
      <w:fldChar w:fldCharType="end"/>
    </w:r>
  </w:p>
  <w:p w14:paraId="7A445E84" w14:textId="77777777" w:rsidR="00DE74E3" w:rsidRDefault="00DE74E3" w:rsidP="0065602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4413" w14:textId="77777777" w:rsidR="00DE74E3" w:rsidRDefault="00DE74E3" w:rsidP="00656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B858A" w14:textId="77777777" w:rsidR="00DE74E3" w:rsidRDefault="00DE74E3" w:rsidP="0065602B">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0771727"/>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14:paraId="1ED63EDC" w14:textId="77777777" w:rsidR="00DE74E3" w:rsidRPr="00191280" w:rsidRDefault="00DE74E3" w:rsidP="00191280">
            <w:pPr>
              <w:pStyle w:val="Footer"/>
              <w:jc w:val="center"/>
              <w:rPr>
                <w:sz w:val="20"/>
                <w:szCs w:val="20"/>
              </w:rPr>
            </w:pPr>
            <w:r w:rsidRPr="00191280">
              <w:rPr>
                <w:sz w:val="20"/>
                <w:szCs w:val="20"/>
              </w:rPr>
              <w:t xml:space="preserve">Page </w:t>
            </w:r>
            <w:r w:rsidRPr="00191280">
              <w:rPr>
                <w:b/>
                <w:sz w:val="20"/>
                <w:szCs w:val="20"/>
              </w:rPr>
              <w:fldChar w:fldCharType="begin"/>
            </w:r>
            <w:r w:rsidRPr="00191280">
              <w:rPr>
                <w:b/>
                <w:sz w:val="20"/>
                <w:szCs w:val="20"/>
              </w:rPr>
              <w:instrText xml:space="preserve"> PAGE </w:instrText>
            </w:r>
            <w:r w:rsidRPr="00191280">
              <w:rPr>
                <w:b/>
                <w:sz w:val="20"/>
                <w:szCs w:val="20"/>
              </w:rPr>
              <w:fldChar w:fldCharType="separate"/>
            </w:r>
            <w:r w:rsidR="00B44B1B">
              <w:rPr>
                <w:b/>
                <w:noProof/>
                <w:sz w:val="20"/>
                <w:szCs w:val="20"/>
              </w:rPr>
              <w:t>2</w:t>
            </w:r>
            <w:r w:rsidRPr="00191280">
              <w:rPr>
                <w:b/>
                <w:sz w:val="20"/>
                <w:szCs w:val="20"/>
              </w:rPr>
              <w:fldChar w:fldCharType="end"/>
            </w:r>
            <w:r w:rsidRPr="00191280">
              <w:rPr>
                <w:sz w:val="20"/>
                <w:szCs w:val="20"/>
              </w:rPr>
              <w:t xml:space="preserve"> of </w:t>
            </w:r>
            <w:r w:rsidRPr="00191280">
              <w:rPr>
                <w:b/>
                <w:sz w:val="20"/>
                <w:szCs w:val="20"/>
              </w:rPr>
              <w:fldChar w:fldCharType="begin"/>
            </w:r>
            <w:r w:rsidRPr="00191280">
              <w:rPr>
                <w:b/>
                <w:sz w:val="20"/>
                <w:szCs w:val="20"/>
              </w:rPr>
              <w:instrText xml:space="preserve"> NUMPAGES  </w:instrText>
            </w:r>
            <w:r w:rsidRPr="00191280">
              <w:rPr>
                <w:b/>
                <w:sz w:val="20"/>
                <w:szCs w:val="20"/>
              </w:rPr>
              <w:fldChar w:fldCharType="separate"/>
            </w:r>
            <w:r w:rsidR="00B44B1B">
              <w:rPr>
                <w:b/>
                <w:noProof/>
                <w:sz w:val="20"/>
                <w:szCs w:val="20"/>
              </w:rPr>
              <w:t>6</w:t>
            </w:r>
            <w:r w:rsidRPr="00191280">
              <w:rPr>
                <w:b/>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43343" w14:textId="77777777" w:rsidR="00DE74E3" w:rsidRDefault="00DE74E3">
      <w:r>
        <w:separator/>
      </w:r>
    </w:p>
  </w:footnote>
  <w:footnote w:type="continuationSeparator" w:id="0">
    <w:p w14:paraId="5ADA3D37" w14:textId="77777777" w:rsidR="00DE74E3" w:rsidRDefault="00DE74E3">
      <w:r>
        <w:continuationSeparator/>
      </w:r>
    </w:p>
  </w:footnote>
  <w:footnote w:id="1">
    <w:p w14:paraId="1E5D87F9" w14:textId="77777777" w:rsidR="00DE74E3" w:rsidRPr="00645BE6" w:rsidRDefault="00DE74E3" w:rsidP="00A85CBD">
      <w:pPr>
        <w:widowControl/>
        <w:rPr>
          <w:sz w:val="18"/>
          <w:szCs w:val="18"/>
        </w:rPr>
      </w:pPr>
      <w:r w:rsidRPr="00645BE6">
        <w:rPr>
          <w:rStyle w:val="FootnoteReference"/>
          <w:sz w:val="18"/>
          <w:szCs w:val="18"/>
          <w:vertAlign w:val="superscript"/>
        </w:rPr>
        <w:footnoteRef/>
      </w:r>
      <w:r w:rsidRPr="00645BE6">
        <w:rPr>
          <w:sz w:val="18"/>
          <w:szCs w:val="18"/>
        </w:rPr>
        <w:t xml:space="preserve"> </w:t>
      </w:r>
      <w:r w:rsidRPr="00645BE6">
        <w:rPr>
          <w:bCs/>
          <w:sz w:val="18"/>
          <w:szCs w:val="18"/>
        </w:rPr>
        <w:t xml:space="preserve">Elaboration of an international legally binding instrument on transnational corporations and other business enterprises with respect to human rights, H.R. Council Res. 26/9, </w:t>
      </w:r>
      <w:r w:rsidRPr="00645BE6">
        <w:rPr>
          <w:sz w:val="18"/>
          <w:szCs w:val="18"/>
        </w:rPr>
        <w:t>HRC/26/L.22/Rev.1 (June 2014).</w:t>
      </w:r>
      <w:r w:rsidRPr="00645BE6">
        <w:rPr>
          <w:rFonts w:ascii="TimesNewRomanPSMT" w:hAnsi="TimesNewRomanPSMT" w:cs="TimesNewRomanPSMT"/>
          <w:sz w:val="18"/>
          <w:szCs w:val="18"/>
        </w:rPr>
        <w:t xml:space="preserve"> </w:t>
      </w:r>
    </w:p>
  </w:footnote>
  <w:footnote w:id="2">
    <w:p w14:paraId="05361681" w14:textId="77777777" w:rsidR="00DE74E3" w:rsidRPr="00980994" w:rsidRDefault="00DE74E3">
      <w:pPr>
        <w:pStyle w:val="FootnoteText"/>
        <w:rPr>
          <w:rFonts w:ascii="Times New Roman" w:hAnsi="Times New Roman" w:cs="Times New Roman"/>
          <w:sz w:val="18"/>
          <w:szCs w:val="18"/>
        </w:rPr>
      </w:pPr>
      <w:r w:rsidRPr="00645BE6">
        <w:rPr>
          <w:rStyle w:val="FootnoteReference"/>
          <w:rFonts w:ascii="Times New Roman" w:hAnsi="Times New Roman" w:cs="Times New Roman"/>
          <w:sz w:val="18"/>
          <w:szCs w:val="18"/>
          <w:vertAlign w:val="superscript"/>
        </w:rPr>
        <w:footnoteRef/>
      </w:r>
      <w:r w:rsidRPr="00645BE6">
        <w:rPr>
          <w:rFonts w:ascii="Times New Roman" w:hAnsi="Times New Roman" w:cs="Times New Roman"/>
          <w:sz w:val="18"/>
          <w:szCs w:val="18"/>
          <w:vertAlign w:val="superscript"/>
        </w:rPr>
        <w:t xml:space="preserve"> </w:t>
      </w:r>
      <w:r w:rsidRPr="00980994">
        <w:rPr>
          <w:rFonts w:ascii="Times New Roman" w:hAnsi="Times New Roman" w:cs="Times New Roman"/>
          <w:i/>
          <w:sz w:val="18"/>
          <w:szCs w:val="18"/>
        </w:rPr>
        <w:t xml:space="preserve">See, </w:t>
      </w:r>
      <w:r w:rsidRPr="00980994">
        <w:rPr>
          <w:rFonts w:ascii="Times New Roman" w:hAnsi="Times New Roman" w:cs="Times New Roman"/>
          <w:smallCaps/>
          <w:sz w:val="18"/>
          <w:szCs w:val="18"/>
        </w:rPr>
        <w:t>Guiding Principles on Business and Human Rights, Implementing the United Nations “Protect, Respect and Remedy” Framework</w:t>
      </w:r>
      <w:r w:rsidRPr="00980994">
        <w:rPr>
          <w:rFonts w:ascii="Times New Roman" w:hAnsi="Times New Roman" w:cs="Times New Roman"/>
          <w:sz w:val="18"/>
          <w:szCs w:val="18"/>
        </w:rPr>
        <w:t>, United Nations Office of the High Commissioner for Human Rights (United Nations, 2001).</w:t>
      </w:r>
    </w:p>
  </w:footnote>
  <w:footnote w:id="3">
    <w:p w14:paraId="070A0B70" w14:textId="77777777" w:rsidR="00DE74E3" w:rsidRPr="003731F8" w:rsidRDefault="00DE74E3">
      <w:pPr>
        <w:pStyle w:val="FootnoteText"/>
        <w:rPr>
          <w:rFonts w:ascii="Times New Roman" w:hAnsi="Times New Roman" w:cs="Times New Roman"/>
          <w:sz w:val="18"/>
          <w:szCs w:val="18"/>
        </w:rPr>
      </w:pPr>
      <w:r w:rsidRPr="00645BE6">
        <w:rPr>
          <w:rStyle w:val="FootnoteReference"/>
          <w:rFonts w:ascii="Times New Roman" w:hAnsi="Times New Roman" w:cs="Times New Roman"/>
          <w:sz w:val="18"/>
          <w:szCs w:val="18"/>
          <w:vertAlign w:val="superscript"/>
        </w:rPr>
        <w:footnoteRef/>
      </w:r>
      <w:r w:rsidRPr="003731F8">
        <w:rPr>
          <w:rFonts w:ascii="Times New Roman" w:hAnsi="Times New Roman" w:cs="Times New Roman"/>
          <w:sz w:val="18"/>
          <w:szCs w:val="18"/>
        </w:rPr>
        <w:t xml:space="preserve"> </w:t>
      </w:r>
      <w:r w:rsidRPr="003731F8">
        <w:rPr>
          <w:rFonts w:ascii="Times New Roman" w:hAnsi="Times New Roman" w:cs="Times New Roman"/>
          <w:smallCaps/>
          <w:sz w:val="18"/>
          <w:szCs w:val="18"/>
        </w:rPr>
        <w:t>Moscher Hirsch, The Responsibility of International Organizations Toward Third Parties: Some Basic Principles</w:t>
      </w:r>
      <w:r w:rsidRPr="003731F8">
        <w:rPr>
          <w:rFonts w:ascii="Times New Roman" w:hAnsi="Times New Roman" w:cs="Times New Roman"/>
          <w:sz w:val="18"/>
          <w:szCs w:val="18"/>
        </w:rPr>
        <w:t xml:space="preserve"> </w:t>
      </w:r>
      <w:r>
        <w:rPr>
          <w:rFonts w:ascii="Times New Roman" w:hAnsi="Times New Roman" w:cs="Times New Roman"/>
          <w:sz w:val="18"/>
          <w:szCs w:val="18"/>
        </w:rPr>
        <w:t xml:space="preserve">7, </w:t>
      </w:r>
      <w:r w:rsidRPr="003731F8">
        <w:rPr>
          <w:rFonts w:ascii="Times New Roman" w:hAnsi="Times New Roman" w:cs="Times New Roman"/>
          <w:sz w:val="18"/>
          <w:szCs w:val="18"/>
        </w:rPr>
        <w:t>8 (Martinus Nijhoff Publishers, 1995).</w:t>
      </w:r>
    </w:p>
  </w:footnote>
  <w:footnote w:id="4">
    <w:p w14:paraId="2765807C" w14:textId="77777777" w:rsidR="00DE74E3" w:rsidRPr="00980994" w:rsidRDefault="00DE74E3">
      <w:pPr>
        <w:pStyle w:val="FootnoteText"/>
        <w:rPr>
          <w:rFonts w:ascii="Times New Roman" w:hAnsi="Times New Roman" w:cs="Times New Roman"/>
          <w:sz w:val="18"/>
          <w:szCs w:val="18"/>
        </w:rPr>
      </w:pPr>
      <w:r w:rsidRPr="00645BE6">
        <w:rPr>
          <w:rStyle w:val="FootnoteReference"/>
          <w:rFonts w:ascii="Times New Roman" w:hAnsi="Times New Roman" w:cs="Times New Roman"/>
          <w:sz w:val="18"/>
          <w:szCs w:val="18"/>
          <w:vertAlign w:val="superscript"/>
        </w:rPr>
        <w:footnoteRef/>
      </w:r>
      <w:r w:rsidRPr="00645BE6">
        <w:rPr>
          <w:rFonts w:ascii="Times New Roman" w:hAnsi="Times New Roman" w:cs="Times New Roman"/>
          <w:sz w:val="18"/>
          <w:szCs w:val="18"/>
          <w:vertAlign w:val="superscript"/>
        </w:rPr>
        <w:t xml:space="preserve"> </w:t>
      </w:r>
      <w:r w:rsidRPr="00980994">
        <w:rPr>
          <w:rFonts w:ascii="Times New Roman" w:hAnsi="Times New Roman" w:cs="Times New Roman"/>
          <w:sz w:val="18"/>
          <w:szCs w:val="18"/>
        </w:rPr>
        <w:t>Final Report submitted by the Special Rapporteur Erica-Irene A. Daes, to the Sub-Commission on Promotion and Protection of Human Rights</w:t>
      </w:r>
      <w:r>
        <w:rPr>
          <w:rFonts w:ascii="Times New Roman" w:hAnsi="Times New Roman" w:cs="Times New Roman"/>
          <w:sz w:val="18"/>
          <w:szCs w:val="18"/>
        </w:rPr>
        <w:t>,</w:t>
      </w:r>
      <w:r w:rsidRPr="00980994">
        <w:rPr>
          <w:rFonts w:ascii="Times New Roman" w:hAnsi="Times New Roman" w:cs="Times New Roman"/>
          <w:i/>
          <w:iCs/>
          <w:sz w:val="18"/>
          <w:szCs w:val="18"/>
        </w:rPr>
        <w:t xml:space="preserve"> Indigenous Peoples’ Permanent Sovereignty over Natural Resources, </w:t>
      </w:r>
      <w:r w:rsidRPr="00980994">
        <w:rPr>
          <w:rFonts w:ascii="Times New Roman" w:hAnsi="Times New Roman" w:cs="Times New Roman"/>
          <w:sz w:val="18"/>
          <w:szCs w:val="18"/>
        </w:rPr>
        <w:t>E/CN.4/Sub.2/2004/30, para. 6 (July 13, 2004).</w:t>
      </w:r>
    </w:p>
  </w:footnote>
  <w:footnote w:id="5">
    <w:p w14:paraId="7BFEE2BF" w14:textId="77777777" w:rsidR="00DE74E3" w:rsidRPr="00980994" w:rsidRDefault="00DE74E3" w:rsidP="008F2959">
      <w:pPr>
        <w:widowControl/>
        <w:rPr>
          <w:sz w:val="18"/>
          <w:szCs w:val="18"/>
        </w:rPr>
      </w:pPr>
      <w:r w:rsidRPr="00645BE6">
        <w:rPr>
          <w:rStyle w:val="FootnoteReference"/>
          <w:sz w:val="18"/>
          <w:szCs w:val="18"/>
          <w:vertAlign w:val="superscript"/>
        </w:rPr>
        <w:footnoteRef/>
      </w:r>
      <w:r w:rsidRPr="00645BE6">
        <w:rPr>
          <w:sz w:val="18"/>
          <w:szCs w:val="18"/>
          <w:vertAlign w:val="superscript"/>
        </w:rPr>
        <w:t xml:space="preserve"> </w:t>
      </w:r>
      <w:r w:rsidRPr="00980994">
        <w:rPr>
          <w:sz w:val="18"/>
          <w:szCs w:val="18"/>
        </w:rPr>
        <w:t>Mary and Carrie Dann v. United States, Case 11.140, Report No. 75/02, Inter-Am. Commission Human Rights, at para. 130 (December 27, 2002); The Case of Mayagna (Sumo) Awas Tingni Community v. Nicaragua, Inter-Am. Ct. H.R. (Ser. C) No.79, (Judgment of Aug. 31, 2001) at para. 151; The Case of the Saramaka People v. Suriname, Inter-Am. Ct. H. R., (Ser. C) No. 172, (Judgment of Nov. 28, 2007) at para. 93; Maya Indigenous Communities of the Toledo District v. Belize, Case 12.053, Report No. 40/04 (October 12, 2004).</w:t>
      </w:r>
    </w:p>
  </w:footnote>
  <w:footnote w:id="6">
    <w:p w14:paraId="7C4DA116" w14:textId="77777777" w:rsidR="00DE74E3" w:rsidRPr="00980994" w:rsidRDefault="00DE74E3" w:rsidP="004E4776">
      <w:pPr>
        <w:pStyle w:val="Title"/>
        <w:spacing w:before="0" w:after="0"/>
        <w:ind w:right="-29"/>
        <w:jc w:val="left"/>
        <w:rPr>
          <w:b w:val="0"/>
          <w:sz w:val="18"/>
          <w:szCs w:val="18"/>
          <w:lang w:val="en-US"/>
        </w:rPr>
      </w:pPr>
      <w:r w:rsidRPr="00645BE6">
        <w:rPr>
          <w:rStyle w:val="FootnoteReference"/>
          <w:b w:val="0"/>
          <w:sz w:val="18"/>
          <w:szCs w:val="18"/>
          <w:vertAlign w:val="superscript"/>
        </w:rPr>
        <w:footnoteRef/>
      </w:r>
      <w:r w:rsidRPr="00645BE6">
        <w:rPr>
          <w:b w:val="0"/>
          <w:sz w:val="18"/>
          <w:szCs w:val="18"/>
          <w:vertAlign w:val="superscript"/>
        </w:rPr>
        <w:t xml:space="preserve"> </w:t>
      </w:r>
      <w:bookmarkStart w:id="0" w:name="_Toc153347571"/>
      <w:bookmarkStart w:id="1" w:name="_Toc167076747"/>
      <w:bookmarkStart w:id="2" w:name="_Toc216697776"/>
      <w:bookmarkStart w:id="3" w:name="_Toc411588011"/>
      <w:bookmarkStart w:id="4" w:name="_Toc418007683"/>
      <w:bookmarkStart w:id="5" w:name="_Toc420578276"/>
      <w:r w:rsidRPr="00980994">
        <w:rPr>
          <w:b w:val="0"/>
          <w:caps w:val="0"/>
          <w:sz w:val="18"/>
          <w:szCs w:val="18"/>
          <w:lang w:val="en-US"/>
        </w:rPr>
        <w:t>Outcome of the Eighteen Meetings of Negotiations in the Quest for Points</w:t>
      </w:r>
      <w:bookmarkEnd w:id="0"/>
      <w:bookmarkEnd w:id="1"/>
      <w:r w:rsidRPr="00980994">
        <w:rPr>
          <w:b w:val="0"/>
          <w:caps w:val="0"/>
          <w:sz w:val="18"/>
          <w:szCs w:val="18"/>
          <w:lang w:val="en-US"/>
        </w:rPr>
        <w:t xml:space="preserve"> </w:t>
      </w:r>
      <w:bookmarkStart w:id="6" w:name="_Toc153347572"/>
      <w:bookmarkStart w:id="7" w:name="_Toc167076748"/>
      <w:r w:rsidRPr="00980994">
        <w:rPr>
          <w:b w:val="0"/>
          <w:caps w:val="0"/>
          <w:sz w:val="18"/>
          <w:szCs w:val="18"/>
          <w:lang w:val="en-US"/>
        </w:rPr>
        <w:t>of Consensus, held by the Working Group</w:t>
      </w:r>
      <w:bookmarkEnd w:id="2"/>
      <w:bookmarkEnd w:id="3"/>
      <w:bookmarkEnd w:id="4"/>
      <w:bookmarkEnd w:id="5"/>
      <w:bookmarkEnd w:id="6"/>
      <w:bookmarkEnd w:id="7"/>
      <w:r w:rsidRPr="00980994">
        <w:rPr>
          <w:b w:val="0"/>
          <w:caps w:val="0"/>
          <w:sz w:val="18"/>
          <w:szCs w:val="18"/>
          <w:lang w:val="en-US"/>
        </w:rPr>
        <w:t xml:space="preserve"> to Prepare the Draft American Declaration on the Rights of Indigenous Peoples, </w:t>
      </w:r>
      <w:bookmarkStart w:id="8" w:name="_Toc153347569"/>
      <w:bookmarkStart w:id="9" w:name="_Toc167076745"/>
      <w:bookmarkStart w:id="10" w:name="_Toc216697775"/>
      <w:bookmarkStart w:id="11" w:name="_Toc411588010"/>
      <w:bookmarkStart w:id="12" w:name="_Toc418007682"/>
      <w:bookmarkStart w:id="13" w:name="_Toc420578275"/>
      <w:r w:rsidRPr="00980994">
        <w:rPr>
          <w:b w:val="0"/>
          <w:i/>
          <w:caps w:val="0"/>
          <w:sz w:val="18"/>
          <w:szCs w:val="18"/>
          <w:lang w:val="en-US"/>
        </w:rPr>
        <w:t>Draft American Declaration on the Rights of Indigenous Peoples</w:t>
      </w:r>
      <w:r w:rsidRPr="00980994">
        <w:rPr>
          <w:b w:val="0"/>
          <w:caps w:val="0"/>
          <w:sz w:val="18"/>
          <w:szCs w:val="18"/>
          <w:lang w:val="en-US"/>
        </w:rPr>
        <w:t xml:space="preserve">, </w:t>
      </w:r>
      <w:bookmarkEnd w:id="8"/>
      <w:bookmarkEnd w:id="9"/>
      <w:bookmarkEnd w:id="10"/>
      <w:bookmarkEnd w:id="11"/>
      <w:bookmarkEnd w:id="12"/>
      <w:bookmarkEnd w:id="13"/>
      <w:r w:rsidRPr="00980994">
        <w:rPr>
          <w:b w:val="0"/>
          <w:caps w:val="0"/>
          <w:sz w:val="18"/>
          <w:szCs w:val="18"/>
          <w:lang w:val="en-US"/>
        </w:rPr>
        <w:t>OEA/Ser.K/XVI, GT/DADIN/doc.334/08 rev. 11 corr. 1 (June 4, 2015),</w:t>
      </w:r>
      <w:r w:rsidRPr="00980994">
        <w:rPr>
          <w:b w:val="0"/>
          <w:sz w:val="18"/>
          <w:szCs w:val="18"/>
          <w:lang w:val="en-US"/>
        </w:rPr>
        <w:t xml:space="preserve"> </w:t>
      </w:r>
      <w:r w:rsidRPr="00980994">
        <w:rPr>
          <w:b w:val="0"/>
          <w:caps w:val="0"/>
          <w:sz w:val="18"/>
          <w:szCs w:val="18"/>
          <w:lang w:val="en-US"/>
        </w:rPr>
        <w:t>Art</w:t>
      </w:r>
      <w:r w:rsidRPr="00980994">
        <w:rPr>
          <w:b w:val="0"/>
          <w:sz w:val="18"/>
          <w:szCs w:val="18"/>
          <w:lang w:val="en-US"/>
        </w:rPr>
        <w:t xml:space="preserve">. </w:t>
      </w:r>
      <w:r w:rsidRPr="00980994">
        <w:rPr>
          <w:b w:val="0"/>
          <w:sz w:val="18"/>
          <w:szCs w:val="18"/>
        </w:rPr>
        <w:t>XXIV.</w:t>
      </w:r>
    </w:p>
  </w:footnote>
  <w:footnote w:id="7">
    <w:p w14:paraId="4929B1D1" w14:textId="77777777" w:rsidR="00DE74E3" w:rsidRPr="00980994" w:rsidRDefault="00DE74E3" w:rsidP="005C0894">
      <w:pPr>
        <w:pStyle w:val="FootnoteText"/>
        <w:rPr>
          <w:rFonts w:ascii="Times New Roman" w:hAnsi="Times New Roman" w:cs="Times New Roman"/>
          <w:sz w:val="18"/>
          <w:szCs w:val="18"/>
        </w:rPr>
      </w:pPr>
      <w:r w:rsidRPr="00645BE6">
        <w:rPr>
          <w:rStyle w:val="FootnoteReference"/>
          <w:rFonts w:ascii="Times New Roman" w:hAnsi="Times New Roman" w:cs="Times New Roman"/>
          <w:sz w:val="18"/>
          <w:szCs w:val="18"/>
          <w:vertAlign w:val="superscript"/>
        </w:rPr>
        <w:footnoteRef/>
      </w:r>
      <w:r w:rsidRPr="00980994">
        <w:rPr>
          <w:rFonts w:ascii="Times New Roman" w:hAnsi="Times New Roman" w:cs="Times New Roman"/>
          <w:sz w:val="18"/>
          <w:szCs w:val="18"/>
        </w:rPr>
        <w:t xml:space="preserve"> The Case of the Saramaka People v. Suriname, </w:t>
      </w:r>
      <w:r w:rsidRPr="00980994">
        <w:rPr>
          <w:rFonts w:ascii="Times New Roman" w:hAnsi="Times New Roman" w:cs="Times New Roman"/>
          <w:i/>
          <w:iCs/>
          <w:sz w:val="18"/>
          <w:szCs w:val="18"/>
        </w:rPr>
        <w:t xml:space="preserve">supra </w:t>
      </w:r>
      <w:r w:rsidRPr="00980994">
        <w:rPr>
          <w:rFonts w:ascii="Times New Roman" w:hAnsi="Times New Roman" w:cs="Times New Roman"/>
          <w:sz w:val="18"/>
          <w:szCs w:val="18"/>
        </w:rPr>
        <w:t xml:space="preserve">note </w:t>
      </w:r>
      <w:r>
        <w:rPr>
          <w:rFonts w:ascii="Times New Roman" w:hAnsi="Times New Roman" w:cs="Times New Roman"/>
          <w:sz w:val="18"/>
          <w:szCs w:val="18"/>
        </w:rPr>
        <w:t>5</w:t>
      </w:r>
      <w:r w:rsidRPr="00980994">
        <w:rPr>
          <w:rFonts w:ascii="Times New Roman" w:hAnsi="Times New Roman" w:cs="Times New Roman"/>
          <w:sz w:val="18"/>
          <w:szCs w:val="18"/>
        </w:rPr>
        <w:t>, at paras. 77-185.</w:t>
      </w:r>
    </w:p>
  </w:footnote>
  <w:footnote w:id="8">
    <w:p w14:paraId="5F977D42" w14:textId="77777777" w:rsidR="00DE74E3" w:rsidRPr="00431063" w:rsidRDefault="00DE74E3">
      <w:pPr>
        <w:pStyle w:val="FootnoteText"/>
        <w:rPr>
          <w:rFonts w:ascii="Times New Roman" w:hAnsi="Times New Roman" w:cs="Times New Roman"/>
          <w:sz w:val="18"/>
          <w:szCs w:val="18"/>
          <w:vertAlign w:val="superscript"/>
        </w:rPr>
      </w:pPr>
      <w:r w:rsidRPr="00431063">
        <w:rPr>
          <w:rStyle w:val="FootnoteReference"/>
          <w:rFonts w:ascii="Times New Roman" w:hAnsi="Times New Roman" w:cs="Times New Roman"/>
          <w:sz w:val="18"/>
          <w:szCs w:val="18"/>
          <w:vertAlign w:val="superscript"/>
        </w:rPr>
        <w:footnoteRef/>
      </w:r>
      <w:r w:rsidRPr="00431063">
        <w:rPr>
          <w:rFonts w:ascii="Times New Roman" w:hAnsi="Times New Roman" w:cs="Times New Roman"/>
          <w:sz w:val="18"/>
          <w:szCs w:val="18"/>
          <w:vertAlign w:val="superscript"/>
        </w:rPr>
        <w:t xml:space="preserve"> </w:t>
      </w:r>
      <w:proofErr w:type="gramStart"/>
      <w:r w:rsidRPr="00431063">
        <w:rPr>
          <w:rStyle w:val="apple-style-span"/>
          <w:rFonts w:ascii="Times New Roman" w:hAnsi="Times New Roman" w:cs="Times New Roman"/>
          <w:bCs/>
          <w:sz w:val="18"/>
          <w:szCs w:val="18"/>
        </w:rPr>
        <w:t>Brazilian Development Bank’s By-laws, Brazil’s Executive Branch Decree 4418</w:t>
      </w:r>
      <w:r>
        <w:rPr>
          <w:rStyle w:val="apple-style-span"/>
          <w:rFonts w:ascii="Times New Roman" w:hAnsi="Times New Roman" w:cs="Times New Roman"/>
          <w:bCs/>
          <w:sz w:val="18"/>
          <w:szCs w:val="18"/>
        </w:rPr>
        <w:t>, Art.</w:t>
      </w:r>
      <w:proofErr w:type="gramEnd"/>
      <w:r>
        <w:rPr>
          <w:rStyle w:val="apple-style-span"/>
          <w:rFonts w:ascii="Times New Roman" w:hAnsi="Times New Roman" w:cs="Times New Roman"/>
          <w:bCs/>
          <w:sz w:val="18"/>
          <w:szCs w:val="18"/>
        </w:rPr>
        <w:t xml:space="preserve"> 1,</w:t>
      </w:r>
      <w:r w:rsidRPr="00431063">
        <w:rPr>
          <w:rStyle w:val="apple-style-span"/>
          <w:rFonts w:ascii="Times New Roman" w:hAnsi="Times New Roman" w:cs="Times New Roman"/>
          <w:bCs/>
          <w:sz w:val="18"/>
          <w:szCs w:val="18"/>
        </w:rPr>
        <w:t xml:space="preserve"> Oct. 11, 2002</w:t>
      </w:r>
      <w:r>
        <w:rPr>
          <w:rStyle w:val="apple-style-span"/>
          <w:rFonts w:ascii="Times New Roman" w:hAnsi="Times New Roman" w:cs="Times New Roman"/>
          <w:bCs/>
          <w:sz w:val="18"/>
          <w:szCs w:val="18"/>
        </w:rPr>
        <w:t xml:space="preserve"> </w:t>
      </w:r>
      <w:r w:rsidRPr="00431063">
        <w:rPr>
          <w:rStyle w:val="apple-style-span"/>
          <w:rFonts w:ascii="Times New Roman" w:hAnsi="Times New Roman" w:cs="Times New Roman"/>
          <w:bCs/>
          <w:sz w:val="18"/>
          <w:szCs w:val="18"/>
        </w:rPr>
        <w:t>(“</w:t>
      </w:r>
      <w:r w:rsidRPr="00431063">
        <w:rPr>
          <w:rStyle w:val="apple-style-span"/>
          <w:rFonts w:ascii="Times New Roman" w:hAnsi="Times New Roman" w:cs="Times New Roman"/>
          <w:sz w:val="18"/>
          <w:szCs w:val="18"/>
        </w:rPr>
        <w:t>The Brazilian Development Bank… a wholly-owned, federal government company governed by private law, owner of its assets, shall be governed by these By-laws and by the legal provisions applicable hereto”).</w:t>
      </w:r>
    </w:p>
  </w:footnote>
  <w:footnote w:id="9">
    <w:p w14:paraId="51AD411D" w14:textId="77777777" w:rsidR="00DE74E3" w:rsidRPr="00C8773A" w:rsidRDefault="00DE74E3">
      <w:pPr>
        <w:pStyle w:val="FootnoteText"/>
        <w:rPr>
          <w:rFonts w:ascii="Times New Roman" w:hAnsi="Times New Roman" w:cs="Times New Roman"/>
          <w:i/>
          <w:sz w:val="18"/>
          <w:szCs w:val="18"/>
          <w:vertAlign w:val="superscript"/>
        </w:rPr>
      </w:pPr>
      <w:r w:rsidRPr="00645BE6">
        <w:rPr>
          <w:rStyle w:val="FootnoteReference"/>
          <w:rFonts w:ascii="Times New Roman" w:hAnsi="Times New Roman" w:cs="Times New Roman"/>
          <w:sz w:val="18"/>
          <w:szCs w:val="18"/>
          <w:vertAlign w:val="superscript"/>
        </w:rPr>
        <w:footnoteRef/>
      </w:r>
      <w:r w:rsidRPr="00645BE6">
        <w:rPr>
          <w:rFonts w:ascii="Times New Roman" w:hAnsi="Times New Roman" w:cs="Times New Roman"/>
          <w:sz w:val="18"/>
          <w:szCs w:val="18"/>
          <w:vertAlign w:val="superscript"/>
        </w:rPr>
        <w:t xml:space="preserve"> </w:t>
      </w:r>
      <w:r w:rsidRPr="00C8773A">
        <w:rPr>
          <w:rFonts w:ascii="Times New Roman" w:hAnsi="Times New Roman" w:cs="Times New Roman"/>
          <w:i/>
          <w:sz w:val="18"/>
          <w:szCs w:val="18"/>
        </w:rPr>
        <w:t>See</w:t>
      </w:r>
      <w:r>
        <w:rPr>
          <w:rFonts w:ascii="Times New Roman" w:hAnsi="Times New Roman" w:cs="Times New Roman"/>
          <w:i/>
          <w:sz w:val="18"/>
          <w:szCs w:val="18"/>
        </w:rPr>
        <w:t xml:space="preserve"> </w:t>
      </w:r>
      <w:r w:rsidRPr="00C8773A">
        <w:rPr>
          <w:rFonts w:ascii="Times New Roman" w:hAnsi="Times New Roman" w:cs="Times New Roman"/>
          <w:sz w:val="18"/>
          <w:szCs w:val="18"/>
        </w:rPr>
        <w:t>2014 Changes in Share Capital and Shareholders</w:t>
      </w:r>
      <w:r>
        <w:rPr>
          <w:rFonts w:ascii="Times New Roman" w:hAnsi="Times New Roman" w:cs="Times New Roman"/>
          <w:sz w:val="18"/>
          <w:szCs w:val="18"/>
        </w:rPr>
        <w:t xml:space="preserve"> (“CDB’s shareholders are the Ministry of Finance (</w:t>
      </w:r>
      <w:proofErr w:type="spellStart"/>
      <w:r>
        <w:rPr>
          <w:rFonts w:ascii="Times New Roman" w:hAnsi="Times New Roman" w:cs="Times New Roman"/>
          <w:sz w:val="18"/>
          <w:szCs w:val="18"/>
        </w:rPr>
        <w:t>MoF</w:t>
      </w:r>
      <w:proofErr w:type="spellEnd"/>
      <w:r>
        <w:rPr>
          <w:rFonts w:ascii="Times New Roman" w:hAnsi="Times New Roman" w:cs="Times New Roman"/>
          <w:sz w:val="18"/>
          <w:szCs w:val="18"/>
        </w:rPr>
        <w:t xml:space="preserve">), Central </w:t>
      </w:r>
      <w:proofErr w:type="spellStart"/>
      <w:r>
        <w:rPr>
          <w:rFonts w:ascii="Times New Roman" w:hAnsi="Times New Roman" w:cs="Times New Roman"/>
          <w:sz w:val="18"/>
          <w:szCs w:val="18"/>
        </w:rPr>
        <w:t>Huijin</w:t>
      </w:r>
      <w:proofErr w:type="spellEnd"/>
      <w:r>
        <w:rPr>
          <w:rFonts w:ascii="Times New Roman" w:hAnsi="Times New Roman" w:cs="Times New Roman"/>
          <w:sz w:val="18"/>
          <w:szCs w:val="18"/>
        </w:rPr>
        <w:t xml:space="preserve"> Investment Ltd. (</w:t>
      </w:r>
      <w:proofErr w:type="spellStart"/>
      <w:r>
        <w:rPr>
          <w:rFonts w:ascii="Times New Roman" w:hAnsi="Times New Roman" w:cs="Times New Roman"/>
          <w:sz w:val="18"/>
          <w:szCs w:val="18"/>
        </w:rPr>
        <w:t>Juijin</w:t>
      </w:r>
      <w:proofErr w:type="spellEnd"/>
      <w:r>
        <w:rPr>
          <w:rFonts w:ascii="Times New Roman" w:hAnsi="Times New Roman" w:cs="Times New Roman"/>
          <w:sz w:val="18"/>
          <w:szCs w:val="18"/>
        </w:rPr>
        <w:t xml:space="preserve">) and the National Council for Social Security Fund (NCSSF) … The </w:t>
      </w:r>
      <w:proofErr w:type="spellStart"/>
      <w:r>
        <w:rPr>
          <w:rFonts w:ascii="Times New Roman" w:hAnsi="Times New Roman" w:cs="Times New Roman"/>
          <w:sz w:val="18"/>
          <w:szCs w:val="18"/>
        </w:rPr>
        <w:t>MoF</w:t>
      </w:r>
      <w:proofErr w:type="spellEnd"/>
      <w:r>
        <w:rPr>
          <w:rFonts w:ascii="Times New Roman" w:hAnsi="Times New Roman" w:cs="Times New Roman"/>
          <w:sz w:val="18"/>
          <w:szCs w:val="18"/>
        </w:rPr>
        <w:t xml:space="preserve"> is a unit of the State Council… </w:t>
      </w:r>
      <w:proofErr w:type="spellStart"/>
      <w:r>
        <w:rPr>
          <w:rFonts w:ascii="Times New Roman" w:hAnsi="Times New Roman" w:cs="Times New Roman"/>
          <w:sz w:val="18"/>
          <w:szCs w:val="18"/>
        </w:rPr>
        <w:t>Huijin</w:t>
      </w:r>
      <w:proofErr w:type="spellEnd"/>
      <w:r>
        <w:rPr>
          <w:rFonts w:ascii="Times New Roman" w:hAnsi="Times New Roman" w:cs="Times New Roman"/>
          <w:sz w:val="18"/>
          <w:szCs w:val="18"/>
        </w:rPr>
        <w:t xml:space="preserve"> is a wholly state-owned limited liability company…NCSSF is a governmental agency….”). </w:t>
      </w:r>
      <w:r w:rsidRPr="00C8773A">
        <w:rPr>
          <w:rFonts w:ascii="Times New Roman" w:hAnsi="Times New Roman" w:cs="Times New Roman"/>
          <w:sz w:val="18"/>
          <w:szCs w:val="18"/>
        </w:rPr>
        <w:t xml:space="preserve"> </w:t>
      </w:r>
      <w:hyperlink r:id="rId1" w:history="1">
        <w:r w:rsidRPr="00C8773A">
          <w:rPr>
            <w:rStyle w:val="Hyperlink"/>
            <w:rFonts w:ascii="Times New Roman" w:hAnsi="Times New Roman" w:cs="Times New Roman"/>
            <w:sz w:val="18"/>
            <w:szCs w:val="18"/>
          </w:rPr>
          <w:t>http://www.cdb.com.cn/english/NewsInfo.asp?NewsId=5835</w:t>
        </w:r>
      </w:hyperlink>
      <w:r>
        <w:rPr>
          <w:rFonts w:ascii="Times New Roman" w:hAnsi="Times New Roman" w:cs="Times New Roman"/>
          <w:sz w:val="18"/>
          <w:szCs w:val="18"/>
        </w:rPr>
        <w:t>.</w:t>
      </w:r>
    </w:p>
  </w:footnote>
  <w:footnote w:id="10">
    <w:p w14:paraId="7EA7E433" w14:textId="77777777" w:rsidR="00DE74E3" w:rsidRPr="00697438" w:rsidRDefault="00DE74E3">
      <w:pPr>
        <w:pStyle w:val="FootnoteText"/>
        <w:rPr>
          <w:rFonts w:ascii="Times New Roman" w:hAnsi="Times New Roman" w:cs="Times New Roman"/>
          <w:sz w:val="18"/>
          <w:szCs w:val="18"/>
          <w:vertAlign w:val="superscript"/>
        </w:rPr>
      </w:pPr>
      <w:r w:rsidRPr="00697438">
        <w:rPr>
          <w:rStyle w:val="FootnoteReference"/>
          <w:rFonts w:ascii="Times New Roman" w:hAnsi="Times New Roman" w:cs="Times New Roman"/>
          <w:sz w:val="18"/>
          <w:szCs w:val="18"/>
          <w:vertAlign w:val="superscript"/>
        </w:rPr>
        <w:footnoteRef/>
      </w:r>
      <w:r w:rsidRPr="00697438">
        <w:rPr>
          <w:rFonts w:ascii="Times New Roman" w:hAnsi="Times New Roman" w:cs="Times New Roman"/>
          <w:sz w:val="18"/>
          <w:szCs w:val="18"/>
          <w:vertAlign w:val="superscript"/>
        </w:rPr>
        <w:t xml:space="preserve"> </w:t>
      </w:r>
      <w:r w:rsidRPr="00697438">
        <w:rPr>
          <w:rStyle w:val="apple-style-span"/>
          <w:rFonts w:ascii="Times New Roman" w:hAnsi="Times New Roman" w:cs="Times New Roman"/>
          <w:i/>
          <w:color w:val="000000"/>
          <w:sz w:val="18"/>
          <w:szCs w:val="18"/>
        </w:rPr>
        <w:t>See</w:t>
      </w:r>
      <w:r w:rsidRPr="00697438">
        <w:rPr>
          <w:rStyle w:val="apple-style-span"/>
          <w:rFonts w:ascii="Times New Roman" w:hAnsi="Times New Roman" w:cs="Times New Roman"/>
          <w:color w:val="000000"/>
          <w:sz w:val="18"/>
          <w:szCs w:val="18"/>
        </w:rPr>
        <w:t xml:space="preserve"> The New Development Bank BRICS art. 2, Agreement,</w:t>
      </w:r>
      <w:r w:rsidRPr="00697438">
        <w:rPr>
          <w:rStyle w:val="FootnoteReference"/>
          <w:rFonts w:ascii="Times New Roman" w:hAnsi="Times New Roman" w:cs="Times New Roman"/>
          <w:bCs/>
          <w:color w:val="000000"/>
          <w:sz w:val="18"/>
          <w:szCs w:val="18"/>
          <w:bdr w:val="none" w:sz="0" w:space="0" w:color="auto" w:frame="1"/>
        </w:rPr>
        <w:t xml:space="preserve"> </w:t>
      </w:r>
      <w:r w:rsidRPr="00697438">
        <w:rPr>
          <w:rStyle w:val="apple-style-span"/>
          <w:rFonts w:ascii="Times New Roman" w:hAnsi="Times New Roman" w:cs="Times New Roman"/>
          <w:bCs/>
          <w:color w:val="000000"/>
          <w:sz w:val="18"/>
          <w:szCs w:val="18"/>
          <w:bdr w:val="none" w:sz="0" w:space="0" w:color="auto" w:frame="1"/>
        </w:rPr>
        <w:t xml:space="preserve">July 15, 2014, </w:t>
      </w:r>
      <w:r w:rsidRPr="00697438">
        <w:rPr>
          <w:rStyle w:val="apple-style-span"/>
          <w:rFonts w:ascii="Times New Roman" w:hAnsi="Times New Roman" w:cs="Times New Roman"/>
          <w:bCs/>
          <w:i/>
          <w:color w:val="000000"/>
          <w:sz w:val="18"/>
          <w:szCs w:val="18"/>
          <w:bdr w:val="none" w:sz="0" w:space="0" w:color="auto" w:frame="1"/>
        </w:rPr>
        <w:t xml:space="preserve">available at </w:t>
      </w:r>
      <w:hyperlink r:id="rId2" w:history="1">
        <w:r w:rsidRPr="00881031">
          <w:rPr>
            <w:rStyle w:val="Hyperlink"/>
            <w:rFonts w:ascii="Times New Roman" w:hAnsi="Times New Roman" w:cs="Times New Roman"/>
            <w:bCs/>
            <w:sz w:val="18"/>
            <w:szCs w:val="18"/>
            <w:bdr w:val="none" w:sz="0" w:space="0" w:color="auto" w:frame="1"/>
          </w:rPr>
          <w:t>http://ndbbrics.org/agreement.html</w:t>
        </w:r>
      </w:hyperlink>
      <w:r>
        <w:rPr>
          <w:rStyle w:val="apple-style-span"/>
          <w:rFonts w:ascii="Times New Roman" w:hAnsi="Times New Roman" w:cs="Times New Roman"/>
          <w:bCs/>
          <w:color w:val="000000"/>
          <w:sz w:val="18"/>
          <w:szCs w:val="18"/>
          <w:bdr w:val="none" w:sz="0" w:space="0" w:color="auto" w:frame="1"/>
        </w:rPr>
        <w:t xml:space="preserve"> </w:t>
      </w:r>
      <w:r w:rsidRPr="00697438">
        <w:rPr>
          <w:rStyle w:val="apple-style-span"/>
          <w:rFonts w:ascii="Times New Roman" w:hAnsi="Times New Roman" w:cs="Times New Roman"/>
          <w:color w:val="000000"/>
          <w:sz w:val="18"/>
          <w:szCs w:val="18"/>
        </w:rPr>
        <w:t>(“The founding members of the Bank are the Federative Republic of Brazil, the Russian Federation, the Republic of India, the People’s Republic of China and the Republic of South Africa.  The membership shall be open to members of the United Nations, in accordance with the provisions of the Articles of Agreement of the New Development Bank. It shall be open to borrowing and non-borrowing members”).</w:t>
      </w:r>
    </w:p>
  </w:footnote>
  <w:footnote w:id="11">
    <w:p w14:paraId="09EA8399" w14:textId="77777777" w:rsidR="00DE74E3" w:rsidRPr="00697438" w:rsidRDefault="00DE74E3" w:rsidP="00697438">
      <w:pPr>
        <w:widowControl/>
        <w:rPr>
          <w:sz w:val="18"/>
          <w:szCs w:val="18"/>
          <w:vertAlign w:val="superscript"/>
        </w:rPr>
      </w:pPr>
      <w:r w:rsidRPr="00697438">
        <w:rPr>
          <w:rStyle w:val="FootnoteReference"/>
          <w:sz w:val="18"/>
          <w:szCs w:val="18"/>
          <w:vertAlign w:val="superscript"/>
        </w:rPr>
        <w:footnoteRef/>
      </w:r>
      <w:r w:rsidRPr="00697438">
        <w:rPr>
          <w:sz w:val="18"/>
          <w:szCs w:val="18"/>
          <w:vertAlign w:val="superscript"/>
        </w:rPr>
        <w:t xml:space="preserve">   </w:t>
      </w:r>
      <w:r w:rsidRPr="00697438">
        <w:rPr>
          <w:bCs/>
          <w:i/>
          <w:sz w:val="18"/>
          <w:szCs w:val="18"/>
        </w:rPr>
        <w:t>See</w:t>
      </w:r>
      <w:r w:rsidRPr="00697438">
        <w:rPr>
          <w:bCs/>
          <w:sz w:val="18"/>
          <w:szCs w:val="18"/>
        </w:rPr>
        <w:t xml:space="preserve"> </w:t>
      </w:r>
      <w:r w:rsidRPr="00697438">
        <w:rPr>
          <w:sz w:val="18"/>
          <w:szCs w:val="18"/>
        </w:rPr>
        <w:t xml:space="preserve">International Bank for Reconstruction and Development, Articles </w:t>
      </w:r>
      <w:r>
        <w:rPr>
          <w:sz w:val="18"/>
          <w:szCs w:val="18"/>
        </w:rPr>
        <w:t>of Agreement art. 2</w:t>
      </w:r>
      <w:r w:rsidRPr="00697438">
        <w:rPr>
          <w:sz w:val="18"/>
          <w:szCs w:val="18"/>
        </w:rPr>
        <w:t xml:space="preserve">, Feb. 16, 1989, </w:t>
      </w:r>
      <w:r w:rsidRPr="00697438">
        <w:rPr>
          <w:i/>
          <w:iCs/>
          <w:sz w:val="18"/>
          <w:szCs w:val="18"/>
        </w:rPr>
        <w:t xml:space="preserve">available at </w:t>
      </w:r>
      <w:hyperlink r:id="rId3" w:history="1">
        <w:r w:rsidRPr="00697438">
          <w:rPr>
            <w:rStyle w:val="Hyperlink"/>
            <w:sz w:val="18"/>
            <w:szCs w:val="18"/>
          </w:rPr>
          <w:t>http://siteresources.worldbank.org/EXTABOUTUS/Resources/ibrd-articlesofagreement.pdf</w:t>
        </w:r>
      </w:hyperlink>
      <w:r w:rsidRPr="00697438">
        <w:rPr>
          <w:sz w:val="18"/>
          <w:szCs w:val="18"/>
        </w:rPr>
        <w:t xml:space="preserve"> </w:t>
      </w:r>
      <w:r w:rsidRPr="00697438">
        <w:rPr>
          <w:bCs/>
          <w:sz w:val="18"/>
          <w:szCs w:val="18"/>
        </w:rPr>
        <w:t xml:space="preserve">(“Section 1. Membership </w:t>
      </w:r>
      <w:r w:rsidRPr="00697438">
        <w:rPr>
          <w:sz w:val="18"/>
          <w:szCs w:val="18"/>
        </w:rPr>
        <w:t>(a) The original members of the Bank shall be those members of the International Monetary Fund which accept membership in the Bank before the date specified in Article XI, Section 2 (e).  (b) Membership shall be open to other members of the Fund, at such times and in accordance with such terms as may be prescribed by the Bank”).</w:t>
      </w:r>
    </w:p>
  </w:footnote>
  <w:footnote w:id="12">
    <w:p w14:paraId="04C73CDB" w14:textId="77777777" w:rsidR="00DE74E3" w:rsidRPr="00573FC9" w:rsidRDefault="00DE74E3" w:rsidP="00573FC9">
      <w:pPr>
        <w:pStyle w:val="NormalWeb"/>
        <w:spacing w:before="0" w:beforeAutospacing="0" w:after="0" w:afterAutospacing="0"/>
        <w:rPr>
          <w:sz w:val="18"/>
          <w:szCs w:val="18"/>
        </w:rPr>
      </w:pPr>
      <w:r w:rsidRPr="00573FC9">
        <w:rPr>
          <w:rStyle w:val="FootnoteReference"/>
          <w:sz w:val="18"/>
          <w:szCs w:val="18"/>
          <w:vertAlign w:val="superscript"/>
        </w:rPr>
        <w:footnoteRef/>
      </w:r>
      <w:r w:rsidRPr="00573FC9">
        <w:rPr>
          <w:sz w:val="18"/>
          <w:szCs w:val="18"/>
          <w:vertAlign w:val="superscript"/>
        </w:rPr>
        <w:t xml:space="preserve">  </w:t>
      </w:r>
      <w:r w:rsidRPr="00573FC9">
        <w:rPr>
          <w:i/>
          <w:iCs/>
          <w:sz w:val="18"/>
          <w:szCs w:val="18"/>
        </w:rPr>
        <w:t xml:space="preserve">See </w:t>
      </w:r>
      <w:r w:rsidRPr="00573FC9">
        <w:rPr>
          <w:sz w:val="18"/>
          <w:szCs w:val="18"/>
        </w:rPr>
        <w:t xml:space="preserve">Articles of Agreement of the International Finance Corporation art. 2, May 25, 1955, 7 U.S.T. 2197, 264 U.N.T.S. 117 </w:t>
      </w:r>
      <w:r w:rsidRPr="00573FC9">
        <w:rPr>
          <w:sz w:val="18"/>
          <w:szCs w:val="18"/>
          <w:vertAlign w:val="superscript"/>
        </w:rPr>
        <w:t>(“</w:t>
      </w:r>
      <w:r w:rsidRPr="00573FC9">
        <w:rPr>
          <w:rStyle w:val="Strong"/>
          <w:b w:val="0"/>
          <w:sz w:val="18"/>
          <w:szCs w:val="18"/>
        </w:rPr>
        <w:t xml:space="preserve">Section 1. </w:t>
      </w:r>
      <w:r w:rsidRPr="00573FC9">
        <w:rPr>
          <w:rStyle w:val="Strong"/>
          <w:b w:val="0"/>
          <w:iCs/>
          <w:sz w:val="18"/>
          <w:szCs w:val="18"/>
        </w:rPr>
        <w:t>Membership</w:t>
      </w:r>
      <w:r w:rsidRPr="00573FC9">
        <w:rPr>
          <w:rStyle w:val="Strong"/>
          <w:iCs/>
          <w:sz w:val="18"/>
          <w:szCs w:val="18"/>
        </w:rPr>
        <w:t xml:space="preserve"> </w:t>
      </w:r>
      <w:r w:rsidRPr="00573FC9">
        <w:rPr>
          <w:sz w:val="18"/>
          <w:szCs w:val="18"/>
        </w:rPr>
        <w:t>(a) The original members of the Corporation shall be those members of the Bank listed in Schedule A hereto which shall, on or before the date specified in Article IX, Section 2 (c), accept membership in the Corporation. (b) Membership shall be open to other members of the Bank at such times and in accordance with such terms as may b</w:t>
      </w:r>
      <w:r>
        <w:rPr>
          <w:sz w:val="18"/>
          <w:szCs w:val="18"/>
        </w:rPr>
        <w:t>e prescribed by the Corporation”</w:t>
      </w:r>
      <w:r w:rsidRPr="00573FC9">
        <w:rPr>
          <w:sz w:val="18"/>
          <w:szCs w:val="18"/>
        </w:rPr>
        <w:t>).</w:t>
      </w:r>
    </w:p>
  </w:footnote>
  <w:footnote w:id="13">
    <w:p w14:paraId="6A7660D8" w14:textId="77777777" w:rsidR="00DE74E3" w:rsidRPr="00953951" w:rsidRDefault="00DE74E3" w:rsidP="00953951">
      <w:pPr>
        <w:pStyle w:val="Clause"/>
        <w:rPr>
          <w:rFonts w:ascii="Times New Roman" w:hAnsi="Times New Roman"/>
          <w:sz w:val="18"/>
          <w:szCs w:val="18"/>
          <w:vertAlign w:val="superscript"/>
        </w:rPr>
      </w:pPr>
      <w:r w:rsidRPr="00953951">
        <w:rPr>
          <w:rStyle w:val="FootnoteReference"/>
          <w:rFonts w:ascii="Times New Roman" w:hAnsi="Times New Roman"/>
          <w:sz w:val="18"/>
          <w:szCs w:val="18"/>
          <w:vertAlign w:val="superscript"/>
        </w:rPr>
        <w:footnoteRef/>
      </w:r>
      <w:r w:rsidRPr="00953951">
        <w:rPr>
          <w:rFonts w:ascii="Times New Roman" w:hAnsi="Times New Roman"/>
          <w:sz w:val="18"/>
          <w:szCs w:val="18"/>
          <w:vertAlign w:val="superscript"/>
        </w:rPr>
        <w:t xml:space="preserve"> </w:t>
      </w:r>
      <w:r>
        <w:rPr>
          <w:rFonts w:ascii="Times New Roman" w:hAnsi="Times New Roman"/>
          <w:sz w:val="18"/>
          <w:szCs w:val="18"/>
        </w:rPr>
        <w:t xml:space="preserve">Inter-Am. Dev. Bank, </w:t>
      </w:r>
      <w:r w:rsidRPr="00953951">
        <w:rPr>
          <w:rFonts w:ascii="Times New Roman" w:hAnsi="Times New Roman"/>
          <w:sz w:val="18"/>
          <w:szCs w:val="18"/>
        </w:rPr>
        <w:t>Agreement Establishing the Inter-American Development Bank art. II, § 1, Apr. 8, 1959, 10 U.S.T. 3029, 389 U.N.T.S. 69 (“</w:t>
      </w:r>
      <w:r w:rsidRPr="00953951">
        <w:rPr>
          <w:rFonts w:ascii="Times New Roman" w:hAnsi="Times New Roman"/>
          <w:color w:val="000000"/>
          <w:sz w:val="18"/>
          <w:szCs w:val="18"/>
        </w:rPr>
        <w:t>(a) The original members of the Bank shall be those members of the Organization of American States which, by the date specified in Article XV, Section 1(a), shall accept membership in the Bank. (b) Membership shall be open to other members of the Organization of American States and to Canada, Bahamas and Guyana, at such times and in accordance with such terms as the Bank may determine…”).</w:t>
      </w:r>
    </w:p>
  </w:footnote>
  <w:footnote w:id="14">
    <w:p w14:paraId="5A6E1CA7" w14:textId="77777777" w:rsidR="00DE74E3" w:rsidRPr="00645BE6" w:rsidRDefault="00DE74E3" w:rsidP="0037785E">
      <w:pPr>
        <w:pStyle w:val="FootnoteText"/>
        <w:rPr>
          <w:rFonts w:ascii="Times New Roman" w:hAnsi="Times New Roman" w:cs="Times New Roman"/>
          <w:sz w:val="18"/>
          <w:szCs w:val="18"/>
          <w:vertAlign w:val="superscript"/>
        </w:rPr>
      </w:pPr>
      <w:r w:rsidRPr="00645BE6">
        <w:rPr>
          <w:rStyle w:val="FootnoteReference"/>
          <w:rFonts w:ascii="Times New Roman" w:hAnsi="Times New Roman" w:cs="Times New Roman"/>
          <w:sz w:val="18"/>
          <w:szCs w:val="18"/>
          <w:vertAlign w:val="superscript"/>
        </w:rPr>
        <w:footnoteRef/>
      </w:r>
      <w:r w:rsidRPr="00645BE6">
        <w:rPr>
          <w:rFonts w:ascii="Times New Roman" w:hAnsi="Times New Roman" w:cs="Times New Roman"/>
          <w:sz w:val="18"/>
          <w:szCs w:val="18"/>
          <w:vertAlign w:val="superscript"/>
        </w:rPr>
        <w:t xml:space="preserve"> </w:t>
      </w:r>
      <w:r w:rsidRPr="00773233">
        <w:rPr>
          <w:rFonts w:ascii="Times New Roman" w:hAnsi="Times New Roman" w:cs="Times New Roman"/>
          <w:i/>
          <w:sz w:val="18"/>
          <w:szCs w:val="18"/>
        </w:rPr>
        <w:t xml:space="preserve">See </w:t>
      </w:r>
      <w:r w:rsidRPr="00773233">
        <w:rPr>
          <w:rFonts w:ascii="Times New Roman" w:hAnsi="Times New Roman" w:cs="Times New Roman"/>
          <w:sz w:val="18"/>
          <w:szCs w:val="18"/>
        </w:rPr>
        <w:t>Inter-Am</w:t>
      </w:r>
      <w:r>
        <w:rPr>
          <w:rFonts w:ascii="Times New Roman" w:hAnsi="Times New Roman" w:cs="Times New Roman"/>
          <w:sz w:val="18"/>
          <w:szCs w:val="18"/>
        </w:rPr>
        <w:t>.</w:t>
      </w:r>
      <w:r w:rsidRPr="00773233">
        <w:rPr>
          <w:rFonts w:ascii="Times New Roman" w:hAnsi="Times New Roman" w:cs="Times New Roman"/>
          <w:sz w:val="18"/>
          <w:szCs w:val="18"/>
        </w:rPr>
        <w:t xml:space="preserve"> Dev</w:t>
      </w:r>
      <w:r>
        <w:rPr>
          <w:rFonts w:ascii="Times New Roman" w:hAnsi="Times New Roman" w:cs="Times New Roman"/>
          <w:sz w:val="18"/>
          <w:szCs w:val="18"/>
        </w:rPr>
        <w:t>.</w:t>
      </w:r>
      <w:r w:rsidRPr="00773233">
        <w:rPr>
          <w:rFonts w:ascii="Times New Roman" w:hAnsi="Times New Roman" w:cs="Times New Roman"/>
          <w:sz w:val="18"/>
          <w:szCs w:val="18"/>
        </w:rPr>
        <w:t xml:space="preserve"> Bank, </w:t>
      </w:r>
      <w:r w:rsidRPr="00773233">
        <w:rPr>
          <w:rFonts w:ascii="Times New Roman" w:hAnsi="Times New Roman" w:cs="Times New Roman"/>
          <w:i/>
          <w:sz w:val="18"/>
          <w:szCs w:val="18"/>
        </w:rPr>
        <w:t xml:space="preserve">ME-L1107: </w:t>
      </w:r>
      <w:r w:rsidRPr="00773233">
        <w:rPr>
          <w:rFonts w:ascii="Times New Roman" w:hAnsi="Times New Roman" w:cs="Times New Roman"/>
          <w:i/>
          <w:sz w:val="18"/>
          <w:szCs w:val="18"/>
          <w:lang w:val="es-AR"/>
        </w:rPr>
        <w:t>Energía Eólica</w:t>
      </w:r>
      <w:r w:rsidRPr="00773233">
        <w:rPr>
          <w:rFonts w:ascii="Times New Roman" w:hAnsi="Times New Roman" w:cs="Times New Roman"/>
          <w:i/>
          <w:sz w:val="18"/>
          <w:szCs w:val="18"/>
        </w:rPr>
        <w:t xml:space="preserve"> del Sur (EES), </w:t>
      </w:r>
      <w:hyperlink r:id="rId4" w:history="1">
        <w:r w:rsidRPr="00773233">
          <w:rPr>
            <w:rStyle w:val="Hyperlink"/>
            <w:rFonts w:ascii="Times New Roman" w:hAnsi="Times New Roman" w:cs="Times New Roman"/>
            <w:sz w:val="18"/>
            <w:szCs w:val="18"/>
          </w:rPr>
          <w:t>http://www.iadb.org/es/proyectos/project-information-page,1303.html?id=ME-L1107</w:t>
        </w:r>
      </w:hyperlink>
    </w:p>
  </w:footnote>
  <w:footnote w:id="15">
    <w:p w14:paraId="4D4E18DF" w14:textId="77777777" w:rsidR="00DE74E3" w:rsidRPr="0041401E" w:rsidRDefault="00DE74E3">
      <w:pPr>
        <w:pStyle w:val="FootnoteText"/>
        <w:rPr>
          <w:rFonts w:ascii="Times New Roman" w:hAnsi="Times New Roman" w:cs="Times New Roman"/>
          <w:sz w:val="18"/>
          <w:szCs w:val="18"/>
          <w:vertAlign w:val="superscript"/>
        </w:rPr>
      </w:pPr>
      <w:r w:rsidRPr="0041401E">
        <w:rPr>
          <w:rStyle w:val="FootnoteReference"/>
          <w:rFonts w:ascii="Times New Roman" w:hAnsi="Times New Roman" w:cs="Times New Roman"/>
          <w:sz w:val="18"/>
          <w:szCs w:val="18"/>
          <w:vertAlign w:val="superscript"/>
        </w:rPr>
        <w:footnoteRef/>
      </w:r>
      <w:r w:rsidRPr="0041401E">
        <w:rPr>
          <w:rFonts w:ascii="Times New Roman" w:hAnsi="Times New Roman" w:cs="Times New Roman"/>
          <w:sz w:val="18"/>
          <w:szCs w:val="18"/>
          <w:vertAlign w:val="superscript"/>
        </w:rPr>
        <w:t xml:space="preserve"> </w:t>
      </w:r>
      <w:proofErr w:type="gramStart"/>
      <w:r w:rsidRPr="0041401E">
        <w:rPr>
          <w:rStyle w:val="apple-style-span"/>
          <w:rFonts w:ascii="Times New Roman" w:hAnsi="Times New Roman" w:cs="Times New Roman"/>
          <w:bCs/>
          <w:sz w:val="18"/>
          <w:szCs w:val="18"/>
        </w:rPr>
        <w:t>Brazilian Development Bank’s By-laws, Brazil’s Executive Branch Decree 4418, Art.</w:t>
      </w:r>
      <w:proofErr w:type="gramEnd"/>
      <w:r w:rsidRPr="0041401E">
        <w:rPr>
          <w:rStyle w:val="apple-style-span"/>
          <w:rFonts w:ascii="Times New Roman" w:hAnsi="Times New Roman" w:cs="Times New Roman"/>
          <w:bCs/>
          <w:sz w:val="18"/>
          <w:szCs w:val="18"/>
        </w:rPr>
        <w:t xml:space="preserve"> 9, supra note 8</w:t>
      </w:r>
      <w:r>
        <w:rPr>
          <w:rStyle w:val="apple-style-span"/>
          <w:rFonts w:ascii="Times New Roman" w:hAnsi="Times New Roman" w:cs="Times New Roman"/>
          <w:bCs/>
          <w:sz w:val="18"/>
          <w:szCs w:val="18"/>
        </w:rPr>
        <w:t xml:space="preserve"> (“</w:t>
      </w:r>
      <w:r w:rsidRPr="0041401E">
        <w:rPr>
          <w:rStyle w:val="apple-style-span"/>
          <w:rFonts w:ascii="Times New Roman" w:hAnsi="Times New Roman" w:cs="Times New Roman"/>
          <w:sz w:val="18"/>
          <w:szCs w:val="18"/>
        </w:rPr>
        <w:t xml:space="preserve">The BNDES may also: II. </w:t>
      </w:r>
      <w:proofErr w:type="gramStart"/>
      <w:r w:rsidRPr="0041401E">
        <w:rPr>
          <w:rStyle w:val="apple-style-span"/>
          <w:rFonts w:ascii="Times New Roman" w:hAnsi="Times New Roman" w:cs="Times New Roman"/>
          <w:sz w:val="18"/>
          <w:szCs w:val="18"/>
        </w:rPr>
        <w:t>finance</w:t>
      </w:r>
      <w:proofErr w:type="gramEnd"/>
      <w:r w:rsidRPr="0041401E">
        <w:rPr>
          <w:rStyle w:val="apple-style-span"/>
          <w:rFonts w:ascii="Times New Roman" w:hAnsi="Times New Roman" w:cs="Times New Roman"/>
          <w:sz w:val="18"/>
          <w:szCs w:val="18"/>
        </w:rPr>
        <w:t xml:space="preserve"> investments made abroad by national companies, provided that they contribute towards the economic and social development of the country…”).</w:t>
      </w:r>
    </w:p>
  </w:footnote>
  <w:footnote w:id="16">
    <w:p w14:paraId="481CF38F" w14:textId="77777777" w:rsidR="00DE74E3" w:rsidRPr="00DB4068" w:rsidRDefault="00DE74E3" w:rsidP="00DB4068">
      <w:pPr>
        <w:widowControl/>
        <w:rPr>
          <w:sz w:val="18"/>
          <w:szCs w:val="18"/>
        </w:rPr>
      </w:pPr>
      <w:r w:rsidRPr="00DB4068">
        <w:rPr>
          <w:rStyle w:val="FootnoteReference"/>
          <w:sz w:val="18"/>
          <w:szCs w:val="18"/>
          <w:vertAlign w:val="superscript"/>
        </w:rPr>
        <w:footnoteRef/>
      </w:r>
      <w:r w:rsidRPr="00DB4068">
        <w:rPr>
          <w:sz w:val="18"/>
          <w:szCs w:val="18"/>
        </w:rPr>
        <w:t xml:space="preserve"> </w:t>
      </w:r>
      <w:r w:rsidRPr="00DB4068">
        <w:rPr>
          <w:i/>
          <w:iCs/>
          <w:sz w:val="18"/>
          <w:szCs w:val="18"/>
        </w:rPr>
        <w:t xml:space="preserve">See </w:t>
      </w:r>
      <w:r w:rsidRPr="00DB4068">
        <w:rPr>
          <w:sz w:val="18"/>
          <w:szCs w:val="18"/>
        </w:rPr>
        <w:t xml:space="preserve">Articles of Agreement of the International Finance Corporation art. 1, </w:t>
      </w:r>
      <w:r>
        <w:rPr>
          <w:i/>
          <w:sz w:val="18"/>
          <w:szCs w:val="18"/>
        </w:rPr>
        <w:t xml:space="preserve">supra </w:t>
      </w:r>
      <w:r>
        <w:rPr>
          <w:sz w:val="18"/>
          <w:szCs w:val="18"/>
        </w:rPr>
        <w:t>note 12</w:t>
      </w:r>
      <w:r w:rsidRPr="00DB4068">
        <w:rPr>
          <w:sz w:val="18"/>
          <w:szCs w:val="18"/>
        </w:rPr>
        <w:t xml:space="preserve"> (“The purpose of the Corporation is to further economic development by encouraging the growth of productive private enterprises in member countries, particularly in the less developed areas…”).</w:t>
      </w:r>
    </w:p>
  </w:footnote>
  <w:footnote w:id="17">
    <w:p w14:paraId="19B898E8" w14:textId="77777777" w:rsidR="00DE74E3" w:rsidRPr="0041401E" w:rsidRDefault="00DE74E3">
      <w:pPr>
        <w:pStyle w:val="FootnoteText"/>
        <w:rPr>
          <w:rFonts w:ascii="Times New Roman" w:hAnsi="Times New Roman" w:cs="Times New Roman"/>
          <w:sz w:val="18"/>
          <w:szCs w:val="18"/>
        </w:rPr>
      </w:pPr>
      <w:r w:rsidRPr="00390C65">
        <w:rPr>
          <w:rStyle w:val="FootnoteReference"/>
          <w:rFonts w:ascii="Times New Roman" w:hAnsi="Times New Roman" w:cs="Times New Roman"/>
          <w:sz w:val="18"/>
          <w:szCs w:val="18"/>
          <w:vertAlign w:val="superscript"/>
        </w:rPr>
        <w:footnoteRef/>
      </w:r>
      <w:r w:rsidRPr="0041401E">
        <w:rPr>
          <w:rFonts w:ascii="Times New Roman" w:hAnsi="Times New Roman" w:cs="Times New Roman"/>
          <w:sz w:val="18"/>
          <w:szCs w:val="18"/>
        </w:rPr>
        <w:t xml:space="preserve"> Inter-Am. Dev. Bank, Agreement Establishing the Inter-American Development Bank art. I sec. 2, </w:t>
      </w:r>
      <w:r w:rsidRPr="0041401E">
        <w:rPr>
          <w:rFonts w:ascii="Times New Roman" w:hAnsi="Times New Roman" w:cs="Times New Roman"/>
          <w:i/>
          <w:sz w:val="18"/>
          <w:szCs w:val="18"/>
        </w:rPr>
        <w:t>supra</w:t>
      </w:r>
      <w:r w:rsidRPr="0041401E">
        <w:rPr>
          <w:rFonts w:ascii="Times New Roman" w:hAnsi="Times New Roman" w:cs="Times New Roman"/>
          <w:sz w:val="18"/>
          <w:szCs w:val="18"/>
        </w:rPr>
        <w:t xml:space="preserve"> note 13 (“</w:t>
      </w:r>
      <w:r w:rsidRPr="0041401E">
        <w:rPr>
          <w:rFonts w:ascii="Times New Roman" w:hAnsi="Times New Roman" w:cs="Times New Roman"/>
          <w:color w:val="000000"/>
          <w:sz w:val="18"/>
          <w:szCs w:val="18"/>
        </w:rPr>
        <w:t>(iii) to encourage private investment in projects, enterprises, and activities contributing to economic development and to supplement private investment when private capital is not available on reasonable terms and conditions…”).</w:t>
      </w:r>
    </w:p>
  </w:footnote>
  <w:footnote w:id="18">
    <w:p w14:paraId="59CEBB98" w14:textId="77777777" w:rsidR="00DE74E3" w:rsidRPr="00980994" w:rsidRDefault="00DE74E3" w:rsidP="001521BE">
      <w:pPr>
        <w:pStyle w:val="FootnoteText"/>
        <w:rPr>
          <w:rFonts w:ascii="Times New Roman" w:hAnsi="Times New Roman" w:cs="Times New Roman"/>
          <w:sz w:val="18"/>
          <w:szCs w:val="18"/>
        </w:rPr>
      </w:pPr>
      <w:r w:rsidRPr="00645BE6">
        <w:rPr>
          <w:rStyle w:val="FootnoteReference"/>
          <w:rFonts w:ascii="Times New Roman" w:hAnsi="Times New Roman" w:cs="Times New Roman"/>
          <w:sz w:val="18"/>
          <w:szCs w:val="18"/>
          <w:vertAlign w:val="superscript"/>
        </w:rPr>
        <w:footnoteRef/>
      </w:r>
      <w:r w:rsidRPr="00645BE6">
        <w:rPr>
          <w:rFonts w:ascii="Times New Roman" w:hAnsi="Times New Roman" w:cs="Times New Roman"/>
          <w:sz w:val="18"/>
          <w:szCs w:val="18"/>
          <w:vertAlign w:val="superscript"/>
        </w:rPr>
        <w:t xml:space="preserve"> </w:t>
      </w:r>
      <w:r w:rsidRPr="00980994">
        <w:rPr>
          <w:rFonts w:ascii="Times New Roman" w:hAnsi="Times New Roman" w:cs="Times New Roman"/>
          <w:smallCaps/>
          <w:sz w:val="18"/>
          <w:szCs w:val="18"/>
        </w:rPr>
        <w:t>Guiding Principles on Business and Human Rights</w:t>
      </w:r>
      <w:r w:rsidRPr="00980994">
        <w:rPr>
          <w:rFonts w:ascii="Times New Roman" w:hAnsi="Times New Roman" w:cs="Times New Roman"/>
          <w:sz w:val="18"/>
          <w:szCs w:val="18"/>
        </w:rPr>
        <w:t xml:space="preserve">, </w:t>
      </w:r>
      <w:r w:rsidRPr="00980994">
        <w:rPr>
          <w:rFonts w:ascii="Times New Roman" w:hAnsi="Times New Roman" w:cs="Times New Roman"/>
          <w:i/>
          <w:sz w:val="18"/>
          <w:szCs w:val="18"/>
        </w:rPr>
        <w:t xml:space="preserve">supra </w:t>
      </w:r>
      <w:r w:rsidRPr="00980994">
        <w:rPr>
          <w:rFonts w:ascii="Times New Roman" w:hAnsi="Times New Roman" w:cs="Times New Roman"/>
          <w:sz w:val="18"/>
          <w:szCs w:val="18"/>
        </w:rPr>
        <w:t xml:space="preserve">note </w:t>
      </w:r>
      <w:r>
        <w:rPr>
          <w:rFonts w:ascii="Times New Roman" w:hAnsi="Times New Roman" w:cs="Times New Roman"/>
          <w:sz w:val="18"/>
          <w:szCs w:val="18"/>
        </w:rPr>
        <w:t>2</w:t>
      </w:r>
      <w:r w:rsidRPr="00980994">
        <w:rPr>
          <w:rFonts w:ascii="Times New Roman" w:hAnsi="Times New Roman" w:cs="Times New Roman"/>
          <w:sz w:val="18"/>
          <w:szCs w:val="18"/>
        </w:rPr>
        <w:t>, at 17.</w:t>
      </w:r>
    </w:p>
  </w:footnote>
  <w:footnote w:id="19">
    <w:p w14:paraId="6AFFA2B6" w14:textId="77777777" w:rsidR="00DE74E3" w:rsidRPr="00697438" w:rsidRDefault="00DE74E3" w:rsidP="00D50BBF">
      <w:pPr>
        <w:pStyle w:val="FootnoteText"/>
        <w:rPr>
          <w:rFonts w:ascii="Times New Roman" w:hAnsi="Times New Roman" w:cs="Times New Roman"/>
          <w:sz w:val="18"/>
          <w:szCs w:val="18"/>
        </w:rPr>
      </w:pPr>
      <w:r w:rsidRPr="00390C65">
        <w:rPr>
          <w:rStyle w:val="FootnoteReference"/>
          <w:rFonts w:ascii="Times New Roman" w:hAnsi="Times New Roman" w:cs="Times New Roman"/>
          <w:sz w:val="18"/>
          <w:szCs w:val="18"/>
          <w:vertAlign w:val="superscript"/>
        </w:rPr>
        <w:footnoteRef/>
      </w:r>
      <w:r w:rsidRPr="00697438">
        <w:rPr>
          <w:rFonts w:ascii="Times New Roman" w:hAnsi="Times New Roman" w:cs="Times New Roman"/>
          <w:sz w:val="18"/>
          <w:szCs w:val="18"/>
        </w:rPr>
        <w:t xml:space="preserve"> </w:t>
      </w:r>
      <w:r w:rsidRPr="00697438">
        <w:rPr>
          <w:rFonts w:ascii="Times New Roman" w:hAnsi="Times New Roman" w:cs="Times New Roman"/>
          <w:i/>
          <w:sz w:val="18"/>
          <w:szCs w:val="18"/>
        </w:rPr>
        <w:t>See</w:t>
      </w:r>
      <w:r w:rsidRPr="00697438">
        <w:rPr>
          <w:rFonts w:ascii="Times New Roman" w:hAnsi="Times New Roman" w:cs="Times New Roman"/>
          <w:sz w:val="18"/>
          <w:szCs w:val="18"/>
        </w:rPr>
        <w:t xml:space="preserve"> International Finance Corporation, Guide to Human Rights Impact Assessment and Management, </w:t>
      </w:r>
      <w:r w:rsidRPr="00697438">
        <w:rPr>
          <w:rFonts w:ascii="Times New Roman" w:hAnsi="Times New Roman" w:cs="Times New Roman"/>
          <w:i/>
          <w:sz w:val="18"/>
          <w:szCs w:val="18"/>
        </w:rPr>
        <w:t xml:space="preserve">available at </w:t>
      </w:r>
      <w:hyperlink r:id="rId5" w:history="1">
        <w:r w:rsidRPr="00881031">
          <w:rPr>
            <w:rStyle w:val="Hyperlink"/>
            <w:rFonts w:ascii="Times New Roman" w:hAnsi="Times New Roman" w:cs="Times New Roman"/>
            <w:sz w:val="18"/>
            <w:szCs w:val="18"/>
          </w:rPr>
          <w:t>http://www.ifc.org/wps/wcm/connect/Topics_Ext_Content/IFC_External_Corporate_Site/Guide+to+Human+Rights+Impact+Assessment+and+Management/</w:t>
        </w:r>
      </w:hyperlink>
      <w:r>
        <w:rPr>
          <w:rFonts w:ascii="Times New Roman" w:hAnsi="Times New Roman" w:cs="Times New Roman"/>
          <w:sz w:val="18"/>
          <w:szCs w:val="18"/>
        </w:rPr>
        <w:t xml:space="preserve"> </w:t>
      </w:r>
    </w:p>
  </w:footnote>
  <w:footnote w:id="20">
    <w:p w14:paraId="6C1220EB" w14:textId="77777777" w:rsidR="00DE74E3" w:rsidRPr="006548C1" w:rsidRDefault="00DE74E3" w:rsidP="006548C1">
      <w:pPr>
        <w:widowControl/>
        <w:rPr>
          <w:sz w:val="18"/>
          <w:szCs w:val="18"/>
        </w:rPr>
      </w:pPr>
      <w:r w:rsidRPr="006548C1">
        <w:rPr>
          <w:rStyle w:val="FootnoteReference"/>
          <w:sz w:val="18"/>
          <w:szCs w:val="18"/>
          <w:vertAlign w:val="superscript"/>
        </w:rPr>
        <w:footnoteRef/>
      </w:r>
      <w:r w:rsidRPr="006548C1">
        <w:rPr>
          <w:sz w:val="18"/>
          <w:szCs w:val="18"/>
        </w:rPr>
        <w:t xml:space="preserve"> Leonardo A. Crippa, ‘Multilateral Development Banks and Human Rights Responsibility’, 25 Am. U. Int’l. L. Rev. 567-576 (2010).</w:t>
      </w:r>
    </w:p>
  </w:footnote>
  <w:footnote w:id="21">
    <w:p w14:paraId="0E85BA81" w14:textId="77777777" w:rsidR="00DE74E3" w:rsidRPr="00980994" w:rsidRDefault="00DE74E3" w:rsidP="009B430F">
      <w:pPr>
        <w:rPr>
          <w:sz w:val="18"/>
          <w:szCs w:val="18"/>
        </w:rPr>
      </w:pPr>
      <w:r w:rsidRPr="00980994">
        <w:rPr>
          <w:rStyle w:val="FootnoteReference"/>
          <w:sz w:val="18"/>
          <w:szCs w:val="18"/>
          <w:vertAlign w:val="superscript"/>
        </w:rPr>
        <w:footnoteRef/>
      </w:r>
      <w:r w:rsidRPr="00980994">
        <w:rPr>
          <w:sz w:val="18"/>
          <w:szCs w:val="18"/>
        </w:rPr>
        <w:t xml:space="preserve"> “The ICIM process includes two phases:  a Consultation Phase that provides the opportunity to address requesters’ concerns applying consensual and flexible approaches and a Compliance Review Phase that enables requesters to ask for an investigation of a Bank-financed operation by a Panel of independent experts with the objective of establishing whether any Bank action or omission has resulted in non-compliance with a Relevant Operational Policy and direct, material adverse effects to the Requester.” </w:t>
      </w:r>
      <w:proofErr w:type="gramStart"/>
      <w:r w:rsidRPr="00980994">
        <w:rPr>
          <w:sz w:val="18"/>
          <w:szCs w:val="18"/>
        </w:rPr>
        <w:t xml:space="preserve">Inter-American Development Bank, </w:t>
      </w:r>
      <w:r w:rsidRPr="00980994">
        <w:rPr>
          <w:i/>
          <w:sz w:val="18"/>
          <w:szCs w:val="18"/>
        </w:rPr>
        <w:t>About Us: Evaluation and Monitoring,</w:t>
      </w:r>
      <w:r w:rsidRPr="00980994">
        <w:rPr>
          <w:sz w:val="18"/>
          <w:szCs w:val="18"/>
        </w:rPr>
        <w:t xml:space="preserve"> at </w:t>
      </w:r>
      <w:hyperlink r:id="rId6" w:history="1">
        <w:r w:rsidRPr="00980994">
          <w:rPr>
            <w:rStyle w:val="Hyperlink"/>
            <w:sz w:val="18"/>
            <w:szCs w:val="18"/>
          </w:rPr>
          <w:t>http://www.iadb.org/en/about-us/evaluation-and-auditing,6080.html</w:t>
        </w:r>
      </w:hyperlink>
      <w:r w:rsidRPr="00980994">
        <w:rPr>
          <w:sz w:val="18"/>
          <w:szCs w:val="18"/>
        </w:rPr>
        <w:t>.</w:t>
      </w:r>
      <w:proofErr w:type="gramEnd"/>
    </w:p>
  </w:footnote>
  <w:footnote w:id="22">
    <w:p w14:paraId="3B50A654" w14:textId="77777777" w:rsidR="00DE74E3" w:rsidRPr="00D962E2" w:rsidRDefault="00DE74E3">
      <w:pPr>
        <w:pStyle w:val="FootnoteText"/>
        <w:rPr>
          <w:rFonts w:ascii="Times New Roman" w:hAnsi="Times New Roman" w:cs="Times New Roman"/>
          <w:sz w:val="18"/>
          <w:szCs w:val="18"/>
        </w:rPr>
      </w:pPr>
      <w:r w:rsidRPr="00DE74E3">
        <w:rPr>
          <w:rStyle w:val="FootnoteReference"/>
          <w:rFonts w:ascii="Times New Roman" w:hAnsi="Times New Roman" w:cs="Times New Roman"/>
          <w:sz w:val="18"/>
          <w:szCs w:val="18"/>
          <w:vertAlign w:val="superscript"/>
        </w:rPr>
        <w:footnoteRef/>
      </w:r>
      <w:r w:rsidRPr="00DE74E3">
        <w:rPr>
          <w:rFonts w:ascii="Times New Roman" w:hAnsi="Times New Roman" w:cs="Times New Roman"/>
          <w:sz w:val="18"/>
          <w:szCs w:val="18"/>
          <w:vertAlign w:val="superscript"/>
        </w:rPr>
        <w:t xml:space="preserve"> </w:t>
      </w:r>
      <w:r w:rsidRPr="00D962E2">
        <w:rPr>
          <w:rFonts w:ascii="Times New Roman" w:hAnsi="Times New Roman" w:cs="Times New Roman"/>
          <w:i/>
          <w:sz w:val="18"/>
          <w:szCs w:val="18"/>
        </w:rPr>
        <w:t xml:space="preserve">See </w:t>
      </w:r>
      <w:r w:rsidRPr="00D962E2">
        <w:rPr>
          <w:rFonts w:ascii="Times New Roman" w:hAnsi="Times New Roman" w:cs="Times New Roman"/>
          <w:sz w:val="18"/>
          <w:szCs w:val="18"/>
        </w:rPr>
        <w:t xml:space="preserve">Inter-American Development Bank, </w:t>
      </w:r>
      <w:r w:rsidRPr="00D962E2">
        <w:rPr>
          <w:rFonts w:ascii="Times New Roman" w:hAnsi="Times New Roman" w:cs="Times New Roman"/>
          <w:i/>
          <w:sz w:val="18"/>
          <w:szCs w:val="18"/>
        </w:rPr>
        <w:t xml:space="preserve">Independent Consultation and Investigation Mechanism, Mexico </w:t>
      </w:r>
      <w:r>
        <w:rPr>
          <w:rFonts w:ascii="Times New Roman" w:hAnsi="Times New Roman" w:cs="Times New Roman"/>
          <w:i/>
          <w:sz w:val="18"/>
          <w:szCs w:val="18"/>
        </w:rPr>
        <w:t>–</w:t>
      </w:r>
      <w:r w:rsidRPr="00D962E2">
        <w:rPr>
          <w:rFonts w:ascii="Times New Roman" w:hAnsi="Times New Roman" w:cs="Times New Roman"/>
          <w:i/>
          <w:sz w:val="18"/>
          <w:szCs w:val="18"/>
        </w:rPr>
        <w:t xml:space="preserve"> Mareña</w:t>
      </w:r>
      <w:r>
        <w:t xml:space="preserve"> </w:t>
      </w:r>
      <w:r w:rsidRPr="00D962E2">
        <w:rPr>
          <w:rFonts w:ascii="Times New Roman" w:hAnsi="Times New Roman" w:cs="Times New Roman"/>
          <w:i/>
          <w:sz w:val="18"/>
          <w:szCs w:val="18"/>
        </w:rPr>
        <w:t xml:space="preserve">Renovables Wind Power Project (ME-MICI002-2012), </w:t>
      </w:r>
      <w:hyperlink r:id="rId7" w:history="1">
        <w:r w:rsidRPr="00D962E2">
          <w:rPr>
            <w:rStyle w:val="Hyperlink"/>
            <w:rFonts w:ascii="Times New Roman" w:hAnsi="Times New Roman" w:cs="Times New Roman"/>
            <w:sz w:val="18"/>
            <w:szCs w:val="18"/>
          </w:rPr>
          <w:t>http://www.iadb.org/en/mici/complaint-detail,1804.html?ID=ME-MICI002-2012</w:t>
        </w:r>
      </w:hyperlink>
      <w:r w:rsidRPr="00D962E2">
        <w:rPr>
          <w:rFonts w:ascii="Times New Roman" w:hAnsi="Times New Roman" w:cs="Times New Roman"/>
          <w:sz w:val="18"/>
          <w:szCs w:val="18"/>
        </w:rPr>
        <w:t xml:space="preserve"> </w:t>
      </w:r>
    </w:p>
  </w:footnote>
  <w:footnote w:id="23">
    <w:p w14:paraId="2009B896" w14:textId="77777777" w:rsidR="00DE74E3" w:rsidRPr="00773233" w:rsidRDefault="00DE74E3">
      <w:pPr>
        <w:pStyle w:val="FootnoteText"/>
        <w:rPr>
          <w:rFonts w:ascii="Times New Roman" w:hAnsi="Times New Roman" w:cs="Times New Roman"/>
          <w:sz w:val="18"/>
          <w:szCs w:val="18"/>
        </w:rPr>
      </w:pPr>
      <w:r w:rsidRPr="00DE74E3">
        <w:rPr>
          <w:rStyle w:val="FootnoteReference"/>
          <w:rFonts w:ascii="Times New Roman" w:hAnsi="Times New Roman" w:cs="Times New Roman"/>
          <w:sz w:val="18"/>
          <w:szCs w:val="18"/>
          <w:vertAlign w:val="superscript"/>
        </w:rPr>
        <w:footnoteRef/>
      </w:r>
      <w:r w:rsidRPr="00773233">
        <w:rPr>
          <w:rFonts w:ascii="Times New Roman" w:hAnsi="Times New Roman" w:cs="Times New Roman"/>
          <w:sz w:val="18"/>
          <w:szCs w:val="18"/>
        </w:rPr>
        <w:t xml:space="preserve"> </w:t>
      </w:r>
      <w:r w:rsidRPr="00773233">
        <w:rPr>
          <w:rFonts w:ascii="Times New Roman" w:hAnsi="Times New Roman" w:cs="Times New Roman"/>
          <w:i/>
          <w:sz w:val="18"/>
          <w:szCs w:val="18"/>
        </w:rPr>
        <w:t xml:space="preserve">See </w:t>
      </w:r>
      <w:r w:rsidRPr="00773233">
        <w:rPr>
          <w:rFonts w:ascii="Times New Roman" w:hAnsi="Times New Roman" w:cs="Times New Roman"/>
          <w:sz w:val="18"/>
          <w:szCs w:val="18"/>
        </w:rPr>
        <w:t xml:space="preserve">Inter-American Development Bank, </w:t>
      </w:r>
      <w:r w:rsidRPr="00773233">
        <w:rPr>
          <w:rFonts w:ascii="Times New Roman" w:hAnsi="Times New Roman" w:cs="Times New Roman"/>
          <w:i/>
          <w:sz w:val="18"/>
          <w:szCs w:val="18"/>
        </w:rPr>
        <w:t xml:space="preserve">ME-L1107: </w:t>
      </w:r>
      <w:r w:rsidRPr="00773233">
        <w:rPr>
          <w:rFonts w:ascii="Times New Roman" w:hAnsi="Times New Roman" w:cs="Times New Roman"/>
          <w:i/>
          <w:sz w:val="18"/>
          <w:szCs w:val="18"/>
          <w:lang w:val="es-AR"/>
        </w:rPr>
        <w:t>Energía Eólica</w:t>
      </w:r>
      <w:r w:rsidRPr="00773233">
        <w:rPr>
          <w:rFonts w:ascii="Times New Roman" w:hAnsi="Times New Roman" w:cs="Times New Roman"/>
          <w:i/>
          <w:sz w:val="18"/>
          <w:szCs w:val="18"/>
        </w:rPr>
        <w:t xml:space="preserve"> del Sur (EES), </w:t>
      </w:r>
      <w:hyperlink r:id="rId8" w:history="1">
        <w:r w:rsidRPr="00773233">
          <w:rPr>
            <w:rStyle w:val="Hyperlink"/>
            <w:rFonts w:ascii="Times New Roman" w:hAnsi="Times New Roman" w:cs="Times New Roman"/>
            <w:sz w:val="18"/>
            <w:szCs w:val="18"/>
          </w:rPr>
          <w:t>http://www.iadb.org/es/proyectos/project-information-page,1303.html?id=ME-L1107</w:t>
        </w:r>
      </w:hyperlink>
      <w:r w:rsidRPr="00773233">
        <w:rPr>
          <w:rFonts w:ascii="Times New Roman" w:hAnsi="Times New Roman" w:cs="Times New Roman"/>
          <w:sz w:val="18"/>
          <w:szCs w:val="18"/>
        </w:rPr>
        <w:t xml:space="preserve"> </w:t>
      </w:r>
      <w:r w:rsidRPr="00E014FC">
        <w:rPr>
          <w:rFonts w:ascii="Times New Roman" w:hAnsi="Times New Roman" w:cs="Times New Roman"/>
          <w:sz w:val="18"/>
          <w:szCs w:val="18"/>
        </w:rPr>
        <w:t>(prior the relocation of this project, it was called Mareña Renovables Wind Power Project).</w:t>
      </w:r>
    </w:p>
  </w:footnote>
  <w:footnote w:id="24">
    <w:p w14:paraId="2FFB24B1" w14:textId="77777777" w:rsidR="00DE74E3" w:rsidRPr="00980994" w:rsidRDefault="00DE74E3" w:rsidP="006F2EE7">
      <w:pPr>
        <w:rPr>
          <w:sz w:val="18"/>
          <w:szCs w:val="18"/>
        </w:rPr>
      </w:pPr>
      <w:r w:rsidRPr="00980994">
        <w:rPr>
          <w:rStyle w:val="FootnoteReference"/>
          <w:sz w:val="18"/>
          <w:szCs w:val="18"/>
          <w:vertAlign w:val="superscript"/>
        </w:rPr>
        <w:footnoteRef/>
      </w:r>
      <w:r w:rsidRPr="00980994">
        <w:rPr>
          <w:sz w:val="18"/>
          <w:szCs w:val="18"/>
        </w:rPr>
        <w:t xml:space="preserve"> Sources supporting this view include (1) the jurisprudence of the International Court of Justice (The ICJ has concluded that the United Nations, as an </w:t>
      </w:r>
      <w:r>
        <w:rPr>
          <w:sz w:val="18"/>
          <w:szCs w:val="18"/>
        </w:rPr>
        <w:t>international organization</w:t>
      </w:r>
      <w:r w:rsidRPr="00980994">
        <w:rPr>
          <w:sz w:val="18"/>
          <w:szCs w:val="18"/>
        </w:rPr>
        <w:t xml:space="preserve">, is a subject of international law. In the </w:t>
      </w:r>
      <w:r w:rsidRPr="00980994">
        <w:rPr>
          <w:i/>
          <w:iCs/>
          <w:sz w:val="18"/>
          <w:szCs w:val="18"/>
        </w:rPr>
        <w:t xml:space="preserve">Reparations </w:t>
      </w:r>
      <w:r w:rsidRPr="00980994">
        <w:rPr>
          <w:sz w:val="18"/>
          <w:szCs w:val="18"/>
        </w:rPr>
        <w:t xml:space="preserve">opinion of 1949, the Court stated that the UN was intended to exercise and enjoy, and is in fact exercising and enjoying, functions and rights which can only be explained on the basis of the possession of a large measure of international personality and the capacity to operate upon an international plane. Reparation for injuries suffered in the service of the United Nations, Advisory Opinion, 1949 I.C.J. 179 (Apr. 11, 1949). Since this opinion, the debate about the legal personality of </w:t>
      </w:r>
      <w:r>
        <w:rPr>
          <w:sz w:val="18"/>
          <w:szCs w:val="18"/>
        </w:rPr>
        <w:t>international organizations</w:t>
      </w:r>
      <w:r w:rsidRPr="00980994">
        <w:rPr>
          <w:sz w:val="18"/>
          <w:szCs w:val="18"/>
        </w:rPr>
        <w:t xml:space="preserve"> has evolved considerably. Indeed, thirty years later, in the </w:t>
      </w:r>
      <w:r w:rsidRPr="00980994">
        <w:rPr>
          <w:i/>
          <w:iCs/>
          <w:sz w:val="18"/>
          <w:szCs w:val="18"/>
        </w:rPr>
        <w:t xml:space="preserve">WHO </w:t>
      </w:r>
      <w:r w:rsidRPr="00980994">
        <w:rPr>
          <w:sz w:val="18"/>
          <w:szCs w:val="18"/>
        </w:rPr>
        <w:t xml:space="preserve">opinion of 1980, the Court established that international organizations are subjects of international law and, as such, are bound by </w:t>
      </w:r>
      <w:r>
        <w:rPr>
          <w:sz w:val="18"/>
          <w:szCs w:val="18"/>
        </w:rPr>
        <w:t xml:space="preserve">any obligations incumbent upon </w:t>
      </w:r>
      <w:r w:rsidRPr="00980994">
        <w:rPr>
          <w:sz w:val="18"/>
          <w:szCs w:val="18"/>
        </w:rPr>
        <w:t xml:space="preserve">them under general rules of international law, under their constitutions, or under international agreements to which they are parties. Interpretation of the Agreement of 25 March 1951 between the WHO and Egypt, Advisory Opinion, 1980 I.C.J. 173 (Dec. 20, 1980); (2) the Vienna Conventions (The Vienna Convention on the Law of Treaties of 1969 refers to international organizations when defining its scope of application and the term “international organizations”. </w:t>
      </w:r>
      <w:r w:rsidRPr="00980994">
        <w:rPr>
          <w:i/>
          <w:iCs/>
          <w:sz w:val="18"/>
          <w:szCs w:val="18"/>
        </w:rPr>
        <w:t xml:space="preserve">See </w:t>
      </w:r>
      <w:r w:rsidRPr="00980994">
        <w:rPr>
          <w:sz w:val="18"/>
          <w:szCs w:val="18"/>
        </w:rPr>
        <w:t xml:space="preserve">Vienna Convention on the Law of Treaties, art. </w:t>
      </w:r>
      <w:proofErr w:type="gramStart"/>
      <w:r w:rsidRPr="00980994">
        <w:rPr>
          <w:sz w:val="18"/>
          <w:szCs w:val="18"/>
        </w:rPr>
        <w:t>5 and art.</w:t>
      </w:r>
      <w:proofErr w:type="gramEnd"/>
      <w:r w:rsidRPr="00980994">
        <w:rPr>
          <w:sz w:val="18"/>
          <w:szCs w:val="18"/>
        </w:rPr>
        <w:t xml:space="preserve"> 2(1)(i), </w:t>
      </w:r>
      <w:r w:rsidRPr="00980994">
        <w:rPr>
          <w:i/>
          <w:iCs/>
          <w:sz w:val="18"/>
          <w:szCs w:val="18"/>
        </w:rPr>
        <w:t xml:space="preserve">supra </w:t>
      </w:r>
      <w:r w:rsidRPr="00980994">
        <w:rPr>
          <w:sz w:val="18"/>
          <w:szCs w:val="18"/>
        </w:rPr>
        <w:t xml:space="preserve">note 18. In addition, three other Vienna Conventions use the same legal definition and take the same approach: (1) the Vienna Convention on the Representation of States in their Relations with International Organizations of a Universal Character of 14 March 1975, art. </w:t>
      </w:r>
      <w:proofErr w:type="gramStart"/>
      <w:r w:rsidRPr="00980994">
        <w:rPr>
          <w:sz w:val="18"/>
          <w:szCs w:val="18"/>
        </w:rPr>
        <w:t>I(</w:t>
      </w:r>
      <w:proofErr w:type="gramEnd"/>
      <w:r w:rsidRPr="00980994">
        <w:rPr>
          <w:sz w:val="18"/>
          <w:szCs w:val="18"/>
        </w:rPr>
        <w:t xml:space="preserve">1)(1) (Mar. 14, 1975); (2) the Vienna Convention on Succession of States in respect of Treaties of 23 August 1978, art. </w:t>
      </w:r>
      <w:proofErr w:type="gramStart"/>
      <w:r w:rsidRPr="00980994">
        <w:rPr>
          <w:sz w:val="18"/>
          <w:szCs w:val="18"/>
        </w:rPr>
        <w:t>2(1)(n) (Aug. 23, 1978); and (3) the Vienna Convention on the Law of Treaties between States and International Organizations or between International Organizations of 21 March 1986, art.</w:t>
      </w:r>
      <w:proofErr w:type="gramEnd"/>
      <w:r w:rsidRPr="00980994">
        <w:rPr>
          <w:sz w:val="18"/>
          <w:szCs w:val="18"/>
        </w:rPr>
        <w:t xml:space="preserve"> 2(1)(i); and (3) the International Law Commission’s draft treaty provisions on the responsibility of </w:t>
      </w:r>
      <w:r>
        <w:rPr>
          <w:sz w:val="18"/>
          <w:szCs w:val="18"/>
        </w:rPr>
        <w:t>international organizations</w:t>
      </w:r>
      <w:r w:rsidRPr="00980994">
        <w:rPr>
          <w:sz w:val="18"/>
          <w:szCs w:val="18"/>
        </w:rPr>
        <w:t xml:space="preserve"> (The In</w:t>
      </w:r>
      <w:r>
        <w:rPr>
          <w:sz w:val="18"/>
          <w:szCs w:val="18"/>
        </w:rPr>
        <w:t>ternational Law Commission</w:t>
      </w:r>
      <w:r w:rsidRPr="00980994">
        <w:rPr>
          <w:sz w:val="18"/>
          <w:szCs w:val="18"/>
        </w:rPr>
        <w:t xml:space="preserve">, which has responsibility for elaborating the Draft Convention on Responsibility of International Organizations, has defined an international </w:t>
      </w:r>
      <w:r>
        <w:rPr>
          <w:sz w:val="18"/>
          <w:szCs w:val="18"/>
        </w:rPr>
        <w:t>organization</w:t>
      </w:r>
      <w:r w:rsidRPr="00980994">
        <w:rPr>
          <w:sz w:val="18"/>
          <w:szCs w:val="18"/>
        </w:rPr>
        <w:t xml:space="preserve">, in Article 2, as “…an organization established by a treaty or other instrument governed by international law and possessing its own international legal personality. International organizations may include as members, in addition to states, other entities.” U.N. Internat’l L. Comm’n, </w:t>
      </w:r>
      <w:r w:rsidRPr="00980994">
        <w:rPr>
          <w:i/>
          <w:iCs/>
          <w:sz w:val="18"/>
          <w:szCs w:val="18"/>
        </w:rPr>
        <w:t xml:space="preserve">Responsibility of international organizations - Titles and texts of the draft articles 1, 2 and 3 adopted by the Drafting Committee, </w:t>
      </w:r>
      <w:r w:rsidRPr="00980994">
        <w:rPr>
          <w:sz w:val="18"/>
          <w:szCs w:val="18"/>
        </w:rPr>
        <w:t>¶ 1, U.N. Doc. A/CN.4/L.632 (June 4, 2003)).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B98"/>
    <w:multiLevelType w:val="multilevel"/>
    <w:tmpl w:val="F99EC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42D9"/>
    <w:multiLevelType w:val="hybridMultilevel"/>
    <w:tmpl w:val="74EE4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0D5EA9"/>
    <w:multiLevelType w:val="hybridMultilevel"/>
    <w:tmpl w:val="AB10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201A8"/>
    <w:multiLevelType w:val="hybridMultilevel"/>
    <w:tmpl w:val="37CA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23FB8"/>
    <w:multiLevelType w:val="hybridMultilevel"/>
    <w:tmpl w:val="082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126B2"/>
    <w:multiLevelType w:val="multilevel"/>
    <w:tmpl w:val="63787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96524"/>
    <w:multiLevelType w:val="multilevel"/>
    <w:tmpl w:val="C7F0C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3644E7"/>
    <w:multiLevelType w:val="hybridMultilevel"/>
    <w:tmpl w:val="ECE6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219DB"/>
    <w:multiLevelType w:val="hybridMultilevel"/>
    <w:tmpl w:val="3F9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228B0"/>
    <w:multiLevelType w:val="hybridMultilevel"/>
    <w:tmpl w:val="20C2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0"/>
  </w:num>
  <w:num w:numId="6">
    <w:abstractNumId w:val="8"/>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0B"/>
    <w:rsid w:val="000005DD"/>
    <w:rsid w:val="00006FE0"/>
    <w:rsid w:val="00015E19"/>
    <w:rsid w:val="00031704"/>
    <w:rsid w:val="000556E9"/>
    <w:rsid w:val="00055ECC"/>
    <w:rsid w:val="00065A13"/>
    <w:rsid w:val="00072BC5"/>
    <w:rsid w:val="00072F50"/>
    <w:rsid w:val="00080377"/>
    <w:rsid w:val="000842D3"/>
    <w:rsid w:val="00087B5F"/>
    <w:rsid w:val="000C2561"/>
    <w:rsid w:val="000C2E22"/>
    <w:rsid w:val="000C69D7"/>
    <w:rsid w:val="000E46F8"/>
    <w:rsid w:val="000F3ED1"/>
    <w:rsid w:val="000F7DE4"/>
    <w:rsid w:val="00107E03"/>
    <w:rsid w:val="001164FA"/>
    <w:rsid w:val="001372A4"/>
    <w:rsid w:val="0014069C"/>
    <w:rsid w:val="001521BE"/>
    <w:rsid w:val="0015383A"/>
    <w:rsid w:val="0016286A"/>
    <w:rsid w:val="0019055C"/>
    <w:rsid w:val="00191280"/>
    <w:rsid w:val="00191314"/>
    <w:rsid w:val="001A187B"/>
    <w:rsid w:val="001A378F"/>
    <w:rsid w:val="001A6AD9"/>
    <w:rsid w:val="001A6F0D"/>
    <w:rsid w:val="001B719B"/>
    <w:rsid w:val="001C1379"/>
    <w:rsid w:val="001C16A5"/>
    <w:rsid w:val="001C609C"/>
    <w:rsid w:val="001E382A"/>
    <w:rsid w:val="001E5CA9"/>
    <w:rsid w:val="001E78D2"/>
    <w:rsid w:val="001F591E"/>
    <w:rsid w:val="0020190B"/>
    <w:rsid w:val="00222F4B"/>
    <w:rsid w:val="002401EE"/>
    <w:rsid w:val="00245ABB"/>
    <w:rsid w:val="0024700C"/>
    <w:rsid w:val="0025556A"/>
    <w:rsid w:val="00256C37"/>
    <w:rsid w:val="00282E90"/>
    <w:rsid w:val="002848AA"/>
    <w:rsid w:val="002859AA"/>
    <w:rsid w:val="00293347"/>
    <w:rsid w:val="00295185"/>
    <w:rsid w:val="00296C48"/>
    <w:rsid w:val="002A1279"/>
    <w:rsid w:val="002B7E06"/>
    <w:rsid w:val="002C3D2A"/>
    <w:rsid w:val="002C6D30"/>
    <w:rsid w:val="002D6F9F"/>
    <w:rsid w:val="002D797B"/>
    <w:rsid w:val="002D7BE9"/>
    <w:rsid w:val="002E2231"/>
    <w:rsid w:val="002E2599"/>
    <w:rsid w:val="002F0E1B"/>
    <w:rsid w:val="002F13CC"/>
    <w:rsid w:val="003156A5"/>
    <w:rsid w:val="003215B2"/>
    <w:rsid w:val="0032726B"/>
    <w:rsid w:val="00332E77"/>
    <w:rsid w:val="00333E61"/>
    <w:rsid w:val="003347EA"/>
    <w:rsid w:val="00341A91"/>
    <w:rsid w:val="00355BC4"/>
    <w:rsid w:val="0036628C"/>
    <w:rsid w:val="003731F8"/>
    <w:rsid w:val="003770E0"/>
    <w:rsid w:val="0037785E"/>
    <w:rsid w:val="00384925"/>
    <w:rsid w:val="00390C65"/>
    <w:rsid w:val="00392EE0"/>
    <w:rsid w:val="003A25AE"/>
    <w:rsid w:val="003A3C3D"/>
    <w:rsid w:val="003A7CA3"/>
    <w:rsid w:val="003D13F0"/>
    <w:rsid w:val="003D1EAB"/>
    <w:rsid w:val="003D24F1"/>
    <w:rsid w:val="003D3A55"/>
    <w:rsid w:val="003D480E"/>
    <w:rsid w:val="003E74F6"/>
    <w:rsid w:val="003F0963"/>
    <w:rsid w:val="003F3531"/>
    <w:rsid w:val="003F3928"/>
    <w:rsid w:val="0040052A"/>
    <w:rsid w:val="004062F1"/>
    <w:rsid w:val="0041401E"/>
    <w:rsid w:val="004151D5"/>
    <w:rsid w:val="00421B3F"/>
    <w:rsid w:val="00430DD3"/>
    <w:rsid w:val="00431063"/>
    <w:rsid w:val="00440D42"/>
    <w:rsid w:val="004421CF"/>
    <w:rsid w:val="0046015A"/>
    <w:rsid w:val="00460270"/>
    <w:rsid w:val="0046490B"/>
    <w:rsid w:val="00466E50"/>
    <w:rsid w:val="00467E35"/>
    <w:rsid w:val="004759B7"/>
    <w:rsid w:val="00482502"/>
    <w:rsid w:val="00484F2B"/>
    <w:rsid w:val="0048634D"/>
    <w:rsid w:val="00492435"/>
    <w:rsid w:val="004A7655"/>
    <w:rsid w:val="004C0042"/>
    <w:rsid w:val="004C17C3"/>
    <w:rsid w:val="004C2AFB"/>
    <w:rsid w:val="004C7BDD"/>
    <w:rsid w:val="004D1AB3"/>
    <w:rsid w:val="004D26D1"/>
    <w:rsid w:val="004D3AD3"/>
    <w:rsid w:val="004D6165"/>
    <w:rsid w:val="004D713E"/>
    <w:rsid w:val="004E4776"/>
    <w:rsid w:val="004E4F31"/>
    <w:rsid w:val="004F4E79"/>
    <w:rsid w:val="00500B68"/>
    <w:rsid w:val="00503177"/>
    <w:rsid w:val="00550141"/>
    <w:rsid w:val="005505BA"/>
    <w:rsid w:val="00554848"/>
    <w:rsid w:val="00563828"/>
    <w:rsid w:val="00573FC9"/>
    <w:rsid w:val="005774CF"/>
    <w:rsid w:val="00593C81"/>
    <w:rsid w:val="005A129A"/>
    <w:rsid w:val="005C0894"/>
    <w:rsid w:val="005C653E"/>
    <w:rsid w:val="005E6DFE"/>
    <w:rsid w:val="00610F46"/>
    <w:rsid w:val="00614894"/>
    <w:rsid w:val="00621C4D"/>
    <w:rsid w:val="006275DC"/>
    <w:rsid w:val="006351F1"/>
    <w:rsid w:val="0063559A"/>
    <w:rsid w:val="00636A00"/>
    <w:rsid w:val="00645BE6"/>
    <w:rsid w:val="006548C1"/>
    <w:rsid w:val="0065602B"/>
    <w:rsid w:val="00660629"/>
    <w:rsid w:val="0066775C"/>
    <w:rsid w:val="00667F0C"/>
    <w:rsid w:val="00670A54"/>
    <w:rsid w:val="00685583"/>
    <w:rsid w:val="00686416"/>
    <w:rsid w:val="00691CFD"/>
    <w:rsid w:val="00695ABC"/>
    <w:rsid w:val="00697438"/>
    <w:rsid w:val="006A1283"/>
    <w:rsid w:val="006A36F8"/>
    <w:rsid w:val="006D2DEA"/>
    <w:rsid w:val="006E567E"/>
    <w:rsid w:val="006E6029"/>
    <w:rsid w:val="006F2EE7"/>
    <w:rsid w:val="00711F04"/>
    <w:rsid w:val="007148FD"/>
    <w:rsid w:val="007218DE"/>
    <w:rsid w:val="00727A63"/>
    <w:rsid w:val="00734673"/>
    <w:rsid w:val="00746545"/>
    <w:rsid w:val="00750950"/>
    <w:rsid w:val="007711FA"/>
    <w:rsid w:val="00772DD1"/>
    <w:rsid w:val="00773233"/>
    <w:rsid w:val="00774A14"/>
    <w:rsid w:val="007A10E1"/>
    <w:rsid w:val="007C517D"/>
    <w:rsid w:val="007C5ECB"/>
    <w:rsid w:val="007F7539"/>
    <w:rsid w:val="00800F83"/>
    <w:rsid w:val="00806A45"/>
    <w:rsid w:val="00812B38"/>
    <w:rsid w:val="00832A89"/>
    <w:rsid w:val="00833B24"/>
    <w:rsid w:val="0084589B"/>
    <w:rsid w:val="008472D4"/>
    <w:rsid w:val="00860BA8"/>
    <w:rsid w:val="00872FEE"/>
    <w:rsid w:val="0087427A"/>
    <w:rsid w:val="00885EDF"/>
    <w:rsid w:val="008952C3"/>
    <w:rsid w:val="008B0957"/>
    <w:rsid w:val="008C064F"/>
    <w:rsid w:val="008C71AF"/>
    <w:rsid w:val="008C7946"/>
    <w:rsid w:val="008E19C7"/>
    <w:rsid w:val="008F0A6C"/>
    <w:rsid w:val="008F2959"/>
    <w:rsid w:val="009243C7"/>
    <w:rsid w:val="0093529B"/>
    <w:rsid w:val="00940D02"/>
    <w:rsid w:val="00953951"/>
    <w:rsid w:val="00956419"/>
    <w:rsid w:val="0096629D"/>
    <w:rsid w:val="00973B14"/>
    <w:rsid w:val="00980994"/>
    <w:rsid w:val="0098143E"/>
    <w:rsid w:val="00982565"/>
    <w:rsid w:val="009877E4"/>
    <w:rsid w:val="00995AC0"/>
    <w:rsid w:val="009A3270"/>
    <w:rsid w:val="009B430F"/>
    <w:rsid w:val="009B59CA"/>
    <w:rsid w:val="009C05F7"/>
    <w:rsid w:val="009C28D9"/>
    <w:rsid w:val="009D47CE"/>
    <w:rsid w:val="009F5B00"/>
    <w:rsid w:val="00A150C8"/>
    <w:rsid w:val="00A168E6"/>
    <w:rsid w:val="00A179E9"/>
    <w:rsid w:val="00A30E0B"/>
    <w:rsid w:val="00A412F0"/>
    <w:rsid w:val="00A6264E"/>
    <w:rsid w:val="00A8226A"/>
    <w:rsid w:val="00A84F83"/>
    <w:rsid w:val="00A85CBD"/>
    <w:rsid w:val="00A9014E"/>
    <w:rsid w:val="00AA23D4"/>
    <w:rsid w:val="00AA4519"/>
    <w:rsid w:val="00AC3F99"/>
    <w:rsid w:val="00AF5033"/>
    <w:rsid w:val="00AF6E64"/>
    <w:rsid w:val="00B15947"/>
    <w:rsid w:val="00B25134"/>
    <w:rsid w:val="00B36097"/>
    <w:rsid w:val="00B36A79"/>
    <w:rsid w:val="00B44B1B"/>
    <w:rsid w:val="00B478A9"/>
    <w:rsid w:val="00B71BDB"/>
    <w:rsid w:val="00B73A7D"/>
    <w:rsid w:val="00B769F9"/>
    <w:rsid w:val="00B96925"/>
    <w:rsid w:val="00B97A59"/>
    <w:rsid w:val="00BA095F"/>
    <w:rsid w:val="00BA0E21"/>
    <w:rsid w:val="00BB430C"/>
    <w:rsid w:val="00BD4830"/>
    <w:rsid w:val="00BF0723"/>
    <w:rsid w:val="00BF0B18"/>
    <w:rsid w:val="00C1148A"/>
    <w:rsid w:val="00C13441"/>
    <w:rsid w:val="00C23617"/>
    <w:rsid w:val="00C36539"/>
    <w:rsid w:val="00C46F47"/>
    <w:rsid w:val="00C6415A"/>
    <w:rsid w:val="00C71439"/>
    <w:rsid w:val="00C74412"/>
    <w:rsid w:val="00C75C5F"/>
    <w:rsid w:val="00C81FAC"/>
    <w:rsid w:val="00C8773A"/>
    <w:rsid w:val="00C90867"/>
    <w:rsid w:val="00CB3E39"/>
    <w:rsid w:val="00CB5A53"/>
    <w:rsid w:val="00CB638A"/>
    <w:rsid w:val="00CC51DA"/>
    <w:rsid w:val="00CC5CD4"/>
    <w:rsid w:val="00CC761B"/>
    <w:rsid w:val="00CE5844"/>
    <w:rsid w:val="00CF1C9F"/>
    <w:rsid w:val="00D06B9F"/>
    <w:rsid w:val="00D13C9B"/>
    <w:rsid w:val="00D3001E"/>
    <w:rsid w:val="00D37D72"/>
    <w:rsid w:val="00D44224"/>
    <w:rsid w:val="00D46D09"/>
    <w:rsid w:val="00D47217"/>
    <w:rsid w:val="00D50BBF"/>
    <w:rsid w:val="00D5331F"/>
    <w:rsid w:val="00D65D44"/>
    <w:rsid w:val="00D84E4A"/>
    <w:rsid w:val="00D962E2"/>
    <w:rsid w:val="00DB2248"/>
    <w:rsid w:val="00DB3279"/>
    <w:rsid w:val="00DB4068"/>
    <w:rsid w:val="00DB4585"/>
    <w:rsid w:val="00DB492A"/>
    <w:rsid w:val="00DC0FB6"/>
    <w:rsid w:val="00DC437F"/>
    <w:rsid w:val="00DD1957"/>
    <w:rsid w:val="00DD2CEA"/>
    <w:rsid w:val="00DE74E3"/>
    <w:rsid w:val="00E014FC"/>
    <w:rsid w:val="00E02FDE"/>
    <w:rsid w:val="00E0526F"/>
    <w:rsid w:val="00E07B0A"/>
    <w:rsid w:val="00E1053B"/>
    <w:rsid w:val="00E11EE6"/>
    <w:rsid w:val="00E15A09"/>
    <w:rsid w:val="00E24E55"/>
    <w:rsid w:val="00E277F6"/>
    <w:rsid w:val="00E306E1"/>
    <w:rsid w:val="00E36EB9"/>
    <w:rsid w:val="00E452B1"/>
    <w:rsid w:val="00E5249C"/>
    <w:rsid w:val="00E545B6"/>
    <w:rsid w:val="00E55B3D"/>
    <w:rsid w:val="00E57BCD"/>
    <w:rsid w:val="00E73190"/>
    <w:rsid w:val="00E739C2"/>
    <w:rsid w:val="00E97517"/>
    <w:rsid w:val="00EA02D7"/>
    <w:rsid w:val="00EC088D"/>
    <w:rsid w:val="00EE11CA"/>
    <w:rsid w:val="00EF1A15"/>
    <w:rsid w:val="00F00586"/>
    <w:rsid w:val="00F063D2"/>
    <w:rsid w:val="00F25DF5"/>
    <w:rsid w:val="00F419F6"/>
    <w:rsid w:val="00F43136"/>
    <w:rsid w:val="00F51988"/>
    <w:rsid w:val="00F51B64"/>
    <w:rsid w:val="00F55592"/>
    <w:rsid w:val="00F56ECC"/>
    <w:rsid w:val="00F7395E"/>
    <w:rsid w:val="00F807BF"/>
    <w:rsid w:val="00F959A9"/>
    <w:rsid w:val="00FA0637"/>
    <w:rsid w:val="00FA0F2D"/>
    <w:rsid w:val="00FA5FEA"/>
    <w:rsid w:val="00FC2592"/>
    <w:rsid w:val="00FE1444"/>
    <w:rsid w:val="00FE18F3"/>
    <w:rsid w:val="00FE3B02"/>
    <w:rsid w:val="00FF20CD"/>
    <w:rsid w:val="00FF2EED"/>
    <w:rsid w:val="00FF3D09"/>
    <w:rsid w:val="00FF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ecimalSymbol w:val="."/>
  <w:listSeparator w:val=","/>
  <w14:docId w14:val="365E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2A4"/>
    <w:pPr>
      <w:widowControl w:val="0"/>
      <w:autoSpaceDE w:val="0"/>
      <w:autoSpaceDN w:val="0"/>
      <w:adjustRightInd w:val="0"/>
    </w:pPr>
    <w:rPr>
      <w:sz w:val="24"/>
      <w:szCs w:val="24"/>
    </w:rPr>
  </w:style>
  <w:style w:type="paragraph" w:styleId="Heading1">
    <w:name w:val="heading 1"/>
    <w:basedOn w:val="Normal"/>
    <w:next w:val="BodyText"/>
    <w:link w:val="Heading1Char"/>
    <w:qFormat/>
    <w:rsid w:val="00E24E55"/>
    <w:pPr>
      <w:keepNext/>
      <w:keepLines/>
      <w:widowControl/>
      <w:autoSpaceDE/>
      <w:autoSpaceDN/>
      <w:adjustRightInd/>
      <w:spacing w:after="180" w:line="240" w:lineRule="atLeast"/>
      <w:jc w:val="center"/>
      <w:outlineLvl w:val="0"/>
    </w:pPr>
    <w:rPr>
      <w:rFonts w:ascii="Garamond" w:hAnsi="Garamond"/>
      <w:caps/>
      <w:spacing w:val="20"/>
      <w:kern w:val="20"/>
      <w:sz w:val="18"/>
      <w:szCs w:val="20"/>
    </w:rPr>
  </w:style>
  <w:style w:type="paragraph" w:styleId="Heading5">
    <w:name w:val="heading 5"/>
    <w:basedOn w:val="Normal"/>
    <w:next w:val="Normal"/>
    <w:link w:val="Heading5Char"/>
    <w:unhideWhenUsed/>
    <w:qFormat/>
    <w:rsid w:val="00C46F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372A4"/>
  </w:style>
  <w:style w:type="character" w:styleId="Hyperlink">
    <w:name w:val="Hyperlink"/>
    <w:basedOn w:val="DefaultParagraphFont"/>
    <w:rsid w:val="001E78D2"/>
    <w:rPr>
      <w:color w:val="0000FF"/>
      <w:u w:val="single"/>
    </w:rPr>
  </w:style>
  <w:style w:type="character" w:customStyle="1" w:styleId="Heading1Char">
    <w:name w:val="Heading 1 Char"/>
    <w:basedOn w:val="DefaultParagraphFont"/>
    <w:link w:val="Heading1"/>
    <w:rsid w:val="00E24E55"/>
    <w:rPr>
      <w:rFonts w:ascii="Garamond" w:hAnsi="Garamond"/>
      <w:caps/>
      <w:spacing w:val="20"/>
      <w:kern w:val="20"/>
      <w:sz w:val="18"/>
    </w:rPr>
  </w:style>
  <w:style w:type="paragraph" w:styleId="BodyText">
    <w:name w:val="Body Text"/>
    <w:basedOn w:val="Normal"/>
    <w:link w:val="BodyTextChar"/>
    <w:rsid w:val="00E24E55"/>
    <w:pPr>
      <w:widowControl/>
      <w:autoSpaceDE/>
      <w:autoSpaceDN/>
      <w:adjustRightInd/>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24E55"/>
    <w:rPr>
      <w:rFonts w:ascii="Garamond" w:hAnsi="Garamond"/>
      <w:sz w:val="22"/>
    </w:rPr>
  </w:style>
  <w:style w:type="paragraph" w:styleId="MessageHeader">
    <w:name w:val="Message Header"/>
    <w:basedOn w:val="BodyText"/>
    <w:link w:val="MessageHeaderChar"/>
    <w:rsid w:val="00E24E55"/>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4E55"/>
    <w:rPr>
      <w:rFonts w:ascii="Garamond" w:hAnsi="Garamond"/>
      <w:caps/>
      <w:sz w:val="18"/>
    </w:rPr>
  </w:style>
  <w:style w:type="paragraph" w:customStyle="1" w:styleId="MessageHeaderFirst">
    <w:name w:val="Message Header First"/>
    <w:basedOn w:val="MessageHeader"/>
    <w:next w:val="MessageHeader"/>
    <w:rsid w:val="00E24E55"/>
    <w:pPr>
      <w:spacing w:before="360"/>
    </w:pPr>
  </w:style>
  <w:style w:type="character" w:customStyle="1" w:styleId="MessageHeaderLabel">
    <w:name w:val="Message Header Label"/>
    <w:rsid w:val="00E24E55"/>
    <w:rPr>
      <w:b/>
      <w:sz w:val="18"/>
    </w:rPr>
  </w:style>
  <w:style w:type="paragraph" w:customStyle="1" w:styleId="MessageHeaderLast">
    <w:name w:val="Message Header Last"/>
    <w:basedOn w:val="MessageHeader"/>
    <w:next w:val="BodyText"/>
    <w:rsid w:val="00E24E55"/>
    <w:pPr>
      <w:pBdr>
        <w:bottom w:val="single" w:sz="6" w:space="18" w:color="808080"/>
      </w:pBdr>
      <w:spacing w:after="360"/>
    </w:pPr>
  </w:style>
  <w:style w:type="paragraph" w:styleId="BalloonText">
    <w:name w:val="Balloon Text"/>
    <w:basedOn w:val="Normal"/>
    <w:link w:val="BalloonTextChar"/>
    <w:rsid w:val="00E24E55"/>
    <w:rPr>
      <w:rFonts w:ascii="Tahoma" w:hAnsi="Tahoma" w:cs="Tahoma"/>
      <w:sz w:val="16"/>
      <w:szCs w:val="16"/>
    </w:rPr>
  </w:style>
  <w:style w:type="character" w:customStyle="1" w:styleId="BalloonTextChar">
    <w:name w:val="Balloon Text Char"/>
    <w:basedOn w:val="DefaultParagraphFont"/>
    <w:link w:val="BalloonText"/>
    <w:rsid w:val="00E24E55"/>
    <w:rPr>
      <w:rFonts w:ascii="Tahoma" w:hAnsi="Tahoma" w:cs="Tahoma"/>
      <w:sz w:val="16"/>
      <w:szCs w:val="16"/>
    </w:rPr>
  </w:style>
  <w:style w:type="paragraph" w:styleId="Header">
    <w:name w:val="header"/>
    <w:basedOn w:val="Normal"/>
    <w:link w:val="HeaderChar"/>
    <w:uiPriority w:val="99"/>
    <w:rsid w:val="00E24E55"/>
    <w:pPr>
      <w:tabs>
        <w:tab w:val="center" w:pos="4680"/>
        <w:tab w:val="right" w:pos="9360"/>
      </w:tabs>
    </w:pPr>
  </w:style>
  <w:style w:type="character" w:customStyle="1" w:styleId="HeaderChar">
    <w:name w:val="Header Char"/>
    <w:basedOn w:val="DefaultParagraphFont"/>
    <w:link w:val="Header"/>
    <w:uiPriority w:val="99"/>
    <w:rsid w:val="00E24E55"/>
    <w:rPr>
      <w:sz w:val="24"/>
      <w:szCs w:val="24"/>
    </w:rPr>
  </w:style>
  <w:style w:type="paragraph" w:styleId="Footer">
    <w:name w:val="footer"/>
    <w:basedOn w:val="Normal"/>
    <w:link w:val="FooterChar"/>
    <w:uiPriority w:val="99"/>
    <w:rsid w:val="00E24E55"/>
    <w:pPr>
      <w:tabs>
        <w:tab w:val="center" w:pos="4680"/>
        <w:tab w:val="right" w:pos="9360"/>
      </w:tabs>
    </w:pPr>
  </w:style>
  <w:style w:type="character" w:customStyle="1" w:styleId="FooterChar">
    <w:name w:val="Footer Char"/>
    <w:basedOn w:val="DefaultParagraphFont"/>
    <w:link w:val="Footer"/>
    <w:uiPriority w:val="99"/>
    <w:rsid w:val="00E24E55"/>
    <w:rPr>
      <w:sz w:val="24"/>
      <w:szCs w:val="24"/>
    </w:rPr>
  </w:style>
  <w:style w:type="paragraph" w:styleId="FootnoteText">
    <w:name w:val="footnote text"/>
    <w:basedOn w:val="Normal"/>
    <w:link w:val="FootnoteTextChar"/>
    <w:uiPriority w:val="99"/>
    <w:unhideWhenUsed/>
    <w:rsid w:val="006F2EE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F2EE7"/>
    <w:rPr>
      <w:rFonts w:asciiTheme="minorHAnsi" w:eastAsiaTheme="minorEastAsia" w:hAnsiTheme="minorHAnsi" w:cstheme="minorBidi"/>
      <w:sz w:val="24"/>
      <w:szCs w:val="24"/>
    </w:rPr>
  </w:style>
  <w:style w:type="character" w:styleId="PageNumber">
    <w:name w:val="page number"/>
    <w:basedOn w:val="DefaultParagraphFont"/>
    <w:rsid w:val="0065602B"/>
  </w:style>
  <w:style w:type="character" w:styleId="CommentReference">
    <w:name w:val="annotation reference"/>
    <w:basedOn w:val="DefaultParagraphFont"/>
    <w:rsid w:val="00C23617"/>
    <w:rPr>
      <w:sz w:val="18"/>
      <w:szCs w:val="18"/>
    </w:rPr>
  </w:style>
  <w:style w:type="paragraph" w:styleId="CommentText">
    <w:name w:val="annotation text"/>
    <w:basedOn w:val="Normal"/>
    <w:link w:val="CommentTextChar"/>
    <w:rsid w:val="00C23617"/>
  </w:style>
  <w:style w:type="character" w:customStyle="1" w:styleId="CommentTextChar">
    <w:name w:val="Comment Text Char"/>
    <w:basedOn w:val="DefaultParagraphFont"/>
    <w:link w:val="CommentText"/>
    <w:rsid w:val="00C23617"/>
    <w:rPr>
      <w:sz w:val="24"/>
      <w:szCs w:val="24"/>
    </w:rPr>
  </w:style>
  <w:style w:type="paragraph" w:styleId="CommentSubject">
    <w:name w:val="annotation subject"/>
    <w:basedOn w:val="CommentText"/>
    <w:next w:val="CommentText"/>
    <w:link w:val="CommentSubjectChar"/>
    <w:rsid w:val="00C23617"/>
    <w:rPr>
      <w:b/>
      <w:bCs/>
      <w:sz w:val="20"/>
      <w:szCs w:val="20"/>
    </w:rPr>
  </w:style>
  <w:style w:type="character" w:customStyle="1" w:styleId="CommentSubjectChar">
    <w:name w:val="Comment Subject Char"/>
    <w:basedOn w:val="CommentTextChar"/>
    <w:link w:val="CommentSubject"/>
    <w:rsid w:val="00C23617"/>
    <w:rPr>
      <w:b/>
      <w:bCs/>
      <w:sz w:val="24"/>
      <w:szCs w:val="24"/>
    </w:rPr>
  </w:style>
  <w:style w:type="character" w:customStyle="1" w:styleId="apple-style-span">
    <w:name w:val="apple-style-span"/>
    <w:basedOn w:val="DefaultParagraphFont"/>
    <w:rsid w:val="00460270"/>
  </w:style>
  <w:style w:type="paragraph" w:styleId="ListParagraph">
    <w:name w:val="List Paragraph"/>
    <w:basedOn w:val="Normal"/>
    <w:uiPriority w:val="34"/>
    <w:qFormat/>
    <w:rsid w:val="0066775C"/>
    <w:pPr>
      <w:ind w:left="720"/>
      <w:contextualSpacing/>
    </w:pPr>
  </w:style>
  <w:style w:type="character" w:customStyle="1" w:styleId="Heading5Char">
    <w:name w:val="Heading 5 Char"/>
    <w:basedOn w:val="DefaultParagraphFont"/>
    <w:link w:val="Heading5"/>
    <w:rsid w:val="00C46F47"/>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C46F47"/>
  </w:style>
  <w:style w:type="paragraph" w:styleId="Title">
    <w:name w:val="Title"/>
    <w:basedOn w:val="Normal"/>
    <w:link w:val="TitleChar"/>
    <w:qFormat/>
    <w:rsid w:val="001E382A"/>
    <w:pPr>
      <w:widowControl/>
      <w:autoSpaceDE/>
      <w:autoSpaceDN/>
      <w:adjustRightInd/>
      <w:spacing w:before="240" w:after="60"/>
      <w:jc w:val="center"/>
      <w:outlineLvl w:val="0"/>
    </w:pPr>
    <w:rPr>
      <w:b/>
      <w:caps/>
      <w:kern w:val="28"/>
      <w:sz w:val="22"/>
      <w:szCs w:val="20"/>
      <w:lang w:val="es-AR"/>
    </w:rPr>
  </w:style>
  <w:style w:type="character" w:customStyle="1" w:styleId="TitleChar">
    <w:name w:val="Title Char"/>
    <w:basedOn w:val="DefaultParagraphFont"/>
    <w:link w:val="Title"/>
    <w:rsid w:val="001E382A"/>
    <w:rPr>
      <w:b/>
      <w:caps/>
      <w:kern w:val="28"/>
      <w:sz w:val="22"/>
      <w:lang w:val="es-AR"/>
    </w:rPr>
  </w:style>
  <w:style w:type="paragraph" w:customStyle="1" w:styleId="CPClassification">
    <w:name w:val="CP Classification"/>
    <w:basedOn w:val="Normal"/>
    <w:rsid w:val="001E382A"/>
    <w:pPr>
      <w:widowControl/>
      <w:tabs>
        <w:tab w:val="center" w:pos="2160"/>
        <w:tab w:val="left" w:pos="7200"/>
      </w:tabs>
      <w:autoSpaceDE/>
      <w:autoSpaceDN/>
      <w:adjustRightInd/>
      <w:ind w:left="7200" w:right="-360"/>
      <w:jc w:val="both"/>
    </w:pPr>
    <w:rPr>
      <w:sz w:val="22"/>
      <w:szCs w:val="20"/>
      <w:lang w:val="pt-PT"/>
    </w:rPr>
  </w:style>
  <w:style w:type="paragraph" w:styleId="Revision">
    <w:name w:val="Revision"/>
    <w:hidden/>
    <w:uiPriority w:val="99"/>
    <w:semiHidden/>
    <w:rsid w:val="00087B5F"/>
    <w:rPr>
      <w:sz w:val="24"/>
      <w:szCs w:val="24"/>
    </w:rPr>
  </w:style>
  <w:style w:type="paragraph" w:customStyle="1" w:styleId="Clause">
    <w:name w:val="Clause"/>
    <w:basedOn w:val="Normal"/>
    <w:next w:val="Normal"/>
    <w:uiPriority w:val="99"/>
    <w:rsid w:val="00953951"/>
    <w:pPr>
      <w:widowControl/>
    </w:pPr>
    <w:rPr>
      <w:rFonts w:ascii="GGMIPA+TimesNewRoman" w:hAnsi="GGMIPA+TimesNewRoman"/>
    </w:rPr>
  </w:style>
  <w:style w:type="paragraph" w:styleId="NormalWeb">
    <w:name w:val="Normal (Web)"/>
    <w:basedOn w:val="Normal"/>
    <w:uiPriority w:val="99"/>
    <w:unhideWhenUsed/>
    <w:rsid w:val="00573FC9"/>
    <w:pPr>
      <w:widowControl/>
      <w:autoSpaceDE/>
      <w:autoSpaceDN/>
      <w:adjustRightInd/>
      <w:spacing w:before="100" w:beforeAutospacing="1" w:after="100" w:afterAutospacing="1"/>
    </w:pPr>
  </w:style>
  <w:style w:type="character" w:styleId="Strong">
    <w:name w:val="Strong"/>
    <w:basedOn w:val="DefaultParagraphFont"/>
    <w:uiPriority w:val="22"/>
    <w:qFormat/>
    <w:rsid w:val="00573FC9"/>
    <w:rPr>
      <w:b/>
      <w:bCs/>
    </w:rPr>
  </w:style>
  <w:style w:type="character" w:styleId="FollowedHyperlink">
    <w:name w:val="FollowedHyperlink"/>
    <w:basedOn w:val="DefaultParagraphFont"/>
    <w:rsid w:val="00C87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2A4"/>
    <w:pPr>
      <w:widowControl w:val="0"/>
      <w:autoSpaceDE w:val="0"/>
      <w:autoSpaceDN w:val="0"/>
      <w:adjustRightInd w:val="0"/>
    </w:pPr>
    <w:rPr>
      <w:sz w:val="24"/>
      <w:szCs w:val="24"/>
    </w:rPr>
  </w:style>
  <w:style w:type="paragraph" w:styleId="Heading1">
    <w:name w:val="heading 1"/>
    <w:basedOn w:val="Normal"/>
    <w:next w:val="BodyText"/>
    <w:link w:val="Heading1Char"/>
    <w:qFormat/>
    <w:rsid w:val="00E24E55"/>
    <w:pPr>
      <w:keepNext/>
      <w:keepLines/>
      <w:widowControl/>
      <w:autoSpaceDE/>
      <w:autoSpaceDN/>
      <w:adjustRightInd/>
      <w:spacing w:after="180" w:line="240" w:lineRule="atLeast"/>
      <w:jc w:val="center"/>
      <w:outlineLvl w:val="0"/>
    </w:pPr>
    <w:rPr>
      <w:rFonts w:ascii="Garamond" w:hAnsi="Garamond"/>
      <w:caps/>
      <w:spacing w:val="20"/>
      <w:kern w:val="20"/>
      <w:sz w:val="18"/>
      <w:szCs w:val="20"/>
    </w:rPr>
  </w:style>
  <w:style w:type="paragraph" w:styleId="Heading5">
    <w:name w:val="heading 5"/>
    <w:basedOn w:val="Normal"/>
    <w:next w:val="Normal"/>
    <w:link w:val="Heading5Char"/>
    <w:unhideWhenUsed/>
    <w:qFormat/>
    <w:rsid w:val="00C46F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372A4"/>
  </w:style>
  <w:style w:type="character" w:styleId="Hyperlink">
    <w:name w:val="Hyperlink"/>
    <w:basedOn w:val="DefaultParagraphFont"/>
    <w:rsid w:val="001E78D2"/>
    <w:rPr>
      <w:color w:val="0000FF"/>
      <w:u w:val="single"/>
    </w:rPr>
  </w:style>
  <w:style w:type="character" w:customStyle="1" w:styleId="Heading1Char">
    <w:name w:val="Heading 1 Char"/>
    <w:basedOn w:val="DefaultParagraphFont"/>
    <w:link w:val="Heading1"/>
    <w:rsid w:val="00E24E55"/>
    <w:rPr>
      <w:rFonts w:ascii="Garamond" w:hAnsi="Garamond"/>
      <w:caps/>
      <w:spacing w:val="20"/>
      <w:kern w:val="20"/>
      <w:sz w:val="18"/>
    </w:rPr>
  </w:style>
  <w:style w:type="paragraph" w:styleId="BodyText">
    <w:name w:val="Body Text"/>
    <w:basedOn w:val="Normal"/>
    <w:link w:val="BodyTextChar"/>
    <w:rsid w:val="00E24E55"/>
    <w:pPr>
      <w:widowControl/>
      <w:autoSpaceDE/>
      <w:autoSpaceDN/>
      <w:adjustRightInd/>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24E55"/>
    <w:rPr>
      <w:rFonts w:ascii="Garamond" w:hAnsi="Garamond"/>
      <w:sz w:val="22"/>
    </w:rPr>
  </w:style>
  <w:style w:type="paragraph" w:styleId="MessageHeader">
    <w:name w:val="Message Header"/>
    <w:basedOn w:val="BodyText"/>
    <w:link w:val="MessageHeaderChar"/>
    <w:rsid w:val="00E24E55"/>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4E55"/>
    <w:rPr>
      <w:rFonts w:ascii="Garamond" w:hAnsi="Garamond"/>
      <w:caps/>
      <w:sz w:val="18"/>
    </w:rPr>
  </w:style>
  <w:style w:type="paragraph" w:customStyle="1" w:styleId="MessageHeaderFirst">
    <w:name w:val="Message Header First"/>
    <w:basedOn w:val="MessageHeader"/>
    <w:next w:val="MessageHeader"/>
    <w:rsid w:val="00E24E55"/>
    <w:pPr>
      <w:spacing w:before="360"/>
    </w:pPr>
  </w:style>
  <w:style w:type="character" w:customStyle="1" w:styleId="MessageHeaderLabel">
    <w:name w:val="Message Header Label"/>
    <w:rsid w:val="00E24E55"/>
    <w:rPr>
      <w:b/>
      <w:sz w:val="18"/>
    </w:rPr>
  </w:style>
  <w:style w:type="paragraph" w:customStyle="1" w:styleId="MessageHeaderLast">
    <w:name w:val="Message Header Last"/>
    <w:basedOn w:val="MessageHeader"/>
    <w:next w:val="BodyText"/>
    <w:rsid w:val="00E24E55"/>
    <w:pPr>
      <w:pBdr>
        <w:bottom w:val="single" w:sz="6" w:space="18" w:color="808080"/>
      </w:pBdr>
      <w:spacing w:after="360"/>
    </w:pPr>
  </w:style>
  <w:style w:type="paragraph" w:styleId="BalloonText">
    <w:name w:val="Balloon Text"/>
    <w:basedOn w:val="Normal"/>
    <w:link w:val="BalloonTextChar"/>
    <w:rsid w:val="00E24E55"/>
    <w:rPr>
      <w:rFonts w:ascii="Tahoma" w:hAnsi="Tahoma" w:cs="Tahoma"/>
      <w:sz w:val="16"/>
      <w:szCs w:val="16"/>
    </w:rPr>
  </w:style>
  <w:style w:type="character" w:customStyle="1" w:styleId="BalloonTextChar">
    <w:name w:val="Balloon Text Char"/>
    <w:basedOn w:val="DefaultParagraphFont"/>
    <w:link w:val="BalloonText"/>
    <w:rsid w:val="00E24E55"/>
    <w:rPr>
      <w:rFonts w:ascii="Tahoma" w:hAnsi="Tahoma" w:cs="Tahoma"/>
      <w:sz w:val="16"/>
      <w:szCs w:val="16"/>
    </w:rPr>
  </w:style>
  <w:style w:type="paragraph" w:styleId="Header">
    <w:name w:val="header"/>
    <w:basedOn w:val="Normal"/>
    <w:link w:val="HeaderChar"/>
    <w:uiPriority w:val="99"/>
    <w:rsid w:val="00E24E55"/>
    <w:pPr>
      <w:tabs>
        <w:tab w:val="center" w:pos="4680"/>
        <w:tab w:val="right" w:pos="9360"/>
      </w:tabs>
    </w:pPr>
  </w:style>
  <w:style w:type="character" w:customStyle="1" w:styleId="HeaderChar">
    <w:name w:val="Header Char"/>
    <w:basedOn w:val="DefaultParagraphFont"/>
    <w:link w:val="Header"/>
    <w:uiPriority w:val="99"/>
    <w:rsid w:val="00E24E55"/>
    <w:rPr>
      <w:sz w:val="24"/>
      <w:szCs w:val="24"/>
    </w:rPr>
  </w:style>
  <w:style w:type="paragraph" w:styleId="Footer">
    <w:name w:val="footer"/>
    <w:basedOn w:val="Normal"/>
    <w:link w:val="FooterChar"/>
    <w:uiPriority w:val="99"/>
    <w:rsid w:val="00E24E55"/>
    <w:pPr>
      <w:tabs>
        <w:tab w:val="center" w:pos="4680"/>
        <w:tab w:val="right" w:pos="9360"/>
      </w:tabs>
    </w:pPr>
  </w:style>
  <w:style w:type="character" w:customStyle="1" w:styleId="FooterChar">
    <w:name w:val="Footer Char"/>
    <w:basedOn w:val="DefaultParagraphFont"/>
    <w:link w:val="Footer"/>
    <w:uiPriority w:val="99"/>
    <w:rsid w:val="00E24E55"/>
    <w:rPr>
      <w:sz w:val="24"/>
      <w:szCs w:val="24"/>
    </w:rPr>
  </w:style>
  <w:style w:type="paragraph" w:styleId="FootnoteText">
    <w:name w:val="footnote text"/>
    <w:basedOn w:val="Normal"/>
    <w:link w:val="FootnoteTextChar"/>
    <w:uiPriority w:val="99"/>
    <w:unhideWhenUsed/>
    <w:rsid w:val="006F2EE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F2EE7"/>
    <w:rPr>
      <w:rFonts w:asciiTheme="minorHAnsi" w:eastAsiaTheme="minorEastAsia" w:hAnsiTheme="minorHAnsi" w:cstheme="minorBidi"/>
      <w:sz w:val="24"/>
      <w:szCs w:val="24"/>
    </w:rPr>
  </w:style>
  <w:style w:type="character" w:styleId="PageNumber">
    <w:name w:val="page number"/>
    <w:basedOn w:val="DefaultParagraphFont"/>
    <w:rsid w:val="0065602B"/>
  </w:style>
  <w:style w:type="character" w:styleId="CommentReference">
    <w:name w:val="annotation reference"/>
    <w:basedOn w:val="DefaultParagraphFont"/>
    <w:rsid w:val="00C23617"/>
    <w:rPr>
      <w:sz w:val="18"/>
      <w:szCs w:val="18"/>
    </w:rPr>
  </w:style>
  <w:style w:type="paragraph" w:styleId="CommentText">
    <w:name w:val="annotation text"/>
    <w:basedOn w:val="Normal"/>
    <w:link w:val="CommentTextChar"/>
    <w:rsid w:val="00C23617"/>
  </w:style>
  <w:style w:type="character" w:customStyle="1" w:styleId="CommentTextChar">
    <w:name w:val="Comment Text Char"/>
    <w:basedOn w:val="DefaultParagraphFont"/>
    <w:link w:val="CommentText"/>
    <w:rsid w:val="00C23617"/>
    <w:rPr>
      <w:sz w:val="24"/>
      <w:szCs w:val="24"/>
    </w:rPr>
  </w:style>
  <w:style w:type="paragraph" w:styleId="CommentSubject">
    <w:name w:val="annotation subject"/>
    <w:basedOn w:val="CommentText"/>
    <w:next w:val="CommentText"/>
    <w:link w:val="CommentSubjectChar"/>
    <w:rsid w:val="00C23617"/>
    <w:rPr>
      <w:b/>
      <w:bCs/>
      <w:sz w:val="20"/>
      <w:szCs w:val="20"/>
    </w:rPr>
  </w:style>
  <w:style w:type="character" w:customStyle="1" w:styleId="CommentSubjectChar">
    <w:name w:val="Comment Subject Char"/>
    <w:basedOn w:val="CommentTextChar"/>
    <w:link w:val="CommentSubject"/>
    <w:rsid w:val="00C23617"/>
    <w:rPr>
      <w:b/>
      <w:bCs/>
      <w:sz w:val="24"/>
      <w:szCs w:val="24"/>
    </w:rPr>
  </w:style>
  <w:style w:type="character" w:customStyle="1" w:styleId="apple-style-span">
    <w:name w:val="apple-style-span"/>
    <w:basedOn w:val="DefaultParagraphFont"/>
    <w:rsid w:val="00460270"/>
  </w:style>
  <w:style w:type="paragraph" w:styleId="ListParagraph">
    <w:name w:val="List Paragraph"/>
    <w:basedOn w:val="Normal"/>
    <w:uiPriority w:val="34"/>
    <w:qFormat/>
    <w:rsid w:val="0066775C"/>
    <w:pPr>
      <w:ind w:left="720"/>
      <w:contextualSpacing/>
    </w:pPr>
  </w:style>
  <w:style w:type="character" w:customStyle="1" w:styleId="Heading5Char">
    <w:name w:val="Heading 5 Char"/>
    <w:basedOn w:val="DefaultParagraphFont"/>
    <w:link w:val="Heading5"/>
    <w:rsid w:val="00C46F47"/>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C46F47"/>
  </w:style>
  <w:style w:type="paragraph" w:styleId="Title">
    <w:name w:val="Title"/>
    <w:basedOn w:val="Normal"/>
    <w:link w:val="TitleChar"/>
    <w:qFormat/>
    <w:rsid w:val="001E382A"/>
    <w:pPr>
      <w:widowControl/>
      <w:autoSpaceDE/>
      <w:autoSpaceDN/>
      <w:adjustRightInd/>
      <w:spacing w:before="240" w:after="60"/>
      <w:jc w:val="center"/>
      <w:outlineLvl w:val="0"/>
    </w:pPr>
    <w:rPr>
      <w:b/>
      <w:caps/>
      <w:kern w:val="28"/>
      <w:sz w:val="22"/>
      <w:szCs w:val="20"/>
      <w:lang w:val="es-AR"/>
    </w:rPr>
  </w:style>
  <w:style w:type="character" w:customStyle="1" w:styleId="TitleChar">
    <w:name w:val="Title Char"/>
    <w:basedOn w:val="DefaultParagraphFont"/>
    <w:link w:val="Title"/>
    <w:rsid w:val="001E382A"/>
    <w:rPr>
      <w:b/>
      <w:caps/>
      <w:kern w:val="28"/>
      <w:sz w:val="22"/>
      <w:lang w:val="es-AR"/>
    </w:rPr>
  </w:style>
  <w:style w:type="paragraph" w:customStyle="1" w:styleId="CPClassification">
    <w:name w:val="CP Classification"/>
    <w:basedOn w:val="Normal"/>
    <w:rsid w:val="001E382A"/>
    <w:pPr>
      <w:widowControl/>
      <w:tabs>
        <w:tab w:val="center" w:pos="2160"/>
        <w:tab w:val="left" w:pos="7200"/>
      </w:tabs>
      <w:autoSpaceDE/>
      <w:autoSpaceDN/>
      <w:adjustRightInd/>
      <w:ind w:left="7200" w:right="-360"/>
      <w:jc w:val="both"/>
    </w:pPr>
    <w:rPr>
      <w:sz w:val="22"/>
      <w:szCs w:val="20"/>
      <w:lang w:val="pt-PT"/>
    </w:rPr>
  </w:style>
  <w:style w:type="paragraph" w:styleId="Revision">
    <w:name w:val="Revision"/>
    <w:hidden/>
    <w:uiPriority w:val="99"/>
    <w:semiHidden/>
    <w:rsid w:val="00087B5F"/>
    <w:rPr>
      <w:sz w:val="24"/>
      <w:szCs w:val="24"/>
    </w:rPr>
  </w:style>
  <w:style w:type="paragraph" w:customStyle="1" w:styleId="Clause">
    <w:name w:val="Clause"/>
    <w:basedOn w:val="Normal"/>
    <w:next w:val="Normal"/>
    <w:uiPriority w:val="99"/>
    <w:rsid w:val="00953951"/>
    <w:pPr>
      <w:widowControl/>
    </w:pPr>
    <w:rPr>
      <w:rFonts w:ascii="GGMIPA+TimesNewRoman" w:hAnsi="GGMIPA+TimesNewRoman"/>
    </w:rPr>
  </w:style>
  <w:style w:type="paragraph" w:styleId="NormalWeb">
    <w:name w:val="Normal (Web)"/>
    <w:basedOn w:val="Normal"/>
    <w:uiPriority w:val="99"/>
    <w:unhideWhenUsed/>
    <w:rsid w:val="00573FC9"/>
    <w:pPr>
      <w:widowControl/>
      <w:autoSpaceDE/>
      <w:autoSpaceDN/>
      <w:adjustRightInd/>
      <w:spacing w:before="100" w:beforeAutospacing="1" w:after="100" w:afterAutospacing="1"/>
    </w:pPr>
  </w:style>
  <w:style w:type="character" w:styleId="Strong">
    <w:name w:val="Strong"/>
    <w:basedOn w:val="DefaultParagraphFont"/>
    <w:uiPriority w:val="22"/>
    <w:qFormat/>
    <w:rsid w:val="00573FC9"/>
    <w:rPr>
      <w:b/>
      <w:bCs/>
    </w:rPr>
  </w:style>
  <w:style w:type="character" w:styleId="FollowedHyperlink">
    <w:name w:val="FollowedHyperlink"/>
    <w:basedOn w:val="DefaultParagraphFont"/>
    <w:rsid w:val="00C87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6878">
      <w:bodyDiv w:val="1"/>
      <w:marLeft w:val="0"/>
      <w:marRight w:val="0"/>
      <w:marTop w:val="0"/>
      <w:marBottom w:val="0"/>
      <w:divBdr>
        <w:top w:val="none" w:sz="0" w:space="0" w:color="auto"/>
        <w:left w:val="none" w:sz="0" w:space="0" w:color="auto"/>
        <w:bottom w:val="none" w:sz="0" w:space="0" w:color="auto"/>
        <w:right w:val="none" w:sz="0" w:space="0" w:color="auto"/>
      </w:divBdr>
    </w:div>
    <w:div w:id="447547337">
      <w:bodyDiv w:val="1"/>
      <w:marLeft w:val="0"/>
      <w:marRight w:val="0"/>
      <w:marTop w:val="0"/>
      <w:marBottom w:val="0"/>
      <w:divBdr>
        <w:top w:val="none" w:sz="0" w:space="0" w:color="auto"/>
        <w:left w:val="none" w:sz="0" w:space="0" w:color="auto"/>
        <w:bottom w:val="none" w:sz="0" w:space="0" w:color="auto"/>
        <w:right w:val="none" w:sz="0" w:space="0" w:color="auto"/>
      </w:divBdr>
      <w:divsChild>
        <w:div w:id="2006782988">
          <w:marLeft w:val="0"/>
          <w:marRight w:val="0"/>
          <w:marTop w:val="0"/>
          <w:marBottom w:val="0"/>
          <w:divBdr>
            <w:top w:val="none" w:sz="0" w:space="0" w:color="auto"/>
            <w:left w:val="none" w:sz="0" w:space="0" w:color="auto"/>
            <w:bottom w:val="none" w:sz="0" w:space="0" w:color="auto"/>
            <w:right w:val="none" w:sz="0" w:space="0" w:color="auto"/>
          </w:divBdr>
          <w:divsChild>
            <w:div w:id="1047727118">
              <w:marLeft w:val="0"/>
              <w:marRight w:val="0"/>
              <w:marTop w:val="543"/>
              <w:marBottom w:val="0"/>
              <w:divBdr>
                <w:top w:val="none" w:sz="0" w:space="0" w:color="auto"/>
                <w:left w:val="none" w:sz="0" w:space="0" w:color="auto"/>
                <w:bottom w:val="none" w:sz="0" w:space="0" w:color="auto"/>
                <w:right w:val="none" w:sz="0" w:space="0" w:color="auto"/>
              </w:divBdr>
              <w:divsChild>
                <w:div w:id="1412703032">
                  <w:marLeft w:val="0"/>
                  <w:marRight w:val="0"/>
                  <w:marTop w:val="0"/>
                  <w:marBottom w:val="0"/>
                  <w:divBdr>
                    <w:top w:val="none" w:sz="0" w:space="0" w:color="auto"/>
                    <w:left w:val="none" w:sz="0" w:space="0" w:color="auto"/>
                    <w:bottom w:val="none" w:sz="0" w:space="0" w:color="auto"/>
                    <w:right w:val="none" w:sz="0" w:space="0" w:color="auto"/>
                  </w:divBdr>
                  <w:divsChild>
                    <w:div w:id="1525947743">
                      <w:marLeft w:val="0"/>
                      <w:marRight w:val="0"/>
                      <w:marTop w:val="0"/>
                      <w:marBottom w:val="0"/>
                      <w:divBdr>
                        <w:top w:val="none" w:sz="0" w:space="0" w:color="auto"/>
                        <w:left w:val="none" w:sz="0" w:space="0" w:color="auto"/>
                        <w:bottom w:val="none" w:sz="0" w:space="0" w:color="auto"/>
                        <w:right w:val="none" w:sz="0" w:space="0" w:color="auto"/>
                      </w:divBdr>
                      <w:divsChild>
                        <w:div w:id="1054741094">
                          <w:marLeft w:val="0"/>
                          <w:marRight w:val="0"/>
                          <w:marTop w:val="0"/>
                          <w:marBottom w:val="10"/>
                          <w:divBdr>
                            <w:top w:val="none" w:sz="0" w:space="0" w:color="auto"/>
                            <w:left w:val="none" w:sz="0" w:space="0" w:color="auto"/>
                            <w:bottom w:val="none" w:sz="0" w:space="0" w:color="auto"/>
                            <w:right w:val="none" w:sz="0" w:space="0" w:color="auto"/>
                          </w:divBdr>
                          <w:divsChild>
                            <w:div w:id="259685183">
                              <w:marLeft w:val="0"/>
                              <w:marRight w:val="0"/>
                              <w:marTop w:val="0"/>
                              <w:marBottom w:val="209"/>
                              <w:divBdr>
                                <w:top w:val="none" w:sz="0" w:space="0" w:color="auto"/>
                                <w:left w:val="none" w:sz="0" w:space="0" w:color="auto"/>
                                <w:bottom w:val="none" w:sz="0" w:space="0" w:color="auto"/>
                                <w:right w:val="none" w:sz="0" w:space="0" w:color="auto"/>
                              </w:divBdr>
                              <w:divsChild>
                                <w:div w:id="1517890343">
                                  <w:marLeft w:val="0"/>
                                  <w:marRight w:val="0"/>
                                  <w:marTop w:val="0"/>
                                  <w:marBottom w:val="0"/>
                                  <w:divBdr>
                                    <w:top w:val="none" w:sz="0" w:space="0" w:color="auto"/>
                                    <w:left w:val="none" w:sz="0" w:space="0" w:color="auto"/>
                                    <w:bottom w:val="none" w:sz="0" w:space="0" w:color="auto"/>
                                    <w:right w:val="none" w:sz="0" w:space="0" w:color="auto"/>
                                  </w:divBdr>
                                  <w:divsChild>
                                    <w:div w:id="337194687">
                                      <w:marLeft w:val="0"/>
                                      <w:marRight w:val="0"/>
                                      <w:marTop w:val="0"/>
                                      <w:marBottom w:val="0"/>
                                      <w:divBdr>
                                        <w:top w:val="none" w:sz="0" w:space="0" w:color="auto"/>
                                        <w:left w:val="none" w:sz="0" w:space="0" w:color="auto"/>
                                        <w:bottom w:val="none" w:sz="0" w:space="0" w:color="auto"/>
                                        <w:right w:val="none" w:sz="0" w:space="0" w:color="auto"/>
                                      </w:divBdr>
                                      <w:divsChild>
                                        <w:div w:id="1042825861">
                                          <w:marLeft w:val="0"/>
                                          <w:marRight w:val="0"/>
                                          <w:marTop w:val="0"/>
                                          <w:marBottom w:val="0"/>
                                          <w:divBdr>
                                            <w:top w:val="none" w:sz="0" w:space="0" w:color="auto"/>
                                            <w:left w:val="none" w:sz="0" w:space="0" w:color="auto"/>
                                            <w:bottom w:val="none" w:sz="0" w:space="0" w:color="auto"/>
                                            <w:right w:val="none" w:sz="0" w:space="0" w:color="auto"/>
                                          </w:divBdr>
                                          <w:divsChild>
                                            <w:div w:id="1096704549">
                                              <w:marLeft w:val="0"/>
                                              <w:marRight w:val="0"/>
                                              <w:marTop w:val="0"/>
                                              <w:marBottom w:val="0"/>
                                              <w:divBdr>
                                                <w:top w:val="none" w:sz="0" w:space="0" w:color="auto"/>
                                                <w:left w:val="none" w:sz="0" w:space="0" w:color="auto"/>
                                                <w:bottom w:val="none" w:sz="0" w:space="0" w:color="auto"/>
                                                <w:right w:val="none" w:sz="0" w:space="0" w:color="auto"/>
                                              </w:divBdr>
                                              <w:divsChild>
                                                <w:div w:id="1959068704">
                                                  <w:marLeft w:val="0"/>
                                                  <w:marRight w:val="0"/>
                                                  <w:marTop w:val="0"/>
                                                  <w:marBottom w:val="0"/>
                                                  <w:divBdr>
                                                    <w:top w:val="none" w:sz="0" w:space="0" w:color="auto"/>
                                                    <w:left w:val="none" w:sz="0" w:space="0" w:color="auto"/>
                                                    <w:bottom w:val="none" w:sz="0" w:space="0" w:color="auto"/>
                                                    <w:right w:val="none" w:sz="0" w:space="0" w:color="auto"/>
                                                  </w:divBdr>
                                                  <w:divsChild>
                                                    <w:div w:id="1643581030">
                                                      <w:marLeft w:val="0"/>
                                                      <w:marRight w:val="0"/>
                                                      <w:marTop w:val="0"/>
                                                      <w:marBottom w:val="0"/>
                                                      <w:divBdr>
                                                        <w:top w:val="none" w:sz="0" w:space="0" w:color="auto"/>
                                                        <w:left w:val="none" w:sz="0" w:space="0" w:color="auto"/>
                                                        <w:bottom w:val="none" w:sz="0" w:space="0" w:color="auto"/>
                                                        <w:right w:val="none" w:sz="0" w:space="0" w:color="auto"/>
                                                      </w:divBdr>
                                                      <w:divsChild>
                                                        <w:div w:id="1613436412">
                                                          <w:marLeft w:val="0"/>
                                                          <w:marRight w:val="0"/>
                                                          <w:marTop w:val="0"/>
                                                          <w:marBottom w:val="0"/>
                                                          <w:divBdr>
                                                            <w:top w:val="none" w:sz="0" w:space="0" w:color="auto"/>
                                                            <w:left w:val="none" w:sz="0" w:space="0" w:color="auto"/>
                                                            <w:bottom w:val="none" w:sz="0" w:space="0" w:color="auto"/>
                                                            <w:right w:val="none" w:sz="0" w:space="0" w:color="auto"/>
                                                          </w:divBdr>
                                                          <w:divsChild>
                                                            <w:div w:id="135538204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122230">
      <w:bodyDiv w:val="1"/>
      <w:marLeft w:val="0"/>
      <w:marRight w:val="0"/>
      <w:marTop w:val="0"/>
      <w:marBottom w:val="0"/>
      <w:divBdr>
        <w:top w:val="none" w:sz="0" w:space="0" w:color="auto"/>
        <w:left w:val="none" w:sz="0" w:space="0" w:color="auto"/>
        <w:bottom w:val="none" w:sz="0" w:space="0" w:color="auto"/>
        <w:right w:val="none" w:sz="0" w:space="0" w:color="auto"/>
      </w:divBdr>
    </w:div>
    <w:div w:id="1309245343">
      <w:bodyDiv w:val="1"/>
      <w:marLeft w:val="0"/>
      <w:marRight w:val="0"/>
      <w:marTop w:val="0"/>
      <w:marBottom w:val="0"/>
      <w:divBdr>
        <w:top w:val="none" w:sz="0" w:space="0" w:color="auto"/>
        <w:left w:val="none" w:sz="0" w:space="0" w:color="auto"/>
        <w:bottom w:val="none" w:sz="0" w:space="0" w:color="auto"/>
        <w:right w:val="none" w:sz="0" w:space="0" w:color="auto"/>
      </w:divBdr>
    </w:div>
    <w:div w:id="1406100236">
      <w:bodyDiv w:val="1"/>
      <w:marLeft w:val="0"/>
      <w:marRight w:val="0"/>
      <w:marTop w:val="0"/>
      <w:marBottom w:val="0"/>
      <w:divBdr>
        <w:top w:val="none" w:sz="0" w:space="0" w:color="auto"/>
        <w:left w:val="none" w:sz="0" w:space="0" w:color="auto"/>
        <w:bottom w:val="none" w:sz="0" w:space="0" w:color="auto"/>
        <w:right w:val="none" w:sz="0" w:space="0" w:color="auto"/>
      </w:divBdr>
    </w:div>
    <w:div w:id="1932884032">
      <w:bodyDiv w:val="1"/>
      <w:marLeft w:val="0"/>
      <w:marRight w:val="0"/>
      <w:marTop w:val="0"/>
      <w:marBottom w:val="0"/>
      <w:divBdr>
        <w:top w:val="none" w:sz="0" w:space="0" w:color="auto"/>
        <w:left w:val="none" w:sz="0" w:space="0" w:color="auto"/>
        <w:bottom w:val="none" w:sz="0" w:space="0" w:color="auto"/>
        <w:right w:val="none" w:sz="0" w:space="0" w:color="auto"/>
      </w:divBdr>
      <w:divsChild>
        <w:div w:id="182401268">
          <w:marLeft w:val="0"/>
          <w:marRight w:val="0"/>
          <w:marTop w:val="100"/>
          <w:marBottom w:val="100"/>
          <w:divBdr>
            <w:top w:val="none" w:sz="0" w:space="0" w:color="auto"/>
            <w:left w:val="none" w:sz="0" w:space="0" w:color="auto"/>
            <w:bottom w:val="none" w:sz="0" w:space="0" w:color="auto"/>
            <w:right w:val="none" w:sz="0" w:space="0" w:color="auto"/>
          </w:divBdr>
          <w:divsChild>
            <w:div w:id="18355222">
              <w:marLeft w:val="0"/>
              <w:marRight w:val="0"/>
              <w:marTop w:val="100"/>
              <w:marBottom w:val="100"/>
              <w:divBdr>
                <w:top w:val="none" w:sz="0" w:space="0" w:color="auto"/>
                <w:left w:val="none" w:sz="0" w:space="0" w:color="auto"/>
                <w:bottom w:val="none" w:sz="0" w:space="0" w:color="auto"/>
                <w:right w:val="none" w:sz="0" w:space="0" w:color="auto"/>
              </w:divBdr>
              <w:divsChild>
                <w:div w:id="1616516805">
                  <w:marLeft w:val="0"/>
                  <w:marRight w:val="0"/>
                  <w:marTop w:val="0"/>
                  <w:marBottom w:val="0"/>
                  <w:divBdr>
                    <w:top w:val="none" w:sz="0" w:space="0" w:color="auto"/>
                    <w:left w:val="none" w:sz="0" w:space="0" w:color="auto"/>
                    <w:bottom w:val="none" w:sz="0" w:space="0" w:color="auto"/>
                    <w:right w:val="none" w:sz="0" w:space="0" w:color="auto"/>
                  </w:divBdr>
                  <w:divsChild>
                    <w:div w:id="1232960016">
                      <w:marLeft w:val="0"/>
                      <w:marRight w:val="0"/>
                      <w:marTop w:val="0"/>
                      <w:marBottom w:val="0"/>
                      <w:divBdr>
                        <w:top w:val="none" w:sz="0" w:space="0" w:color="auto"/>
                        <w:left w:val="none" w:sz="0" w:space="0" w:color="auto"/>
                        <w:bottom w:val="none" w:sz="0" w:space="0" w:color="auto"/>
                        <w:right w:val="none" w:sz="0" w:space="0" w:color="auto"/>
                      </w:divBdr>
                      <w:divsChild>
                        <w:div w:id="57703668">
                          <w:marLeft w:val="0"/>
                          <w:marRight w:val="0"/>
                          <w:marTop w:val="0"/>
                          <w:marBottom w:val="0"/>
                          <w:divBdr>
                            <w:top w:val="none" w:sz="0" w:space="0" w:color="auto"/>
                            <w:left w:val="none" w:sz="0" w:space="0" w:color="auto"/>
                            <w:bottom w:val="none" w:sz="0" w:space="0" w:color="auto"/>
                            <w:right w:val="none" w:sz="0" w:space="0" w:color="auto"/>
                          </w:divBdr>
                          <w:divsChild>
                            <w:div w:id="2137524081">
                              <w:marLeft w:val="0"/>
                              <w:marRight w:val="0"/>
                              <w:marTop w:val="0"/>
                              <w:marBottom w:val="0"/>
                              <w:divBdr>
                                <w:top w:val="none" w:sz="0" w:space="0" w:color="auto"/>
                                <w:left w:val="none" w:sz="0" w:space="0" w:color="auto"/>
                                <w:bottom w:val="none" w:sz="0" w:space="0" w:color="auto"/>
                                <w:right w:val="none" w:sz="0" w:space="0" w:color="auto"/>
                              </w:divBdr>
                              <w:divsChild>
                                <w:div w:id="2127459233">
                                  <w:marLeft w:val="0"/>
                                  <w:marRight w:val="0"/>
                                  <w:marTop w:val="0"/>
                                  <w:marBottom w:val="0"/>
                                  <w:divBdr>
                                    <w:top w:val="none" w:sz="0" w:space="0" w:color="auto"/>
                                    <w:left w:val="none" w:sz="0" w:space="0" w:color="auto"/>
                                    <w:bottom w:val="none" w:sz="0" w:space="0" w:color="auto"/>
                                    <w:right w:val="none" w:sz="0" w:space="0" w:color="auto"/>
                                  </w:divBdr>
                                  <w:divsChild>
                                    <w:div w:id="1373574662">
                                      <w:marLeft w:val="0"/>
                                      <w:marRight w:val="0"/>
                                      <w:marTop w:val="0"/>
                                      <w:marBottom w:val="0"/>
                                      <w:divBdr>
                                        <w:top w:val="none" w:sz="0" w:space="0" w:color="auto"/>
                                        <w:left w:val="none" w:sz="0" w:space="0" w:color="auto"/>
                                        <w:bottom w:val="none" w:sz="0" w:space="0" w:color="auto"/>
                                        <w:right w:val="none" w:sz="0" w:space="0" w:color="auto"/>
                                      </w:divBdr>
                                      <w:divsChild>
                                        <w:div w:id="950285187">
                                          <w:marLeft w:val="0"/>
                                          <w:marRight w:val="0"/>
                                          <w:marTop w:val="0"/>
                                          <w:marBottom w:val="0"/>
                                          <w:divBdr>
                                            <w:top w:val="none" w:sz="0" w:space="0" w:color="auto"/>
                                            <w:left w:val="none" w:sz="0" w:space="0" w:color="auto"/>
                                            <w:bottom w:val="none" w:sz="0" w:space="0" w:color="auto"/>
                                            <w:right w:val="none" w:sz="0" w:space="0" w:color="auto"/>
                                          </w:divBdr>
                                          <w:divsChild>
                                            <w:div w:id="1216283960">
                                              <w:marLeft w:val="94"/>
                                              <w:marRight w:val="94"/>
                                              <w:marTop w:val="0"/>
                                              <w:marBottom w:val="188"/>
                                              <w:divBdr>
                                                <w:top w:val="none" w:sz="0" w:space="0" w:color="auto"/>
                                                <w:left w:val="none" w:sz="0" w:space="0" w:color="auto"/>
                                                <w:bottom w:val="none" w:sz="0" w:space="0" w:color="auto"/>
                                                <w:right w:val="none" w:sz="0" w:space="0" w:color="auto"/>
                                              </w:divBdr>
                                              <w:divsChild>
                                                <w:div w:id="15427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teresources.worldbank.org/EXTABOUTUS/Resources/ibrd-articlesofagreement.pdf" TargetMode="External"/><Relationship Id="rId4" Type="http://schemas.openxmlformats.org/officeDocument/2006/relationships/hyperlink" Target="http://www.iadb.org/es/proyectos/project-information-page,1303.html?id=ME-L1107" TargetMode="External"/><Relationship Id="rId5" Type="http://schemas.openxmlformats.org/officeDocument/2006/relationships/hyperlink" Target="http://www.ifc.org/wps/wcm/connect/Topics_Ext_Content/IFC_External_Corporate_Site/Guide+to+Human+Rights+Impact+Assessment+and+Management/" TargetMode="External"/><Relationship Id="rId6" Type="http://schemas.openxmlformats.org/officeDocument/2006/relationships/hyperlink" Target="http://www.iadb.org/en/about-us/evaluation-and-auditing,6080.html" TargetMode="External"/><Relationship Id="rId7" Type="http://schemas.openxmlformats.org/officeDocument/2006/relationships/hyperlink" Target="http://www.iadb.org/en/mici/complaint-detail,1804.html?ID=ME-MICI002-2012" TargetMode="External"/><Relationship Id="rId8" Type="http://schemas.openxmlformats.org/officeDocument/2006/relationships/hyperlink" Target="http://www.iadb.org/es/proyectos/project-information-page,1303.html?id=ME-L1107" TargetMode="External"/><Relationship Id="rId1" Type="http://schemas.openxmlformats.org/officeDocument/2006/relationships/hyperlink" Target="http://www.cdb.com.cn/english/NewsInfo.asp?NewsId=5835" TargetMode="External"/><Relationship Id="rId2" Type="http://schemas.openxmlformats.org/officeDocument/2006/relationships/hyperlink" Target="http://ndbbrics.org/agre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7C076-196E-D34E-9AC6-5CA04265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2711</Words>
  <Characters>15457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INDIAN  LAW  RESOURCE  CENTER</vt:lpstr>
    </vt:vector>
  </TitlesOfParts>
  <Company>Microsoft</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LAW  RESOURCE  CENTER</dc:title>
  <dc:creator>lmyaya</dc:creator>
  <cp:lastModifiedBy>Christopher  Foley</cp:lastModifiedBy>
  <cp:revision>3</cp:revision>
  <cp:lastPrinted>2015-07-17T18:19:00Z</cp:lastPrinted>
  <dcterms:created xsi:type="dcterms:W3CDTF">2015-07-24T19:37:00Z</dcterms:created>
  <dcterms:modified xsi:type="dcterms:W3CDTF">2015-07-24T20:19:00Z</dcterms:modified>
</cp:coreProperties>
</file>