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6820" w:rsidRDefault="00E1244C">
      <w:pPr>
        <w:shd w:val="clear" w:color="auto" w:fill="FFFFFF"/>
        <w:jc w:val="center"/>
        <w:rPr>
          <w:rFonts w:ascii="Arial Narrow" w:eastAsia="Calibri" w:hAnsi="Arial Narrow" w:cs="Arial Narrow"/>
          <w:b/>
          <w:bCs/>
          <w:color w:val="303030"/>
          <w:sz w:val="28"/>
          <w:szCs w:val="28"/>
          <w:highlight w:val="white"/>
          <w:lang w:eastAsia="en-US"/>
        </w:rPr>
      </w:pPr>
      <w:r>
        <w:rPr>
          <w:rFonts w:ascii="Arial Narrow" w:eastAsia="Calibri" w:hAnsi="Arial Narrow" w:cs="Arial Narrow"/>
          <w:b/>
          <w:bCs/>
          <w:color w:val="303030"/>
          <w:sz w:val="28"/>
          <w:szCs w:val="28"/>
          <w:shd w:val="clear" w:color="auto" w:fill="FFFFFF"/>
          <w:lang w:eastAsia="en-US"/>
        </w:rPr>
        <w:t>Open-ended intergovernmental working group on transnational corporations and other business enterprises with respect to human rights</w:t>
      </w:r>
    </w:p>
    <w:p w:rsidR="00EB6820" w:rsidRDefault="00EB6820">
      <w:pPr>
        <w:shd w:val="clear" w:color="auto" w:fill="FFFFFF"/>
        <w:jc w:val="center"/>
        <w:rPr>
          <w:rFonts w:ascii="Arial Narrow" w:eastAsia="Calibri" w:hAnsi="Arial Narrow" w:cs="Arial Narrow"/>
          <w:b/>
          <w:bCs/>
          <w:color w:val="303030"/>
          <w:sz w:val="28"/>
          <w:szCs w:val="28"/>
          <w:shd w:val="clear" w:color="auto" w:fill="FFFFFF"/>
          <w:lang w:eastAsia="en-US"/>
        </w:rPr>
      </w:pPr>
    </w:p>
    <w:p w:rsidR="00EB6820" w:rsidRDefault="00E1244C">
      <w:pPr>
        <w:shd w:val="clear" w:color="auto" w:fill="FFFFFF"/>
        <w:jc w:val="center"/>
        <w:rPr>
          <w:rFonts w:ascii="Arial Narrow" w:eastAsia="Calibri" w:hAnsi="Arial Narrow" w:cs="Arial Narrow"/>
          <w:b/>
          <w:bCs/>
          <w:i/>
          <w:color w:val="303030"/>
          <w:highlight w:val="white"/>
          <w:lang w:eastAsia="en-US"/>
        </w:rPr>
      </w:pPr>
      <w:r>
        <w:rPr>
          <w:rFonts w:ascii="Arial Narrow" w:eastAsia="Calibri" w:hAnsi="Arial Narrow" w:cs="Arial Narrow"/>
          <w:b/>
          <w:bCs/>
          <w:i/>
          <w:color w:val="303030"/>
          <w:shd w:val="clear" w:color="auto" w:fill="FFFFFF"/>
          <w:lang w:eastAsia="en-US"/>
        </w:rPr>
        <w:t>Second session, 24 – 28 October 2016</w:t>
      </w:r>
    </w:p>
    <w:p w:rsidR="00EB6820" w:rsidRDefault="00E1244C">
      <w:pPr>
        <w:shd w:val="clear" w:color="auto" w:fill="FFFFFF"/>
        <w:jc w:val="cente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 xml:space="preserve"> </w:t>
      </w:r>
    </w:p>
    <w:p w:rsidR="00EB6820" w:rsidRDefault="00E1244C">
      <w:pPr>
        <w:jc w:val="center"/>
        <w:rPr>
          <w:rFonts w:ascii="Arial Narrow" w:hAnsi="Arial Narrow" w:cs="Arial Narrow"/>
          <w:b/>
          <w:u w:val="single"/>
        </w:rPr>
      </w:pPr>
      <w:r>
        <w:rPr>
          <w:rFonts w:ascii="Arial Narrow" w:hAnsi="Arial Narrow" w:cs="Arial Narrow"/>
          <w:b/>
          <w:u w:val="single"/>
        </w:rPr>
        <w:t>FORM for NGOs and other relevant stakeholders submitting a written contribution</w:t>
      </w:r>
    </w:p>
    <w:p w:rsidR="00EB6820" w:rsidRDefault="00EB6820">
      <w:pPr>
        <w:rPr>
          <w:rFonts w:ascii="Arial Narrow" w:hAnsi="Arial Narrow" w:cs="Arial Narrow"/>
          <w:b/>
          <w:sz w:val="22"/>
          <w:szCs w:val="22"/>
          <w:u w:val="single"/>
        </w:rPr>
      </w:pPr>
    </w:p>
    <w:p w:rsidR="00EB6820" w:rsidRDefault="00E1244C">
      <w:pPr>
        <w:rPr>
          <w:rFonts w:ascii="Arial Narrow" w:hAnsi="Arial Narrow" w:cs="Arial Narrow"/>
          <w:sz w:val="22"/>
          <w:szCs w:val="22"/>
        </w:rPr>
      </w:pPr>
      <w:r>
        <w:rPr>
          <w:rFonts w:ascii="Arial Narrow" w:hAnsi="Arial Narrow" w:cs="Arial Narrow"/>
          <w:sz w:val="22"/>
          <w:szCs w:val="22"/>
        </w:rPr>
        <w:t>Please note that the written contribution is formatted and issued, unedited, in the language(s) received from the submitting organization (it should be submitted in one of the official UN languages).</w:t>
      </w:r>
    </w:p>
    <w:p w:rsidR="00EB6820" w:rsidRDefault="00E1244C">
      <w:pPr>
        <w:spacing w:before="120" w:after="120"/>
        <w:jc w:val="both"/>
        <w:rPr>
          <w:rFonts w:ascii="Arial Narrow" w:hAnsi="Arial Narrow" w:cs="Arial Narrow"/>
          <w:sz w:val="22"/>
          <w:szCs w:val="22"/>
        </w:rPr>
      </w:pPr>
      <w:r>
        <w:rPr>
          <w:rFonts w:ascii="Arial Narrow" w:hAnsi="Arial Narrow" w:cs="Arial Narrow"/>
          <w:sz w:val="22"/>
          <w:szCs w:val="22"/>
        </w:rPr>
        <w:t>In order for your contribution to be published on the OE</w:t>
      </w:r>
      <w:r>
        <w:rPr>
          <w:rFonts w:ascii="Arial Narrow" w:hAnsi="Arial Narrow" w:cs="Arial Narrow"/>
          <w:sz w:val="22"/>
          <w:szCs w:val="22"/>
        </w:rPr>
        <w:t xml:space="preserve">IWG web page prior to the session, the deadline for submission is 30 September 2016. All submissions are final. </w:t>
      </w:r>
    </w:p>
    <w:p w:rsidR="00EB6820" w:rsidRDefault="00E1244C">
      <w:r>
        <w:rPr>
          <w:rFonts w:ascii="Arial Narrow" w:hAnsi="Arial Narrow" w:cs="Arial Narrow"/>
          <w:sz w:val="22"/>
          <w:szCs w:val="22"/>
        </w:rPr>
        <w:t xml:space="preserve">Please fill out </w:t>
      </w:r>
      <w:r>
        <w:rPr>
          <w:rFonts w:ascii="Arial Narrow" w:hAnsi="Arial Narrow" w:cs="Arial Narrow"/>
          <w:b/>
          <w:sz w:val="22"/>
          <w:szCs w:val="22"/>
        </w:rPr>
        <w:t>this</w:t>
      </w:r>
      <w:r>
        <w:rPr>
          <w:rFonts w:ascii="Arial Narrow" w:hAnsi="Arial Narrow" w:cs="Arial Narrow"/>
          <w:sz w:val="22"/>
          <w:szCs w:val="22"/>
        </w:rPr>
        <w:t xml:space="preserve"> FORM and CHECKLIST to submit your written contribution and send it to the address indicated below. Your information goes a</w:t>
      </w:r>
      <w:r>
        <w:rPr>
          <w:rFonts w:ascii="Arial Narrow" w:hAnsi="Arial Narrow" w:cs="Arial Narrow"/>
          <w:sz w:val="22"/>
          <w:szCs w:val="22"/>
        </w:rPr>
        <w:t>fter each arrow.</w:t>
      </w:r>
    </w:p>
    <w:p w:rsidR="00EB6820" w:rsidRDefault="00EB6820">
      <w:pPr>
        <w:rPr>
          <w:rFonts w:ascii="Arial Narrow" w:hAnsi="Arial Narrow" w:cs="Arial Narrow"/>
          <w:sz w:val="22"/>
          <w:szCs w:val="22"/>
        </w:rPr>
      </w:pPr>
    </w:p>
    <w:p w:rsidR="00EB6820" w:rsidRDefault="00E1244C">
      <w:pPr>
        <w:spacing w:line="220" w:lineRule="atLeast"/>
        <w:ind w:left="480"/>
      </w:pPr>
      <w:r>
        <w:rPr>
          <w:rFonts w:ascii="Arial Narrow" w:hAnsi="Arial Narrow" w:cs="Arial Narrow"/>
          <w:b/>
          <w:sz w:val="22"/>
          <w:szCs w:val="22"/>
        </w:rPr>
        <w:t>1.</w:t>
      </w:r>
      <w:r>
        <w:rPr>
          <w:rFonts w:ascii="Arial Narrow" w:hAnsi="Arial Narrow" w:cs="Arial Narrow"/>
          <w:sz w:val="22"/>
          <w:szCs w:val="22"/>
        </w:rPr>
        <w:tab/>
        <w:t xml:space="preserve">Please indicate the contact information for the representative submitting the written contribution (i.e. name, mobile, email) here: </w:t>
      </w:r>
      <w:r>
        <w:rPr>
          <w:rFonts w:ascii="Arial Narrow" w:hAnsi="Arial Narrow" w:cs="Arial Narrow"/>
          <w:noProof/>
          <w:sz w:val="22"/>
          <w:szCs w:val="22"/>
          <w:lang w:val="fr-FR" w:eastAsia="fr-FR"/>
        </w:rPr>
        <w:drawing>
          <wp:inline distT="0" distB="0" distL="0" distR="0">
            <wp:extent cx="158750" cy="16700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print"/>
                    <a:stretch>
                      <a:fillRect/>
                    </a:stretch>
                  </pic:blipFill>
                  <pic:spPr bwMode="auto">
                    <a:xfrm>
                      <a:off x="0" y="0"/>
                      <a:ext cx="158750" cy="167005"/>
                    </a:xfrm>
                    <a:prstGeom prst="rect">
                      <a:avLst/>
                    </a:prstGeom>
                  </pic:spPr>
                </pic:pic>
              </a:graphicData>
            </a:graphic>
          </wp:inline>
        </w:drawing>
      </w:r>
      <w:r>
        <w:rPr>
          <w:rFonts w:ascii="Arial Narrow" w:hAnsi="Arial Narrow" w:cs="Arial Narrow"/>
          <w:sz w:val="22"/>
          <w:szCs w:val="22"/>
        </w:rPr>
        <w:t xml:space="preserve"> </w:t>
      </w:r>
      <w:proofErr w:type="spellStart"/>
      <w:r>
        <w:rPr>
          <w:rFonts w:ascii="Arial Narrow" w:hAnsi="Arial Narrow" w:cs="Arial Narrow"/>
          <w:b/>
          <w:sz w:val="22"/>
          <w:szCs w:val="22"/>
        </w:rPr>
        <w:t>Melik</w:t>
      </w:r>
      <w:proofErr w:type="spellEnd"/>
      <w:r>
        <w:rPr>
          <w:rFonts w:ascii="Arial Narrow" w:hAnsi="Arial Narrow" w:cs="Arial Narrow"/>
          <w:b/>
          <w:sz w:val="22"/>
          <w:szCs w:val="22"/>
        </w:rPr>
        <w:t xml:space="preserve"> ÖZDEN (0797288058, </w:t>
      </w:r>
      <w:hyperlink r:id="rId8">
        <w:r>
          <w:rPr>
            <w:rStyle w:val="LienInternet"/>
            <w:rFonts w:ascii="Arial Narrow" w:hAnsi="Arial Narrow" w:cs="Arial Narrow"/>
            <w:b/>
            <w:sz w:val="22"/>
            <w:szCs w:val="22"/>
          </w:rPr>
          <w:t>contact@cetim.ch</w:t>
        </w:r>
      </w:hyperlink>
      <w:r>
        <w:rPr>
          <w:rFonts w:ascii="Arial Narrow" w:hAnsi="Arial Narrow" w:cs="Arial Narrow"/>
          <w:b/>
          <w:sz w:val="22"/>
          <w:szCs w:val="22"/>
        </w:rPr>
        <w:t xml:space="preserve">), Gonzalo </w:t>
      </w:r>
      <w:proofErr w:type="spellStart"/>
      <w:r>
        <w:rPr>
          <w:rFonts w:ascii="Arial Narrow" w:hAnsi="Arial Narrow" w:cs="Arial Narrow"/>
          <w:b/>
          <w:sz w:val="22"/>
          <w:szCs w:val="22"/>
        </w:rPr>
        <w:t>Berron</w:t>
      </w:r>
      <w:proofErr w:type="spellEnd"/>
      <w:r>
        <w:rPr>
          <w:rFonts w:ascii="Arial Narrow" w:hAnsi="Arial Narrow" w:cs="Arial Narrow"/>
          <w:b/>
          <w:sz w:val="22"/>
          <w:szCs w:val="22"/>
        </w:rPr>
        <w:t xml:space="preserve"> (</w:t>
      </w:r>
      <w:r>
        <w:rPr>
          <w:rFonts w:ascii="Arial Narrow" w:hAnsi="Arial Narrow" w:cs="Arial Narrow"/>
          <w:b/>
          <w:sz w:val="22"/>
          <w:szCs w:val="22"/>
        </w:rPr>
        <w:t>+55 11 964262381, gonzalo.berron@tni.org)</w:t>
      </w:r>
      <w:r>
        <w:rPr>
          <w:rFonts w:ascii="Arial Narrow" w:hAnsi="Arial Narrow" w:cs="Arial Narrow"/>
          <w:sz w:val="22"/>
          <w:szCs w:val="22"/>
        </w:rPr>
        <w:t>;</w:t>
      </w:r>
    </w:p>
    <w:p w:rsidR="00EB6820" w:rsidRDefault="00EB6820">
      <w:pPr>
        <w:spacing w:line="220" w:lineRule="atLeast"/>
        <w:rPr>
          <w:rFonts w:ascii="Arial Narrow" w:hAnsi="Arial Narrow" w:cs="Arial Narrow"/>
          <w:b/>
          <w:sz w:val="18"/>
          <w:szCs w:val="18"/>
        </w:rPr>
      </w:pPr>
    </w:p>
    <w:p w:rsidR="00EB6820" w:rsidRDefault="00E1244C">
      <w:pPr>
        <w:spacing w:line="220" w:lineRule="atLeast"/>
        <w:ind w:left="480"/>
        <w:rPr>
          <w:rFonts w:ascii="Arial Narrow" w:hAnsi="Arial Narrow" w:cs="Arial Narrow"/>
          <w:sz w:val="22"/>
          <w:szCs w:val="22"/>
        </w:rPr>
      </w:pPr>
      <w:r>
        <w:rPr>
          <w:rFonts w:ascii="Arial Narrow" w:hAnsi="Arial Narrow" w:cs="Arial Narrow"/>
          <w:b/>
          <w:sz w:val="22"/>
          <w:szCs w:val="22"/>
        </w:rPr>
        <w:t>2. (</w:t>
      </w:r>
      <w:proofErr w:type="gramStart"/>
      <w:r>
        <w:rPr>
          <w:rFonts w:ascii="Arial Narrow" w:hAnsi="Arial Narrow" w:cs="Arial Narrow"/>
          <w:b/>
          <w:sz w:val="22"/>
          <w:szCs w:val="22"/>
        </w:rPr>
        <w:t>a</w:t>
      </w:r>
      <w:proofErr w:type="gramEnd"/>
      <w:r>
        <w:rPr>
          <w:rFonts w:ascii="Arial Narrow" w:hAnsi="Arial Narrow" w:cs="Arial Narrow"/>
          <w:b/>
          <w:sz w:val="22"/>
          <w:szCs w:val="22"/>
        </w:rPr>
        <w:t>)</w:t>
      </w:r>
      <w:r>
        <w:rPr>
          <w:rFonts w:ascii="Arial Narrow" w:hAnsi="Arial Narrow" w:cs="Arial Narrow"/>
          <w:sz w:val="22"/>
          <w:szCs w:val="22"/>
        </w:rPr>
        <w:t xml:space="preserve">  If this is an individual contribution, please indicate here your organization's name (kindly state in brackets whether your organization has ECOSOC consultative status (i.e. General, Special, or Roster). </w:t>
      </w:r>
      <w:r>
        <w:rPr>
          <w:rFonts w:ascii="Arial Narrow" w:hAnsi="Arial Narrow" w:cs="Arial Narrow"/>
          <w:noProof/>
          <w:sz w:val="22"/>
          <w:szCs w:val="22"/>
          <w:lang w:val="fr-FR" w:eastAsia="fr-FR"/>
        </w:rPr>
        <w:drawing>
          <wp:inline distT="0" distB="0" distL="0" distR="0">
            <wp:extent cx="158750" cy="16700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cstate="print"/>
                    <a:stretch>
                      <a:fillRect/>
                    </a:stretch>
                  </pic:blipFill>
                  <pic:spPr bwMode="auto">
                    <a:xfrm>
                      <a:off x="0" y="0"/>
                      <a:ext cx="158750" cy="167005"/>
                    </a:xfrm>
                    <a:prstGeom prst="rect">
                      <a:avLst/>
                    </a:prstGeom>
                  </pic:spPr>
                </pic:pic>
              </a:graphicData>
            </a:graphic>
          </wp:inline>
        </w:drawing>
      </w:r>
    </w:p>
    <w:p w:rsidR="00EB6820" w:rsidRDefault="00E1244C">
      <w:pPr>
        <w:spacing w:line="220" w:lineRule="atLeast"/>
        <w:rPr>
          <w:rFonts w:ascii="Arial Narrow" w:hAnsi="Arial Narrow" w:cs="Arial Narrow"/>
          <w:sz w:val="22"/>
          <w:szCs w:val="22"/>
        </w:rPr>
      </w:pPr>
      <w:proofErr w:type="gramStart"/>
      <w:r>
        <w:rPr>
          <w:rFonts w:ascii="Arial Narrow" w:hAnsi="Arial Narrow" w:cs="Arial Narrow"/>
          <w:sz w:val="22"/>
          <w:szCs w:val="22"/>
        </w:rPr>
        <w:t>or</w:t>
      </w:r>
      <w:proofErr w:type="gramEnd"/>
      <w:r>
        <w:rPr>
          <w:rFonts w:ascii="Arial Narrow" w:hAnsi="Arial Narrow" w:cs="Arial Narrow"/>
          <w:sz w:val="22"/>
          <w:szCs w:val="22"/>
        </w:rPr>
        <w:t>,</w:t>
      </w:r>
    </w:p>
    <w:p w:rsidR="00EB6820" w:rsidRDefault="00E1244C">
      <w:pPr>
        <w:spacing w:line="220" w:lineRule="atLeast"/>
        <w:ind w:left="480"/>
      </w:pPr>
      <w:r>
        <w:rPr>
          <w:rFonts w:ascii="Arial Narrow" w:hAnsi="Arial Narrow" w:cs="Arial Narrow"/>
          <w:b/>
          <w:sz w:val="22"/>
          <w:szCs w:val="22"/>
        </w:rPr>
        <w:t>2. (</w:t>
      </w:r>
      <w:proofErr w:type="gramStart"/>
      <w:r>
        <w:rPr>
          <w:rFonts w:ascii="Arial Narrow" w:hAnsi="Arial Narrow" w:cs="Arial Narrow"/>
          <w:b/>
          <w:sz w:val="22"/>
          <w:szCs w:val="22"/>
        </w:rPr>
        <w:t>b</w:t>
      </w:r>
      <w:proofErr w:type="gramEnd"/>
      <w:r>
        <w:rPr>
          <w:rFonts w:ascii="Arial Narrow" w:hAnsi="Arial Narrow" w:cs="Arial Narrow"/>
          <w:b/>
          <w:sz w:val="22"/>
          <w:szCs w:val="22"/>
        </w:rPr>
        <w:t xml:space="preserve">)  </w:t>
      </w:r>
      <w:r>
        <w:rPr>
          <w:rFonts w:ascii="Arial Narrow" w:hAnsi="Arial Narrow" w:cs="Arial Narrow"/>
          <w:sz w:val="22"/>
          <w:szCs w:val="22"/>
        </w:rPr>
        <w:t xml:space="preserve">If this is a joint contribution including ECOSOC NGO(s), list here the co-sponsoring ECOSOC NGO(s) as they appear in the ECOSOC database and their status (in brackets): Group all General NGOs first, group the Special second, group the Roster </w:t>
      </w:r>
      <w:r>
        <w:rPr>
          <w:rFonts w:ascii="Arial Narrow" w:hAnsi="Arial Narrow" w:cs="Arial Narrow"/>
          <w:sz w:val="22"/>
          <w:szCs w:val="22"/>
        </w:rPr>
        <w:t>third</w:t>
      </w:r>
      <w:r>
        <w:rPr>
          <w:rFonts w:ascii="Arial Narrow" w:hAnsi="Arial Narrow" w:cs="Arial Narrow"/>
          <w:b/>
          <w:sz w:val="22"/>
          <w:szCs w:val="22"/>
        </w:rPr>
        <w:t xml:space="preserve">. </w:t>
      </w:r>
      <w:r>
        <w:rPr>
          <w:rFonts w:ascii="Arial Narrow" w:hAnsi="Arial Narrow" w:cs="Arial Narrow"/>
          <w:b/>
          <w:noProof/>
          <w:sz w:val="22"/>
          <w:szCs w:val="22"/>
          <w:lang w:val="fr-FR" w:eastAsia="fr-FR"/>
        </w:rPr>
        <w:drawing>
          <wp:inline distT="0" distB="0" distL="0" distR="0">
            <wp:extent cx="158750" cy="167005"/>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cstate="print"/>
                    <a:stretch>
                      <a:fillRect/>
                    </a:stretch>
                  </pic:blipFill>
                  <pic:spPr bwMode="auto">
                    <a:xfrm>
                      <a:off x="0" y="0"/>
                      <a:ext cx="158750" cy="167005"/>
                    </a:xfrm>
                    <a:prstGeom prst="rect">
                      <a:avLst/>
                    </a:prstGeom>
                  </pic:spPr>
                </pic:pic>
              </a:graphicData>
            </a:graphic>
          </wp:inline>
        </w:drawing>
      </w:r>
      <w:r>
        <w:rPr>
          <w:rFonts w:ascii="Arial Narrow" w:hAnsi="Arial Narrow" w:cs="Arial Narrow"/>
          <w:sz w:val="22"/>
          <w:szCs w:val="22"/>
        </w:rPr>
        <w:t xml:space="preserve"> </w:t>
      </w:r>
      <w:r>
        <w:rPr>
          <w:rFonts w:ascii="Arial Narrow" w:hAnsi="Arial Narrow" w:cs="Arial Narrow"/>
          <w:b/>
          <w:sz w:val="22"/>
          <w:szCs w:val="22"/>
        </w:rPr>
        <w:t xml:space="preserve">Centre Europe - Tiers </w:t>
      </w:r>
      <w:proofErr w:type="spellStart"/>
      <w:r>
        <w:rPr>
          <w:rFonts w:ascii="Arial Narrow" w:hAnsi="Arial Narrow" w:cs="Arial Narrow"/>
          <w:b/>
          <w:sz w:val="22"/>
          <w:szCs w:val="22"/>
        </w:rPr>
        <w:t>Monde</w:t>
      </w:r>
      <w:proofErr w:type="spellEnd"/>
      <w:r>
        <w:rPr>
          <w:rFonts w:ascii="Arial Narrow" w:hAnsi="Arial Narrow" w:cs="Arial Narrow"/>
          <w:b/>
          <w:sz w:val="22"/>
          <w:szCs w:val="22"/>
        </w:rPr>
        <w:t xml:space="preserve"> (CETIM), organisation non </w:t>
      </w:r>
      <w:proofErr w:type="spellStart"/>
      <w:r>
        <w:rPr>
          <w:rFonts w:ascii="Arial Narrow" w:hAnsi="Arial Narrow" w:cs="Arial Narrow"/>
          <w:b/>
          <w:sz w:val="22"/>
          <w:szCs w:val="22"/>
        </w:rPr>
        <w:t>gouvernementale</w:t>
      </w:r>
      <w:proofErr w:type="spellEnd"/>
      <w:r>
        <w:rPr>
          <w:rFonts w:ascii="Arial Narrow" w:hAnsi="Arial Narrow" w:cs="Arial Narrow"/>
          <w:b/>
          <w:sz w:val="22"/>
          <w:szCs w:val="22"/>
        </w:rPr>
        <w:t xml:space="preserve"> </w:t>
      </w:r>
      <w:proofErr w:type="spellStart"/>
      <w:r>
        <w:rPr>
          <w:rFonts w:ascii="Arial Narrow" w:hAnsi="Arial Narrow" w:cs="Arial Narrow"/>
          <w:b/>
          <w:sz w:val="22"/>
          <w:szCs w:val="22"/>
        </w:rPr>
        <w:t>dotée</w:t>
      </w:r>
      <w:proofErr w:type="spellEnd"/>
      <w:r>
        <w:rPr>
          <w:rFonts w:ascii="Arial Narrow" w:hAnsi="Arial Narrow" w:cs="Arial Narrow"/>
          <w:b/>
          <w:sz w:val="22"/>
          <w:szCs w:val="22"/>
        </w:rPr>
        <w:t xml:space="preserve"> du </w:t>
      </w:r>
      <w:proofErr w:type="spellStart"/>
      <w:r>
        <w:rPr>
          <w:rFonts w:ascii="Arial Narrow" w:hAnsi="Arial Narrow" w:cs="Arial Narrow"/>
          <w:b/>
          <w:sz w:val="22"/>
          <w:szCs w:val="22"/>
        </w:rPr>
        <w:t>statut</w:t>
      </w:r>
      <w:proofErr w:type="spellEnd"/>
      <w:r>
        <w:rPr>
          <w:rFonts w:ascii="Arial Narrow" w:hAnsi="Arial Narrow" w:cs="Arial Narrow"/>
          <w:b/>
          <w:sz w:val="22"/>
          <w:szCs w:val="22"/>
        </w:rPr>
        <w:t xml:space="preserve"> </w:t>
      </w:r>
      <w:proofErr w:type="spellStart"/>
      <w:r>
        <w:rPr>
          <w:rFonts w:ascii="Arial Narrow" w:hAnsi="Arial Narrow" w:cs="Arial Narrow"/>
          <w:b/>
          <w:sz w:val="22"/>
          <w:szCs w:val="22"/>
        </w:rPr>
        <w:t>consultatif</w:t>
      </w:r>
      <w:proofErr w:type="spellEnd"/>
      <w:r>
        <w:rPr>
          <w:rFonts w:ascii="Arial Narrow" w:hAnsi="Arial Narrow" w:cs="Arial Narrow"/>
          <w:b/>
          <w:sz w:val="22"/>
          <w:szCs w:val="22"/>
        </w:rPr>
        <w:t xml:space="preserve"> general, Institute for Policy Studies/Transnational Institute, organisation non </w:t>
      </w:r>
      <w:proofErr w:type="spellStart"/>
      <w:r>
        <w:rPr>
          <w:rFonts w:ascii="Arial Narrow" w:hAnsi="Arial Narrow" w:cs="Arial Narrow"/>
          <w:b/>
          <w:sz w:val="22"/>
          <w:szCs w:val="22"/>
        </w:rPr>
        <w:t>gouvernementale</w:t>
      </w:r>
      <w:proofErr w:type="spellEnd"/>
      <w:r>
        <w:rPr>
          <w:rFonts w:ascii="Arial Narrow" w:hAnsi="Arial Narrow" w:cs="Arial Narrow"/>
          <w:b/>
          <w:sz w:val="22"/>
          <w:szCs w:val="22"/>
        </w:rPr>
        <w:t xml:space="preserve"> </w:t>
      </w:r>
      <w:proofErr w:type="spellStart"/>
      <w:r>
        <w:rPr>
          <w:rFonts w:ascii="Arial Narrow" w:hAnsi="Arial Narrow" w:cs="Arial Narrow"/>
          <w:b/>
          <w:sz w:val="22"/>
          <w:szCs w:val="22"/>
        </w:rPr>
        <w:t>dotée</w:t>
      </w:r>
      <w:proofErr w:type="spellEnd"/>
      <w:r>
        <w:rPr>
          <w:rFonts w:ascii="Arial Narrow" w:hAnsi="Arial Narrow" w:cs="Arial Narrow"/>
          <w:b/>
          <w:sz w:val="22"/>
          <w:szCs w:val="22"/>
        </w:rPr>
        <w:t xml:space="preserve"> du </w:t>
      </w:r>
      <w:proofErr w:type="spellStart"/>
      <w:r>
        <w:rPr>
          <w:rFonts w:ascii="Arial Narrow" w:hAnsi="Arial Narrow" w:cs="Arial Narrow"/>
          <w:b/>
          <w:sz w:val="22"/>
          <w:szCs w:val="22"/>
        </w:rPr>
        <w:t>statut</w:t>
      </w:r>
      <w:proofErr w:type="spellEnd"/>
      <w:r>
        <w:rPr>
          <w:rFonts w:ascii="Arial Narrow" w:hAnsi="Arial Narrow" w:cs="Arial Narrow"/>
          <w:b/>
          <w:sz w:val="22"/>
          <w:szCs w:val="22"/>
        </w:rPr>
        <w:t xml:space="preserve"> </w:t>
      </w:r>
      <w:proofErr w:type="spellStart"/>
      <w:r>
        <w:rPr>
          <w:rFonts w:ascii="Arial Narrow" w:hAnsi="Arial Narrow" w:cs="Arial Narrow"/>
          <w:b/>
          <w:sz w:val="22"/>
          <w:szCs w:val="22"/>
        </w:rPr>
        <w:t>consultatif</w:t>
      </w:r>
      <w:proofErr w:type="spellEnd"/>
      <w:r>
        <w:rPr>
          <w:rFonts w:ascii="Arial Narrow" w:hAnsi="Arial Narrow" w:cs="Arial Narrow"/>
          <w:b/>
          <w:sz w:val="22"/>
          <w:szCs w:val="22"/>
        </w:rPr>
        <w:t xml:space="preserve"> </w:t>
      </w:r>
      <w:proofErr w:type="spellStart"/>
      <w:r>
        <w:rPr>
          <w:rFonts w:ascii="Arial Narrow" w:hAnsi="Arial Narrow" w:cs="Arial Narrow"/>
          <w:b/>
          <w:sz w:val="22"/>
          <w:szCs w:val="22"/>
        </w:rPr>
        <w:t>spécial</w:t>
      </w:r>
      <w:proofErr w:type="spellEnd"/>
    </w:p>
    <w:p w:rsidR="00EB6820" w:rsidRDefault="00EB6820">
      <w:pPr>
        <w:spacing w:line="220" w:lineRule="atLeast"/>
        <w:ind w:left="480"/>
        <w:rPr>
          <w:rFonts w:ascii="Arial Narrow" w:hAnsi="Arial Narrow" w:cs="Arial Narrow"/>
          <w:sz w:val="22"/>
          <w:szCs w:val="22"/>
        </w:rPr>
      </w:pPr>
    </w:p>
    <w:p w:rsidR="00EB6820" w:rsidRDefault="00E1244C">
      <w:pPr>
        <w:spacing w:line="220" w:lineRule="atLeast"/>
        <w:ind w:left="480"/>
        <w:rPr>
          <w:rFonts w:ascii="Arial Narrow" w:hAnsi="Arial Narrow" w:cs="Arial Narrow"/>
          <w:sz w:val="18"/>
          <w:szCs w:val="18"/>
        </w:rPr>
      </w:pPr>
      <w:r>
        <w:rPr>
          <w:rFonts w:ascii="Arial Narrow" w:hAnsi="Arial Narrow" w:cs="Arial Narrow"/>
          <w:b/>
          <w:sz w:val="22"/>
          <w:szCs w:val="22"/>
        </w:rPr>
        <w:t>3.</w:t>
      </w:r>
      <w:r>
        <w:rPr>
          <w:rFonts w:ascii="Arial Narrow" w:hAnsi="Arial Narrow" w:cs="Arial Narrow"/>
          <w:sz w:val="22"/>
          <w:szCs w:val="22"/>
        </w:rPr>
        <w:tab/>
        <w:t>Indicate here</w:t>
      </w:r>
      <w:r>
        <w:rPr>
          <w:rFonts w:ascii="Arial Narrow" w:hAnsi="Arial Narrow" w:cs="Arial Narrow"/>
          <w:sz w:val="22"/>
          <w:szCs w:val="22"/>
        </w:rPr>
        <w:t xml:space="preserve"> any non-ECOSOC NGO(s) supporting the joint contribution (they will appear as a footnote to the title – unless it is a joint contribution from non-ECOSOC stakeholders only): </w:t>
      </w:r>
      <w:r>
        <w:rPr>
          <w:rFonts w:ascii="Arial Narrow" w:hAnsi="Arial Narrow" w:cs="Arial Narrow"/>
          <w:noProof/>
          <w:sz w:val="22"/>
          <w:szCs w:val="22"/>
          <w:lang w:val="fr-FR" w:eastAsia="fr-FR"/>
        </w:rPr>
        <w:drawing>
          <wp:inline distT="0" distB="0" distL="0" distR="0">
            <wp:extent cx="158750" cy="167005"/>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7" cstate="print"/>
                    <a:stretch>
                      <a:fillRect/>
                    </a:stretch>
                  </pic:blipFill>
                  <pic:spPr bwMode="auto">
                    <a:xfrm>
                      <a:off x="0" y="0"/>
                      <a:ext cx="158750" cy="167005"/>
                    </a:xfrm>
                    <a:prstGeom prst="rect">
                      <a:avLst/>
                    </a:prstGeom>
                  </pic:spPr>
                </pic:pic>
              </a:graphicData>
            </a:graphic>
          </wp:inline>
        </w:drawing>
      </w:r>
    </w:p>
    <w:p w:rsidR="00EB6820" w:rsidRDefault="00EB6820">
      <w:pPr>
        <w:spacing w:line="220" w:lineRule="atLeast"/>
        <w:ind w:left="480"/>
        <w:rPr>
          <w:rFonts w:ascii="Arial Narrow" w:hAnsi="Arial Narrow" w:cs="Arial Narrow"/>
          <w:sz w:val="18"/>
          <w:szCs w:val="18"/>
        </w:rPr>
      </w:pPr>
    </w:p>
    <w:p w:rsidR="00EB6820" w:rsidRDefault="00E1244C">
      <w:pPr>
        <w:spacing w:line="220" w:lineRule="atLeast"/>
        <w:ind w:left="480"/>
      </w:pPr>
      <w:r>
        <w:rPr>
          <w:rFonts w:ascii="Arial Narrow" w:hAnsi="Arial Narrow" w:cs="Arial Narrow"/>
          <w:b/>
          <w:sz w:val="22"/>
          <w:szCs w:val="22"/>
        </w:rPr>
        <w:t>4.</w:t>
      </w:r>
      <w:r>
        <w:rPr>
          <w:rFonts w:ascii="Arial Narrow" w:hAnsi="Arial Narrow" w:cs="Arial Narrow"/>
          <w:sz w:val="22"/>
          <w:szCs w:val="22"/>
        </w:rPr>
        <w:tab/>
        <w:t>Indicate the TITLE for the written contribution (in original language) here:</w:t>
      </w:r>
      <w:r>
        <w:rPr>
          <w:rFonts w:ascii="Arial Narrow" w:hAnsi="Arial Narrow" w:cs="Arial Narrow"/>
          <w:sz w:val="22"/>
          <w:szCs w:val="22"/>
        </w:rPr>
        <w:t xml:space="preserve"> </w:t>
      </w:r>
      <w:r>
        <w:rPr>
          <w:rFonts w:ascii="Arial Narrow" w:hAnsi="Arial Narrow" w:cs="Arial Narrow"/>
          <w:noProof/>
          <w:sz w:val="22"/>
          <w:szCs w:val="22"/>
          <w:lang w:val="fr-FR" w:eastAsia="fr-FR"/>
        </w:rPr>
        <w:drawing>
          <wp:inline distT="0" distB="0" distL="0" distR="0">
            <wp:extent cx="158750" cy="167005"/>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7" cstate="print"/>
                    <a:stretch>
                      <a:fillRect/>
                    </a:stretch>
                  </pic:blipFill>
                  <pic:spPr bwMode="auto">
                    <a:xfrm>
                      <a:off x="0" y="0"/>
                      <a:ext cx="158750" cy="167005"/>
                    </a:xfrm>
                    <a:prstGeom prst="rect">
                      <a:avLst/>
                    </a:prstGeom>
                  </pic:spPr>
                </pic:pic>
              </a:graphicData>
            </a:graphic>
          </wp:inline>
        </w:drawing>
      </w:r>
      <w:r>
        <w:rPr>
          <w:rFonts w:ascii="Arial Narrow" w:hAnsi="Arial Narrow" w:cs="Arial Narrow"/>
          <w:sz w:val="22"/>
          <w:szCs w:val="22"/>
        </w:rPr>
        <w:t xml:space="preserve"> </w:t>
      </w:r>
      <w:proofErr w:type="spellStart"/>
      <w:r>
        <w:rPr>
          <w:rFonts w:ascii="Arial Narrow" w:hAnsi="Arial Narrow" w:cs="Arial Narrow"/>
          <w:b/>
          <w:sz w:val="22"/>
          <w:szCs w:val="22"/>
        </w:rPr>
        <w:t>Thème</w:t>
      </w:r>
      <w:proofErr w:type="spellEnd"/>
      <w:r>
        <w:rPr>
          <w:rFonts w:ascii="Arial Narrow" w:hAnsi="Arial Narrow" w:cs="Arial Narrow"/>
          <w:b/>
          <w:sz w:val="22"/>
          <w:szCs w:val="22"/>
        </w:rPr>
        <w:t xml:space="preserve"> 5.a</w:t>
      </w:r>
      <w:proofErr w:type="gramStart"/>
      <w:r>
        <w:rPr>
          <w:rFonts w:ascii="Arial Narrow" w:hAnsi="Arial Narrow" w:cs="Arial Narrow"/>
          <w:b/>
          <w:sz w:val="22"/>
          <w:szCs w:val="22"/>
        </w:rPr>
        <w:t>) :</w:t>
      </w:r>
      <w:proofErr w:type="gramEnd"/>
      <w:r>
        <w:rPr>
          <w:rFonts w:ascii="Arial Narrow" w:hAnsi="Arial Narrow" w:cs="Arial Narrow"/>
          <w:b/>
          <w:sz w:val="22"/>
          <w:szCs w:val="22"/>
        </w:rPr>
        <w:t xml:space="preserve"> Obligations des Institutions </w:t>
      </w:r>
      <w:proofErr w:type="spellStart"/>
      <w:r>
        <w:rPr>
          <w:rFonts w:ascii="Arial Narrow" w:hAnsi="Arial Narrow" w:cs="Arial Narrow"/>
          <w:b/>
          <w:sz w:val="22"/>
          <w:szCs w:val="22"/>
        </w:rPr>
        <w:t>Financières</w:t>
      </w:r>
      <w:proofErr w:type="spellEnd"/>
      <w:r>
        <w:rPr>
          <w:rFonts w:ascii="Arial Narrow" w:hAnsi="Arial Narrow" w:cs="Arial Narrow"/>
          <w:b/>
          <w:sz w:val="22"/>
          <w:szCs w:val="22"/>
        </w:rPr>
        <w:t xml:space="preserve"> </w:t>
      </w:r>
      <w:proofErr w:type="spellStart"/>
      <w:r>
        <w:rPr>
          <w:rFonts w:ascii="Arial Narrow" w:hAnsi="Arial Narrow" w:cs="Arial Narrow"/>
          <w:b/>
          <w:sz w:val="22"/>
          <w:szCs w:val="22"/>
        </w:rPr>
        <w:t>Internationales</w:t>
      </w:r>
      <w:proofErr w:type="spellEnd"/>
      <w:r>
        <w:rPr>
          <w:rFonts w:ascii="Arial Narrow" w:hAnsi="Arial Narrow" w:cs="Arial Narrow"/>
          <w:b/>
          <w:sz w:val="22"/>
          <w:szCs w:val="22"/>
        </w:rPr>
        <w:t xml:space="preserve"> (IFI), des </w:t>
      </w:r>
      <w:proofErr w:type="spellStart"/>
      <w:r>
        <w:rPr>
          <w:rFonts w:ascii="Arial Narrow" w:hAnsi="Arial Narrow" w:cs="Arial Narrow"/>
          <w:b/>
          <w:sz w:val="22"/>
          <w:szCs w:val="22"/>
        </w:rPr>
        <w:t>banques</w:t>
      </w:r>
      <w:proofErr w:type="spellEnd"/>
      <w:r>
        <w:rPr>
          <w:rFonts w:ascii="Arial Narrow" w:hAnsi="Arial Narrow" w:cs="Arial Narrow"/>
          <w:b/>
          <w:sz w:val="22"/>
          <w:szCs w:val="22"/>
        </w:rPr>
        <w:t xml:space="preserve"> </w:t>
      </w:r>
      <w:proofErr w:type="spellStart"/>
      <w:r>
        <w:rPr>
          <w:rFonts w:ascii="Arial Narrow" w:hAnsi="Arial Narrow" w:cs="Arial Narrow"/>
          <w:b/>
          <w:sz w:val="22"/>
          <w:szCs w:val="22"/>
        </w:rPr>
        <w:t>régionales</w:t>
      </w:r>
      <w:proofErr w:type="spellEnd"/>
      <w:r>
        <w:rPr>
          <w:rFonts w:ascii="Arial Narrow" w:hAnsi="Arial Narrow" w:cs="Arial Narrow"/>
          <w:b/>
          <w:sz w:val="22"/>
          <w:szCs w:val="22"/>
        </w:rPr>
        <w:t xml:space="preserve"> et des </w:t>
      </w:r>
      <w:proofErr w:type="spellStart"/>
      <w:r>
        <w:rPr>
          <w:rFonts w:ascii="Arial Narrow" w:hAnsi="Arial Narrow" w:cs="Arial Narrow"/>
          <w:b/>
          <w:sz w:val="22"/>
          <w:szCs w:val="22"/>
        </w:rPr>
        <w:t>autres</w:t>
      </w:r>
      <w:proofErr w:type="spellEnd"/>
      <w:r>
        <w:rPr>
          <w:rFonts w:ascii="Arial Narrow" w:hAnsi="Arial Narrow" w:cs="Arial Narrow"/>
          <w:b/>
          <w:sz w:val="22"/>
          <w:szCs w:val="22"/>
        </w:rPr>
        <w:t xml:space="preserve"> instruments financiers</w:t>
      </w:r>
    </w:p>
    <w:p w:rsidR="00EB6820" w:rsidRDefault="00EB6820">
      <w:pPr>
        <w:ind w:left="360"/>
        <w:rPr>
          <w:rFonts w:ascii="Arial Narrow" w:hAnsi="Arial Narrow" w:cs="Arial Narrow"/>
          <w:sz w:val="22"/>
          <w:szCs w:val="22"/>
        </w:rPr>
      </w:pPr>
    </w:p>
    <w:p w:rsidR="00EB6820" w:rsidRDefault="00E1244C">
      <w:pPr>
        <w:rPr>
          <w:rFonts w:ascii="Arial Narrow" w:hAnsi="Arial Narrow" w:cs="Arial Narrow"/>
          <w:b/>
          <w:sz w:val="22"/>
          <w:szCs w:val="22"/>
          <w:u w:val="single"/>
        </w:rPr>
      </w:pPr>
      <w:r>
        <w:rPr>
          <w:rFonts w:ascii="Arial Narrow" w:hAnsi="Arial Narrow" w:cs="Arial Narrow"/>
          <w:b/>
          <w:sz w:val="22"/>
          <w:szCs w:val="22"/>
          <w:u w:val="single"/>
        </w:rPr>
        <w:t xml:space="preserve">Please make sure that:  </w:t>
      </w:r>
    </w:p>
    <w:p w:rsidR="00EB6820" w:rsidRDefault="00EB6820">
      <w:pPr>
        <w:rPr>
          <w:rFonts w:ascii="Arial Narrow" w:hAnsi="Arial Narrow" w:cs="Arial Narrow"/>
          <w:b/>
          <w:sz w:val="22"/>
          <w:szCs w:val="22"/>
          <w:u w:val="single"/>
        </w:rPr>
      </w:pPr>
    </w:p>
    <w:p w:rsidR="00EB6820" w:rsidRDefault="00E1244C">
      <w:pPr>
        <w:numPr>
          <w:ilvl w:val="0"/>
          <w:numId w:val="2"/>
        </w:numPr>
        <w:rPr>
          <w:rFonts w:ascii="Arial Narrow" w:hAnsi="Arial Narrow" w:cs="Arial Narrow"/>
          <w:sz w:val="22"/>
          <w:szCs w:val="22"/>
        </w:rPr>
      </w:pPr>
      <w:r>
        <w:rPr>
          <w:rFonts w:ascii="Arial Narrow" w:hAnsi="Arial Narrow" w:cs="Arial Narrow"/>
          <w:sz w:val="22"/>
          <w:szCs w:val="22"/>
        </w:rPr>
        <w:t xml:space="preserve">The written contribution is in MS WORD document format (Font Times New Roman 10; no bold; no underline; no italics). </w:t>
      </w:r>
    </w:p>
    <w:p w:rsidR="00EB6820" w:rsidRDefault="00EB6820">
      <w:pPr>
        <w:rPr>
          <w:rFonts w:ascii="Arial Narrow" w:hAnsi="Arial Narrow" w:cs="Arial Narrow"/>
          <w:sz w:val="22"/>
          <w:szCs w:val="22"/>
        </w:rPr>
      </w:pPr>
    </w:p>
    <w:p w:rsidR="00EB6820" w:rsidRDefault="00E1244C">
      <w:pPr>
        <w:numPr>
          <w:ilvl w:val="0"/>
          <w:numId w:val="1"/>
        </w:numPr>
      </w:pPr>
      <w:r>
        <w:rPr>
          <w:rFonts w:ascii="Arial Narrow" w:hAnsi="Arial Narrow" w:cs="Arial Narrow"/>
          <w:sz w:val="22"/>
          <w:szCs w:val="22"/>
        </w:rPr>
        <w:t>Please use the Spell/grammar check on your text</w:t>
      </w:r>
      <w:r>
        <w:rPr>
          <w:rFonts w:ascii="Arial Narrow" w:hAnsi="Arial Narrow" w:cs="Arial Narrow"/>
          <w:spacing w:val="-12"/>
          <w:sz w:val="22"/>
          <w:szCs w:val="22"/>
        </w:rPr>
        <w:t>. (Go to Tools, Spelling &amp; Grammar)</w:t>
      </w:r>
    </w:p>
    <w:p w:rsidR="00EB6820" w:rsidRDefault="00EB6820">
      <w:pPr>
        <w:rPr>
          <w:rFonts w:ascii="Arial Narrow" w:hAnsi="Arial Narrow" w:cs="Arial Narrow"/>
          <w:sz w:val="22"/>
          <w:szCs w:val="22"/>
        </w:rPr>
      </w:pPr>
    </w:p>
    <w:p w:rsidR="00EB6820" w:rsidRDefault="00E1244C">
      <w:pPr>
        <w:numPr>
          <w:ilvl w:val="0"/>
          <w:numId w:val="1"/>
        </w:numPr>
      </w:pPr>
      <w:r>
        <w:rPr>
          <w:rFonts w:ascii="Arial Narrow" w:hAnsi="Arial Narrow" w:cs="Arial Narrow"/>
          <w:sz w:val="22"/>
          <w:szCs w:val="22"/>
        </w:rPr>
        <w:t xml:space="preserve">Different language versions of one statement should be sent in the same email, but using </w:t>
      </w:r>
      <w:r>
        <w:rPr>
          <w:rFonts w:ascii="Arial Narrow" w:hAnsi="Arial Narrow" w:cs="Arial Narrow"/>
          <w:b/>
          <w:sz w:val="22"/>
          <w:szCs w:val="22"/>
          <w:u w:val="single"/>
        </w:rPr>
        <w:t>a separate form</w:t>
      </w:r>
      <w:r>
        <w:rPr>
          <w:rFonts w:ascii="Arial Narrow" w:hAnsi="Arial Narrow" w:cs="Arial Narrow"/>
          <w:sz w:val="22"/>
          <w:szCs w:val="22"/>
        </w:rPr>
        <w:t xml:space="preserve"> for each.</w:t>
      </w:r>
    </w:p>
    <w:p w:rsidR="00EB6820" w:rsidRDefault="00EB6820">
      <w:pPr>
        <w:rPr>
          <w:rFonts w:ascii="Arial Narrow" w:hAnsi="Arial Narrow" w:cs="Arial Narrow"/>
          <w:sz w:val="22"/>
          <w:szCs w:val="22"/>
        </w:rPr>
      </w:pPr>
    </w:p>
    <w:p w:rsidR="00EB6820" w:rsidRDefault="00E1244C">
      <w:pPr>
        <w:numPr>
          <w:ilvl w:val="0"/>
          <w:numId w:val="1"/>
        </w:numPr>
      </w:pPr>
      <w:r>
        <w:rPr>
          <w:rFonts w:ascii="Arial Narrow" w:hAnsi="Arial Narrow" w:cs="Arial Narrow"/>
          <w:sz w:val="22"/>
          <w:szCs w:val="22"/>
        </w:rPr>
        <w:t xml:space="preserve">Email the document to: </w:t>
      </w:r>
      <w:hyperlink r:id="rId9">
        <w:r>
          <w:rPr>
            <w:rStyle w:val="LienInternet"/>
            <w:rFonts w:ascii="Arial Narrow" w:hAnsi="Arial Narrow" w:cs="Arial Narrow"/>
            <w:sz w:val="22"/>
            <w:szCs w:val="22"/>
            <w:highlight w:val="white"/>
          </w:rPr>
          <w:t>igwg-tncs@ohchr.org</w:t>
        </w:r>
      </w:hyperlink>
    </w:p>
    <w:p w:rsidR="00EB6820" w:rsidRDefault="00EB6820">
      <w:pPr>
        <w:rPr>
          <w:rFonts w:ascii="Arial Narrow" w:hAnsi="Arial Narrow" w:cs="Arial Narrow"/>
          <w:b/>
          <w:sz w:val="22"/>
          <w:szCs w:val="22"/>
        </w:rPr>
      </w:pPr>
    </w:p>
    <w:p w:rsidR="00EB6820" w:rsidRDefault="00E1244C">
      <w:pPr>
        <w:jc w:val="center"/>
        <w:rPr>
          <w:rFonts w:ascii="Arial Narrow" w:hAnsi="Arial Narrow" w:cs="Arial Narrow"/>
          <w:b/>
          <w:u w:val="single"/>
        </w:rPr>
      </w:pPr>
      <w:r>
        <w:rPr>
          <w:rFonts w:ascii="Arial Narrow" w:hAnsi="Arial Narrow" w:cs="Arial Narrow"/>
          <w:b/>
          <w:u w:val="single"/>
        </w:rPr>
        <w:t>PLEASE PASTE THE FINAL TEXT BELOW</w:t>
      </w:r>
      <w:r>
        <w:rPr>
          <w:rFonts w:ascii="Arial Narrow" w:hAnsi="Arial Narrow" w:cs="Arial Narrow"/>
        </w:rPr>
        <w:t>:</w:t>
      </w:r>
      <w:r>
        <w:rPr>
          <w:rFonts w:ascii="Arial Narrow" w:hAnsi="Arial Narrow" w:cs="Arial Narrow"/>
          <w:noProof/>
          <w:lang w:val="fr-FR" w:eastAsia="fr-FR"/>
        </w:rPr>
        <w:drawing>
          <wp:inline distT="0" distB="0" distL="0" distR="0">
            <wp:extent cx="269875" cy="275590"/>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0" cstate="print"/>
                    <a:stretch>
                      <a:fillRect/>
                    </a:stretch>
                  </pic:blipFill>
                  <pic:spPr bwMode="auto">
                    <a:xfrm>
                      <a:off x="0" y="0"/>
                      <a:ext cx="269875" cy="275590"/>
                    </a:xfrm>
                    <a:prstGeom prst="rect">
                      <a:avLst/>
                    </a:prstGeom>
                  </pic:spPr>
                </pic:pic>
              </a:graphicData>
            </a:graphic>
          </wp:inline>
        </w:drawing>
      </w:r>
    </w:p>
    <w:p w:rsidR="00EB6820" w:rsidRDefault="00EB6820">
      <w:pPr>
        <w:rPr>
          <w:rFonts w:ascii="Arial Narrow" w:hAnsi="Arial Narrow" w:cs="Arial Narrow"/>
          <w:b/>
          <w:u w:val="single"/>
        </w:rPr>
      </w:pPr>
    </w:p>
    <w:p w:rsidR="00EB6820" w:rsidRDefault="00E1244C">
      <w:pPr>
        <w:pStyle w:val="BodyText"/>
        <w:spacing w:after="0" w:line="240" w:lineRule="auto"/>
        <w:jc w:val="center"/>
        <w:rPr>
          <w:sz w:val="20"/>
          <w:szCs w:val="20"/>
          <w:lang w:val="fr-FR"/>
        </w:rPr>
      </w:pPr>
      <w:r>
        <w:rPr>
          <w:sz w:val="20"/>
          <w:szCs w:val="20"/>
          <w:lang w:val="fr-FR"/>
        </w:rPr>
        <w:lastRenderedPageBreak/>
        <w:t>À l’occasion de</w:t>
      </w:r>
      <w:r>
        <w:rPr>
          <w:sz w:val="20"/>
          <w:szCs w:val="20"/>
          <w:lang w:val="fr-FR"/>
        </w:rPr>
        <w:t xml:space="preserve"> la 2e session du Groupe de travail intergouvernemental sur les sociétés transnationales et autres entreprises qui se tient à Genève entre les 24 et 28 octobre 2016, la Campagne mondiale pour la souveraineté des peuples, démanteler le pouvoir des transnati</w:t>
      </w:r>
      <w:r>
        <w:rPr>
          <w:sz w:val="20"/>
          <w:szCs w:val="20"/>
          <w:lang w:val="fr-FR"/>
        </w:rPr>
        <w:t>onales et mettre fin à l'impunité (Campagne mondiale) a facilité l’élaboration de déclarations écrites sur six points choisis. Par ce texte, la Campagne mondiale contribue aux travaux du Groupe de travail chargé d'élaborer un « instrument international jur</w:t>
      </w:r>
      <w:r>
        <w:rPr>
          <w:sz w:val="20"/>
          <w:szCs w:val="20"/>
          <w:lang w:val="fr-FR"/>
        </w:rPr>
        <w:t>idiquement contraignant pour réglementer les activités des sociétés transnationales et autres entreprises ». Dans leur diversité, ces apports ont pour but de démontrer qu’un tel instrument juridiquement contraignant est essentiel pour les deux dimensions d</w:t>
      </w:r>
      <w:r>
        <w:rPr>
          <w:sz w:val="20"/>
          <w:szCs w:val="20"/>
          <w:lang w:val="fr-FR"/>
        </w:rPr>
        <w:t>u travail de la Campagne : mettre fin à l’impunité des STN et s’attaquer au pouvoir systémique des transnationales qui a engendré des impacts sans précédents sur la vie quotidienne des communautés affectées.</w:t>
      </w:r>
    </w:p>
    <w:p w:rsidR="00EB6820" w:rsidRDefault="00EB6820">
      <w:pPr>
        <w:pStyle w:val="BodyText"/>
        <w:spacing w:after="0" w:line="240" w:lineRule="auto"/>
        <w:jc w:val="both"/>
        <w:rPr>
          <w:sz w:val="20"/>
          <w:szCs w:val="20"/>
          <w:lang w:val="fr-FR" w:eastAsia="es-ES"/>
        </w:rPr>
      </w:pPr>
    </w:p>
    <w:p w:rsidR="00EB6820" w:rsidRDefault="00E1244C">
      <w:pPr>
        <w:pStyle w:val="BodyText"/>
        <w:spacing w:after="0" w:line="240" w:lineRule="auto"/>
        <w:jc w:val="both"/>
        <w:rPr>
          <w:sz w:val="20"/>
          <w:szCs w:val="20"/>
          <w:lang w:val="fr-FR" w:eastAsia="es-ES"/>
        </w:rPr>
      </w:pPr>
      <w:r>
        <w:rPr>
          <w:sz w:val="20"/>
          <w:szCs w:val="20"/>
          <w:lang w:val="fr-FR" w:eastAsia="es-ES"/>
        </w:rPr>
        <w:t>Les Institutions financières internationales (I</w:t>
      </w:r>
      <w:r>
        <w:rPr>
          <w:sz w:val="20"/>
          <w:szCs w:val="20"/>
          <w:lang w:val="fr-FR" w:eastAsia="es-ES"/>
        </w:rPr>
        <w:t>FI)</w:t>
      </w:r>
    </w:p>
    <w:p w:rsidR="00EB6820" w:rsidRDefault="00E1244C">
      <w:pPr>
        <w:pStyle w:val="BodyText"/>
        <w:spacing w:after="0" w:line="240" w:lineRule="auto"/>
        <w:jc w:val="both"/>
      </w:pPr>
      <w:r>
        <w:rPr>
          <w:sz w:val="20"/>
          <w:szCs w:val="20"/>
          <w:lang w:val="fr-FR" w:eastAsia="es-ES"/>
        </w:rPr>
        <w:t>Le futur instrument international juridiquement contraignant devrait inclure des dispositions sur les obligations des Institutions financières internationales (IFI) ainsi que les instruments qui leur sont liés, et sur le fonctionnement du système de co</w:t>
      </w:r>
      <w:r>
        <w:rPr>
          <w:sz w:val="20"/>
          <w:szCs w:val="20"/>
          <w:lang w:val="fr-FR" w:eastAsia="es-ES"/>
        </w:rPr>
        <w:t xml:space="preserve">mmerce et d’investissement. </w:t>
      </w:r>
    </w:p>
    <w:p w:rsidR="00EB6820" w:rsidRDefault="00EB6820">
      <w:pPr>
        <w:pStyle w:val="BodyText"/>
        <w:spacing w:after="0" w:line="240" w:lineRule="auto"/>
        <w:jc w:val="both"/>
        <w:rPr>
          <w:sz w:val="20"/>
          <w:szCs w:val="20"/>
          <w:lang w:val="fr-FR" w:eastAsia="es-ES"/>
        </w:rPr>
      </w:pPr>
    </w:p>
    <w:p w:rsidR="00EB6820" w:rsidRDefault="00E1244C">
      <w:pPr>
        <w:pStyle w:val="BodyText"/>
        <w:spacing w:after="0" w:line="240" w:lineRule="auto"/>
        <w:jc w:val="both"/>
        <w:rPr>
          <w:sz w:val="20"/>
          <w:szCs w:val="20"/>
          <w:lang w:val="fr-FR" w:eastAsia="es-ES"/>
        </w:rPr>
      </w:pPr>
      <w:r>
        <w:rPr>
          <w:sz w:val="20"/>
          <w:szCs w:val="20"/>
          <w:lang w:val="fr-FR" w:eastAsia="es-ES"/>
        </w:rPr>
        <w:t>Les politiques économiques imposées par le Fond monétaire international (FMI), la Banque mondiale (BM), les banques régionales et d’autres institutions financières (agences de crédit à l’exportation,…) font partie de l’archite</w:t>
      </w:r>
      <w:r>
        <w:rPr>
          <w:sz w:val="20"/>
          <w:szCs w:val="20"/>
          <w:lang w:val="fr-FR" w:eastAsia="es-ES"/>
        </w:rPr>
        <w:t>cture de l’impunité des sociétés transnationales (STN). Elles doivent donc aussi être tenues responsables de violations des droits humains. Les conditions exigées par les IFI des pays du Sud, à travers les programmes d’ajustement structurel (PAS), et les i</w:t>
      </w:r>
      <w:r>
        <w:rPr>
          <w:sz w:val="20"/>
          <w:szCs w:val="20"/>
          <w:lang w:val="fr-FR" w:eastAsia="es-ES"/>
        </w:rPr>
        <w:t>mpératifs de libéralisation par le biais des accords de libre-échange de tous ordres, opèrent comme des mécanismes qui obligent les États à ouvrir leur pays et leur économie aux STN.</w:t>
      </w:r>
    </w:p>
    <w:p w:rsidR="00EB6820" w:rsidRDefault="00EB6820">
      <w:pPr>
        <w:pStyle w:val="BodyText"/>
        <w:spacing w:after="0" w:line="240" w:lineRule="auto"/>
        <w:jc w:val="both"/>
        <w:rPr>
          <w:sz w:val="20"/>
          <w:szCs w:val="20"/>
        </w:rPr>
      </w:pPr>
    </w:p>
    <w:p w:rsidR="00EB6820" w:rsidRDefault="00E1244C">
      <w:pPr>
        <w:pStyle w:val="BodyText"/>
        <w:spacing w:after="0" w:line="240" w:lineRule="auto"/>
        <w:jc w:val="both"/>
      </w:pPr>
      <w:r>
        <w:rPr>
          <w:sz w:val="20"/>
          <w:szCs w:val="20"/>
          <w:lang w:val="fr-FR" w:eastAsia="es-ES"/>
        </w:rPr>
        <w:t>Les organisations multilatérales, en particulier la BM, le FMI ou l’Orga</w:t>
      </w:r>
      <w:r>
        <w:rPr>
          <w:sz w:val="20"/>
          <w:szCs w:val="20"/>
          <w:lang w:val="fr-FR" w:eastAsia="es-ES"/>
        </w:rPr>
        <w:t>nisation mondiale du commerce (OMC), en tant que sujets du droit international, sont non seulement tenues de respecter les règles qui découlent de leurs statuts ou des accords internationaux auxquels ces institutions sont parties, mais aussi toutes les nor</w:t>
      </w:r>
      <w:r>
        <w:rPr>
          <w:sz w:val="20"/>
          <w:szCs w:val="20"/>
          <w:lang w:val="fr-FR" w:eastAsia="es-ES"/>
        </w:rPr>
        <w:t>mes et règles pertinentes du droit international en général</w:t>
      </w:r>
      <w:r>
        <w:rPr>
          <w:rStyle w:val="Ancredenotedebasdepage"/>
          <w:sz w:val="20"/>
          <w:szCs w:val="20"/>
          <w:lang w:val="fr-FR" w:eastAsia="es-ES"/>
        </w:rPr>
        <w:footnoteReference w:id="1"/>
      </w:r>
      <w:r>
        <w:rPr>
          <w:sz w:val="20"/>
          <w:szCs w:val="20"/>
          <w:lang w:val="fr-FR" w:eastAsia="es-ES"/>
        </w:rPr>
        <w:t xml:space="preserve">. De plus, la BM et le FMI, en tant qu’agences spécialisées des Nations Unies, sont </w:t>
      </w:r>
      <w:proofErr w:type="gramStart"/>
      <w:r>
        <w:rPr>
          <w:sz w:val="20"/>
          <w:szCs w:val="20"/>
          <w:lang w:val="fr-FR" w:eastAsia="es-ES"/>
        </w:rPr>
        <w:t>liées</w:t>
      </w:r>
      <w:proofErr w:type="gramEnd"/>
      <w:r>
        <w:rPr>
          <w:sz w:val="20"/>
          <w:szCs w:val="20"/>
          <w:lang w:val="fr-FR" w:eastAsia="es-ES"/>
        </w:rPr>
        <w:t xml:space="preserve"> par les objectifs et les principes généraux de la Charte des Nations Unies, ce qui comprend le respect des</w:t>
      </w:r>
      <w:r>
        <w:rPr>
          <w:sz w:val="20"/>
          <w:szCs w:val="20"/>
          <w:lang w:val="fr-FR" w:eastAsia="es-ES"/>
        </w:rPr>
        <w:t xml:space="preserve"> droits humains et des libertés fondamentales</w:t>
      </w:r>
      <w:r>
        <w:rPr>
          <w:rStyle w:val="Ancredenotedebasdepage"/>
          <w:sz w:val="20"/>
          <w:szCs w:val="20"/>
          <w:lang w:val="fr-FR" w:eastAsia="es-ES"/>
        </w:rPr>
        <w:footnoteReference w:id="2"/>
      </w:r>
      <w:r>
        <w:rPr>
          <w:sz w:val="20"/>
          <w:szCs w:val="20"/>
          <w:lang w:val="fr-FR" w:eastAsia="es-ES"/>
        </w:rPr>
        <w:t>.</w:t>
      </w:r>
    </w:p>
    <w:p w:rsidR="00EB6820" w:rsidRDefault="00EB6820">
      <w:pPr>
        <w:pStyle w:val="BodyText"/>
        <w:spacing w:after="0" w:line="240" w:lineRule="auto"/>
        <w:jc w:val="both"/>
        <w:rPr>
          <w:sz w:val="20"/>
          <w:szCs w:val="20"/>
          <w:lang w:val="fr-FR" w:eastAsia="es-ES"/>
        </w:rPr>
      </w:pPr>
    </w:p>
    <w:p w:rsidR="00EB6820" w:rsidRDefault="00E1244C">
      <w:pPr>
        <w:pStyle w:val="BodyText"/>
        <w:spacing w:after="0" w:line="240" w:lineRule="auto"/>
        <w:jc w:val="both"/>
        <w:rPr>
          <w:sz w:val="20"/>
          <w:szCs w:val="20"/>
          <w:lang w:val="fr-FR" w:eastAsia="es-ES"/>
        </w:rPr>
      </w:pPr>
      <w:r>
        <w:rPr>
          <w:sz w:val="20"/>
          <w:szCs w:val="20"/>
          <w:lang w:val="fr-FR" w:eastAsia="es-ES"/>
        </w:rPr>
        <w:t>Le Fond monétaire international et la Banque mondiale</w:t>
      </w:r>
    </w:p>
    <w:p w:rsidR="00EB6820" w:rsidRDefault="00E1244C">
      <w:pPr>
        <w:pStyle w:val="BodyText"/>
        <w:spacing w:after="0" w:line="240" w:lineRule="auto"/>
        <w:jc w:val="both"/>
      </w:pPr>
      <w:r>
        <w:rPr>
          <w:sz w:val="20"/>
          <w:szCs w:val="20"/>
          <w:lang w:val="fr-FR" w:eastAsia="es-ES"/>
        </w:rPr>
        <w:t>Afin d’être efficace, le futur traité contraignant devrait dresser la liste des politiques des IFI qui violent les droits humains. En 72 ans, depuis leur</w:t>
      </w:r>
      <w:r>
        <w:rPr>
          <w:sz w:val="20"/>
          <w:szCs w:val="20"/>
          <w:lang w:val="fr-FR" w:eastAsia="es-ES"/>
        </w:rPr>
        <w:t xml:space="preserve"> création à </w:t>
      </w:r>
      <w:proofErr w:type="spellStart"/>
      <w:r>
        <w:rPr>
          <w:sz w:val="20"/>
          <w:szCs w:val="20"/>
          <w:lang w:val="fr-FR" w:eastAsia="es-ES"/>
        </w:rPr>
        <w:t>Bretton</w:t>
      </w:r>
      <w:proofErr w:type="spellEnd"/>
      <w:r>
        <w:rPr>
          <w:sz w:val="20"/>
          <w:szCs w:val="20"/>
          <w:lang w:val="fr-FR" w:eastAsia="es-ES"/>
        </w:rPr>
        <w:t xml:space="preserve"> </w:t>
      </w:r>
      <w:proofErr w:type="spellStart"/>
      <w:r>
        <w:rPr>
          <w:sz w:val="20"/>
          <w:szCs w:val="20"/>
          <w:lang w:val="fr-FR" w:eastAsia="es-ES"/>
        </w:rPr>
        <w:t>Woods</w:t>
      </w:r>
      <w:proofErr w:type="spellEnd"/>
      <w:r>
        <w:rPr>
          <w:sz w:val="20"/>
          <w:szCs w:val="20"/>
          <w:lang w:val="fr-FR" w:eastAsia="es-ES"/>
        </w:rPr>
        <w:t xml:space="preserve"> en 1944, la BM et le FMI n’ont jamais été tenus de rendre des comptes. Leur statut légal pourrait être qualifié de « zone sans droits humains », comme l’a remarqué l’expert onusien Philip </w:t>
      </w:r>
      <w:proofErr w:type="spellStart"/>
      <w:r>
        <w:rPr>
          <w:sz w:val="20"/>
          <w:szCs w:val="20"/>
          <w:lang w:val="fr-FR" w:eastAsia="es-ES"/>
        </w:rPr>
        <w:t>Alston</w:t>
      </w:r>
      <w:proofErr w:type="spellEnd"/>
      <w:r>
        <w:rPr>
          <w:rStyle w:val="Ancredenotedebasdepage"/>
          <w:sz w:val="20"/>
          <w:szCs w:val="20"/>
          <w:lang w:val="fr-FR" w:eastAsia="es-ES"/>
        </w:rPr>
        <w:footnoteReference w:id="3"/>
      </w:r>
      <w:r>
        <w:rPr>
          <w:sz w:val="20"/>
          <w:szCs w:val="20"/>
          <w:lang w:val="fr-FR" w:eastAsia="es-ES"/>
        </w:rPr>
        <w:t>.</w:t>
      </w:r>
    </w:p>
    <w:p w:rsidR="00EB6820" w:rsidRDefault="00EB6820">
      <w:pPr>
        <w:pStyle w:val="BodyText"/>
        <w:spacing w:after="0" w:line="240" w:lineRule="auto"/>
        <w:jc w:val="both"/>
        <w:rPr>
          <w:sz w:val="20"/>
          <w:szCs w:val="20"/>
          <w:lang w:val="fr-FR" w:eastAsia="es-ES"/>
        </w:rPr>
      </w:pPr>
    </w:p>
    <w:p w:rsidR="00EB6820" w:rsidRDefault="00E1244C">
      <w:pPr>
        <w:pStyle w:val="BodyText"/>
        <w:spacing w:after="0" w:line="240" w:lineRule="auto"/>
        <w:jc w:val="both"/>
        <w:rPr>
          <w:sz w:val="20"/>
          <w:szCs w:val="20"/>
          <w:lang w:val="fr-FR" w:eastAsia="es-ES"/>
        </w:rPr>
      </w:pPr>
      <w:r>
        <w:rPr>
          <w:sz w:val="20"/>
          <w:szCs w:val="20"/>
          <w:lang w:val="fr-FR" w:eastAsia="es-ES"/>
        </w:rPr>
        <w:t xml:space="preserve">La BM a adopté des « politiques </w:t>
      </w:r>
      <w:r>
        <w:rPr>
          <w:sz w:val="20"/>
          <w:szCs w:val="20"/>
          <w:lang w:val="fr-FR" w:eastAsia="es-ES"/>
        </w:rPr>
        <w:t>de sauvegarde » qui sont censées éviter ou limiter les impacts socio-environnementaux négatifs qui peuvent découler de ses projets. De plus, le système des crédits privés au sein de la BM, contrôlé par la Société financière internationale (SFI, institution</w:t>
      </w:r>
      <w:r>
        <w:rPr>
          <w:sz w:val="20"/>
          <w:szCs w:val="20"/>
          <w:lang w:val="fr-FR" w:eastAsia="es-ES"/>
        </w:rPr>
        <w:t xml:space="preserve"> membre du groupe de la BM), a pour fonction d’examiner un nombre de « règles sur les revenus » qui partagent les mêmes objectifs que celui de la protection des politiques d’investissement. Les conditions de la SFI sur les prêts privés et son recours à des</w:t>
      </w:r>
      <w:r>
        <w:rPr>
          <w:sz w:val="20"/>
          <w:szCs w:val="20"/>
          <w:lang w:val="fr-FR" w:eastAsia="es-ES"/>
        </w:rPr>
        <w:t xml:space="preserve"> intermédiaires financiers sont des sujets de préoccupation, tout comme celles sur les prêts publics de la Banque internationale pour la reconstruction et le développement (BIRD) et de l’Association pour le développement international (ADI). </w:t>
      </w:r>
    </w:p>
    <w:p w:rsidR="00EB6820" w:rsidRDefault="00EB6820">
      <w:pPr>
        <w:pStyle w:val="BodyText"/>
        <w:spacing w:after="0" w:line="240" w:lineRule="auto"/>
        <w:jc w:val="both"/>
        <w:rPr>
          <w:sz w:val="20"/>
          <w:szCs w:val="20"/>
          <w:lang w:val="fr-FR" w:eastAsia="es-ES"/>
        </w:rPr>
      </w:pPr>
    </w:p>
    <w:p w:rsidR="00EB6820" w:rsidRDefault="00E1244C">
      <w:pPr>
        <w:pStyle w:val="BodyText"/>
        <w:spacing w:after="0" w:line="240" w:lineRule="auto"/>
        <w:jc w:val="both"/>
      </w:pPr>
      <w:r>
        <w:rPr>
          <w:sz w:val="20"/>
          <w:szCs w:val="20"/>
          <w:lang w:val="fr-FR" w:eastAsia="es-ES"/>
        </w:rPr>
        <w:t>Malgré ces p</w:t>
      </w:r>
      <w:r>
        <w:rPr>
          <w:sz w:val="20"/>
          <w:szCs w:val="20"/>
          <w:lang w:val="fr-FR" w:eastAsia="es-ES"/>
        </w:rPr>
        <w:t xml:space="preserve">olitiques de sauvegarde, il a été prouvé que plusieurs projets financés par la BM et par d’autres organisations financières internationales ont conduit à de graves violations de droits humains (accaparement des terres, répression, meurtres et arrestations </w:t>
      </w:r>
      <w:r>
        <w:rPr>
          <w:sz w:val="20"/>
          <w:szCs w:val="20"/>
          <w:lang w:val="fr-FR" w:eastAsia="es-ES"/>
        </w:rPr>
        <w:t xml:space="preserve">arbitraires) dans le but de faire taire des mouvements de protestation. La Banque a admis elle-même en mars 2015 que « la surveillance de ces projets est souvent peu ou pas documenté, manque de suivi pour garantir que les mesures de protection </w:t>
      </w:r>
      <w:proofErr w:type="gramStart"/>
      <w:r>
        <w:rPr>
          <w:sz w:val="20"/>
          <w:szCs w:val="20"/>
          <w:lang w:val="fr-FR" w:eastAsia="es-ES"/>
        </w:rPr>
        <w:lastRenderedPageBreak/>
        <w:t>sont</w:t>
      </w:r>
      <w:proofErr w:type="gramEnd"/>
      <w:r>
        <w:rPr>
          <w:sz w:val="20"/>
          <w:szCs w:val="20"/>
          <w:lang w:val="fr-FR" w:eastAsia="es-ES"/>
        </w:rPr>
        <w:t xml:space="preserve"> appliqu</w:t>
      </w:r>
      <w:r>
        <w:rPr>
          <w:sz w:val="20"/>
          <w:szCs w:val="20"/>
          <w:lang w:val="fr-FR" w:eastAsia="es-ES"/>
        </w:rPr>
        <w:t>ées, et certains projets n’ont pas été suffisamment identifiés comme à haut-risque pour la vie des populations avoisinantes »</w:t>
      </w:r>
      <w:r>
        <w:rPr>
          <w:rStyle w:val="Ancredenotedebasdepage"/>
          <w:sz w:val="20"/>
          <w:szCs w:val="20"/>
          <w:lang w:val="fr-FR" w:eastAsia="es-ES"/>
        </w:rPr>
        <w:footnoteReference w:id="4"/>
      </w:r>
      <w:r>
        <w:rPr>
          <w:sz w:val="20"/>
          <w:szCs w:val="20"/>
          <w:lang w:val="fr-FR" w:eastAsia="es-ES"/>
        </w:rPr>
        <w:t>.</w:t>
      </w:r>
    </w:p>
    <w:p w:rsidR="00EB6820" w:rsidRDefault="00EB6820">
      <w:pPr>
        <w:pStyle w:val="BodyText"/>
        <w:spacing w:after="0" w:line="240" w:lineRule="auto"/>
        <w:jc w:val="both"/>
        <w:rPr>
          <w:sz w:val="20"/>
          <w:szCs w:val="20"/>
          <w:lang w:val="fr-FR" w:eastAsia="es-ES"/>
        </w:rPr>
      </w:pPr>
    </w:p>
    <w:p w:rsidR="00EB6820" w:rsidRDefault="00E1244C">
      <w:pPr>
        <w:pStyle w:val="BodyText"/>
        <w:spacing w:after="0" w:line="240" w:lineRule="auto"/>
        <w:jc w:val="both"/>
      </w:pPr>
      <w:r>
        <w:rPr>
          <w:sz w:val="20"/>
          <w:szCs w:val="20"/>
          <w:lang w:val="fr-FR" w:eastAsia="es-ES"/>
        </w:rPr>
        <w:t>Les justifications qui ont fondées le FMI prétendaient stabiliser le système financier international en régulant le flux de cap</w:t>
      </w:r>
      <w:r>
        <w:rPr>
          <w:sz w:val="20"/>
          <w:szCs w:val="20"/>
          <w:lang w:val="fr-FR" w:eastAsia="es-ES"/>
        </w:rPr>
        <w:t>itaux. En réalité, la politique opérationnelle du FMI contredit sa mission et son statut, en particulier l’article 1.2</w:t>
      </w:r>
      <w:r>
        <w:rPr>
          <w:rStyle w:val="Ancredenotedebasdepage"/>
          <w:sz w:val="20"/>
          <w:szCs w:val="20"/>
          <w:lang w:val="fr-FR" w:eastAsia="es-ES"/>
        </w:rPr>
        <w:footnoteReference w:id="5"/>
      </w:r>
      <w:r>
        <w:rPr>
          <w:sz w:val="20"/>
          <w:szCs w:val="20"/>
          <w:lang w:val="fr-FR" w:eastAsia="es-ES"/>
        </w:rPr>
        <w:t>. Le FMI, sous l’influence des États-Unis et d’autres pays du Nord, est devenu un acteur majeur dans le système économique (et politique)</w:t>
      </w:r>
      <w:r>
        <w:rPr>
          <w:sz w:val="20"/>
          <w:szCs w:val="20"/>
          <w:lang w:val="fr-FR" w:eastAsia="es-ES"/>
        </w:rPr>
        <w:t xml:space="preserve"> international. Un de ses principaux objectifs est de promouvoir le </w:t>
      </w:r>
      <w:proofErr w:type="spellStart"/>
      <w:r>
        <w:rPr>
          <w:sz w:val="20"/>
          <w:szCs w:val="20"/>
          <w:lang w:val="fr-FR" w:eastAsia="es-ES"/>
        </w:rPr>
        <w:t>le</w:t>
      </w:r>
      <w:proofErr w:type="spellEnd"/>
      <w:r>
        <w:rPr>
          <w:sz w:val="20"/>
          <w:szCs w:val="20"/>
          <w:lang w:val="fr-FR" w:eastAsia="es-ES"/>
        </w:rPr>
        <w:t xml:space="preserve"> régime du libre-échange et de l’investissement partout dans le monde, à travers ses Programmes d'ajustement structurel (PAS), accélérant la libéralisation des mouvements de capitaux et </w:t>
      </w:r>
      <w:r>
        <w:rPr>
          <w:sz w:val="20"/>
          <w:szCs w:val="20"/>
          <w:lang w:val="fr-FR" w:eastAsia="es-ES"/>
        </w:rPr>
        <w:t xml:space="preserve">promouvant les entreprises transnationales comme les acteurs principaux du système économique mondial néolibéral. </w:t>
      </w:r>
    </w:p>
    <w:p w:rsidR="00EB6820" w:rsidRDefault="00EB6820">
      <w:pPr>
        <w:pStyle w:val="BodyText"/>
        <w:spacing w:after="0" w:line="240" w:lineRule="auto"/>
        <w:jc w:val="both"/>
        <w:rPr>
          <w:sz w:val="20"/>
          <w:szCs w:val="20"/>
          <w:lang w:val="fr-FR" w:eastAsia="es-ES"/>
        </w:rPr>
      </w:pPr>
    </w:p>
    <w:p w:rsidR="00EB6820" w:rsidRDefault="00E1244C">
      <w:pPr>
        <w:pStyle w:val="BodyText"/>
        <w:spacing w:after="0" w:line="240" w:lineRule="auto"/>
        <w:jc w:val="both"/>
        <w:rPr>
          <w:sz w:val="20"/>
          <w:szCs w:val="20"/>
        </w:rPr>
      </w:pPr>
      <w:r>
        <w:rPr>
          <w:sz w:val="20"/>
          <w:szCs w:val="20"/>
          <w:lang w:val="fr-FR" w:eastAsia="es-ES"/>
        </w:rPr>
        <w:t>De plus, le fonctionnement du FMI n'</w:t>
      </w:r>
      <w:r>
        <w:rPr>
          <w:sz w:val="20"/>
          <w:szCs w:val="20"/>
          <w:lang w:val="fr-FR" w:eastAsia="es-ES"/>
        </w:rPr>
        <w:t>est pas démocratique. Tout pays qui rejoint le FMI doit payer une souscription correspondant à sa « quote-part », calculée selon le poids financier du pays. Cela explique pourquoi le conseil d’administration du FMI est en fait contrôlé par les États-Unis (</w:t>
      </w:r>
      <w:r>
        <w:rPr>
          <w:sz w:val="20"/>
          <w:szCs w:val="20"/>
          <w:lang w:val="fr-FR" w:eastAsia="es-ES"/>
        </w:rPr>
        <w:t xml:space="preserve">qui possèdent 16,75 % des droits de vote), suivi par le Japon, l’Allemagne, la France et le Royaume-Uni. </w:t>
      </w:r>
      <w:bookmarkStart w:id="0" w:name="tw-target-text"/>
      <w:bookmarkEnd w:id="0"/>
      <w:r>
        <w:rPr>
          <w:color w:val="212121"/>
          <w:sz w:val="20"/>
          <w:szCs w:val="20"/>
          <w:lang w:val="fr-FR" w:eastAsia="es-ES"/>
        </w:rPr>
        <w:t>En réalité, les pays de l'OCDE ont 63,09% des droits de vote au sein du FMI alors qu'ils représentent 45,6% du PIB mondial.</w:t>
      </w:r>
    </w:p>
    <w:p w:rsidR="00EB6820" w:rsidRDefault="00EB6820">
      <w:pPr>
        <w:pStyle w:val="BodyText"/>
        <w:spacing w:after="0" w:line="240" w:lineRule="auto"/>
        <w:jc w:val="both"/>
        <w:rPr>
          <w:sz w:val="20"/>
          <w:szCs w:val="20"/>
          <w:lang w:val="fr-FR" w:eastAsia="es-ES"/>
        </w:rPr>
      </w:pPr>
    </w:p>
    <w:p w:rsidR="00EB6820" w:rsidRDefault="00E1244C">
      <w:pPr>
        <w:pStyle w:val="BodyText"/>
        <w:spacing w:after="0" w:line="240" w:lineRule="auto"/>
        <w:jc w:val="both"/>
        <w:rPr>
          <w:sz w:val="20"/>
          <w:szCs w:val="20"/>
          <w:lang w:val="fr-FR" w:eastAsia="es-ES"/>
        </w:rPr>
      </w:pPr>
      <w:r>
        <w:rPr>
          <w:sz w:val="20"/>
          <w:szCs w:val="20"/>
          <w:lang w:val="fr-FR" w:eastAsia="es-ES"/>
        </w:rPr>
        <w:t>Propositions</w:t>
      </w:r>
    </w:p>
    <w:p w:rsidR="00EB6820" w:rsidRDefault="00E1244C">
      <w:pPr>
        <w:pStyle w:val="BodyText"/>
        <w:spacing w:after="0" w:line="240" w:lineRule="auto"/>
        <w:jc w:val="both"/>
      </w:pPr>
      <w:r>
        <w:rPr>
          <w:sz w:val="20"/>
          <w:szCs w:val="20"/>
          <w:lang w:val="fr-FR" w:eastAsia="es-ES"/>
        </w:rPr>
        <w:t>Le futur inst</w:t>
      </w:r>
      <w:r>
        <w:rPr>
          <w:sz w:val="20"/>
          <w:szCs w:val="20"/>
          <w:lang w:val="fr-FR" w:eastAsia="es-ES"/>
        </w:rPr>
        <w:t>rument contraignant sur les STN doit exiger des IFI qu’elles contribuent à l’application du traité en question et qu’elles évitent de prendre des mesures contraires aux objectifs et dispositions de cet instrument. Nos propositions sont les suivantes :</w:t>
      </w:r>
    </w:p>
    <w:p w:rsidR="00EB6820" w:rsidRDefault="00EB6820">
      <w:pPr>
        <w:pStyle w:val="BodyText"/>
        <w:spacing w:after="0" w:line="240" w:lineRule="auto"/>
        <w:jc w:val="both"/>
        <w:rPr>
          <w:sz w:val="20"/>
          <w:szCs w:val="20"/>
          <w:lang w:val="fr-FR" w:eastAsia="es-ES"/>
        </w:rPr>
      </w:pPr>
    </w:p>
    <w:p w:rsidR="00EB6820" w:rsidRDefault="00E1244C">
      <w:pPr>
        <w:pStyle w:val="BodyText"/>
        <w:spacing w:after="0" w:line="240" w:lineRule="auto"/>
        <w:jc w:val="both"/>
        <w:rPr>
          <w:sz w:val="20"/>
          <w:szCs w:val="20"/>
          <w:lang w:val="fr-FR" w:eastAsia="es-ES"/>
        </w:rPr>
      </w:pPr>
      <w:r>
        <w:rPr>
          <w:sz w:val="20"/>
          <w:szCs w:val="20"/>
          <w:lang w:val="fr-FR" w:eastAsia="es-ES"/>
        </w:rPr>
        <w:t xml:space="preserve">1) </w:t>
      </w:r>
      <w:r>
        <w:rPr>
          <w:sz w:val="20"/>
          <w:szCs w:val="20"/>
          <w:lang w:val="fr-FR" w:eastAsia="es-ES"/>
        </w:rPr>
        <w:t>Les IFI devraient s’abstenir de prendre toute mesure qui menace la capacité des États à remplir leurs obligations nationales et internationales relatives aux droits humains. De plus, elles ne devraient pas promouvoir de réglementations contraires au respec</w:t>
      </w:r>
      <w:r>
        <w:rPr>
          <w:sz w:val="20"/>
          <w:szCs w:val="20"/>
          <w:lang w:val="fr-FR" w:eastAsia="es-ES"/>
        </w:rPr>
        <w:t>t des droits humains et ne devraient plus imposer des conditions sur leurs prêts.</w:t>
      </w:r>
    </w:p>
    <w:p w:rsidR="00EB6820" w:rsidRDefault="00EB6820">
      <w:pPr>
        <w:pStyle w:val="BodyText"/>
        <w:spacing w:after="0" w:line="240" w:lineRule="auto"/>
        <w:jc w:val="both"/>
        <w:rPr>
          <w:sz w:val="20"/>
          <w:szCs w:val="20"/>
          <w:lang w:val="fr-FR" w:eastAsia="es-ES"/>
        </w:rPr>
      </w:pPr>
    </w:p>
    <w:p w:rsidR="00EB6820" w:rsidRDefault="00E1244C">
      <w:pPr>
        <w:pStyle w:val="BodyText"/>
        <w:spacing w:after="0" w:line="240" w:lineRule="auto"/>
        <w:jc w:val="both"/>
        <w:rPr>
          <w:sz w:val="20"/>
          <w:szCs w:val="20"/>
          <w:lang w:val="fr-FR" w:eastAsia="es-ES"/>
        </w:rPr>
      </w:pPr>
      <w:r>
        <w:rPr>
          <w:sz w:val="20"/>
          <w:szCs w:val="20"/>
          <w:lang w:val="fr-FR" w:eastAsia="es-ES"/>
        </w:rPr>
        <w:t>2) Ces organisations devraient être obligées de réaliser des bilans des projets qu’elles financent et des politiques qu’elles recommandent aux États. Ces évaluations devraie</w:t>
      </w:r>
      <w:r>
        <w:rPr>
          <w:sz w:val="20"/>
          <w:szCs w:val="20"/>
          <w:lang w:val="fr-FR" w:eastAsia="es-ES"/>
        </w:rPr>
        <w:t>nt faire clairement référence aux instruments internationaux en matière de droits humains. Elles devraient également avoir l'obligation de réparer les dommages causés par leurs politiques là où elles ont été mises en œuvre, et les États devraient être obli</w:t>
      </w:r>
      <w:r>
        <w:rPr>
          <w:sz w:val="20"/>
          <w:szCs w:val="20"/>
          <w:lang w:val="fr-FR" w:eastAsia="es-ES"/>
        </w:rPr>
        <w:t>gés d'y veiller.</w:t>
      </w:r>
    </w:p>
    <w:p w:rsidR="00EB6820" w:rsidRDefault="00EB6820">
      <w:pPr>
        <w:pStyle w:val="BodyText"/>
        <w:spacing w:after="0" w:line="240" w:lineRule="auto"/>
        <w:jc w:val="both"/>
        <w:rPr>
          <w:sz w:val="20"/>
          <w:szCs w:val="20"/>
          <w:lang w:val="fr-FR" w:eastAsia="es-ES"/>
        </w:rPr>
      </w:pPr>
    </w:p>
    <w:p w:rsidR="00EB6820" w:rsidRDefault="00E1244C">
      <w:pPr>
        <w:pStyle w:val="BodyText"/>
        <w:spacing w:after="0" w:line="240" w:lineRule="auto"/>
        <w:jc w:val="both"/>
        <w:rPr>
          <w:sz w:val="20"/>
          <w:szCs w:val="20"/>
          <w:lang w:val="fr-FR" w:eastAsia="es-ES"/>
        </w:rPr>
      </w:pPr>
      <w:r>
        <w:rPr>
          <w:sz w:val="20"/>
          <w:szCs w:val="20"/>
          <w:lang w:val="fr-FR" w:eastAsia="es-ES"/>
        </w:rPr>
        <w:t>3) La Banque mondiale devrait être obligée de s’abstenir de participer à l’extraction des énergies fossiles à travers les investissements de la Société financière internationale (SFI) dans des entreprises spécialisées dans ce domaine.</w:t>
      </w:r>
    </w:p>
    <w:p w:rsidR="00EB6820" w:rsidRDefault="00EB6820">
      <w:pPr>
        <w:pStyle w:val="BodyText"/>
        <w:spacing w:after="0" w:line="240" w:lineRule="auto"/>
        <w:jc w:val="both"/>
        <w:rPr>
          <w:sz w:val="20"/>
          <w:szCs w:val="20"/>
          <w:lang w:val="fr-FR" w:eastAsia="es-ES"/>
        </w:rPr>
      </w:pPr>
    </w:p>
    <w:p w:rsidR="00EB6820" w:rsidRDefault="00E1244C">
      <w:pPr>
        <w:pStyle w:val="BodyText"/>
        <w:spacing w:after="0" w:line="240" w:lineRule="auto"/>
        <w:jc w:val="both"/>
        <w:rPr>
          <w:sz w:val="20"/>
          <w:szCs w:val="20"/>
          <w:lang w:val="fr-FR" w:eastAsia="es-ES"/>
        </w:rPr>
      </w:pPr>
      <w:r>
        <w:rPr>
          <w:sz w:val="20"/>
          <w:szCs w:val="20"/>
          <w:lang w:val="fr-FR" w:eastAsia="es-ES"/>
        </w:rPr>
        <w:t>4)</w:t>
      </w:r>
      <w:r>
        <w:rPr>
          <w:sz w:val="20"/>
          <w:szCs w:val="20"/>
          <w:lang w:val="fr-FR" w:eastAsia="es-ES"/>
        </w:rPr>
        <w:t xml:space="preserve"> La SFI devrait être obligée de ne pas recourir à des intermédiaires financiers – banques commerciales, fonds d’investissements et </w:t>
      </w:r>
      <w:proofErr w:type="spellStart"/>
      <w:r>
        <w:rPr>
          <w:sz w:val="20"/>
          <w:szCs w:val="20"/>
          <w:lang w:val="fr-FR" w:eastAsia="es-ES"/>
        </w:rPr>
        <w:t>hedge</w:t>
      </w:r>
      <w:proofErr w:type="spellEnd"/>
      <w:r>
        <w:rPr>
          <w:sz w:val="20"/>
          <w:szCs w:val="20"/>
          <w:lang w:val="fr-FR" w:eastAsia="es-ES"/>
        </w:rPr>
        <w:t xml:space="preserve"> </w:t>
      </w:r>
      <w:proofErr w:type="spellStart"/>
      <w:r>
        <w:rPr>
          <w:sz w:val="20"/>
          <w:szCs w:val="20"/>
          <w:lang w:val="fr-FR" w:eastAsia="es-ES"/>
        </w:rPr>
        <w:t>funds</w:t>
      </w:r>
      <w:proofErr w:type="spellEnd"/>
      <w:r>
        <w:rPr>
          <w:sz w:val="20"/>
          <w:szCs w:val="20"/>
          <w:lang w:val="fr-FR" w:eastAsia="es-ES"/>
        </w:rPr>
        <w:t>. Les SFI devraient rejeter les demandes de prêt émises par des STN, ou par des entreprises qui font parties de le</w:t>
      </w:r>
      <w:r>
        <w:rPr>
          <w:sz w:val="20"/>
          <w:szCs w:val="20"/>
          <w:lang w:val="fr-FR" w:eastAsia="es-ES"/>
        </w:rPr>
        <w:t>ur chaîne de valeur, déjà impliquées dans des violations de droits humains.</w:t>
      </w:r>
    </w:p>
    <w:p w:rsidR="00EB6820" w:rsidRDefault="00EB6820">
      <w:pPr>
        <w:pStyle w:val="BodyText"/>
        <w:spacing w:after="0" w:line="240" w:lineRule="auto"/>
        <w:jc w:val="both"/>
        <w:rPr>
          <w:sz w:val="20"/>
          <w:szCs w:val="20"/>
          <w:lang w:val="fr-FR" w:eastAsia="es-ES"/>
        </w:rPr>
      </w:pPr>
    </w:p>
    <w:p w:rsidR="00EB6820" w:rsidRDefault="00E1244C">
      <w:pPr>
        <w:pStyle w:val="BodyText"/>
        <w:spacing w:after="0" w:line="240" w:lineRule="auto"/>
        <w:jc w:val="both"/>
        <w:rPr>
          <w:sz w:val="20"/>
          <w:szCs w:val="20"/>
          <w:lang w:val="fr-FR" w:eastAsia="es-ES"/>
        </w:rPr>
      </w:pPr>
      <w:r>
        <w:rPr>
          <w:sz w:val="20"/>
          <w:szCs w:val="20"/>
          <w:lang w:val="fr-FR" w:eastAsia="es-ES"/>
        </w:rPr>
        <w:t xml:space="preserve">5) Dans le cas de violations de droits humains par les IFI (à travers les conditions de prêt, ou les conséquences sociales et environnementales de leurs politiques et des projets </w:t>
      </w:r>
      <w:r>
        <w:rPr>
          <w:sz w:val="20"/>
          <w:szCs w:val="20"/>
          <w:lang w:val="fr-FR" w:eastAsia="es-ES"/>
        </w:rPr>
        <w:t>financés), le prêt controversé devrait être annulé sans conditions. Les IFI devraient refuser les demandes de prêt de la part d’États qui ont failli à leur obligation de réglementer les activités des STN afin de prévenir des violations de droits humains.</w:t>
      </w:r>
    </w:p>
    <w:p w:rsidR="00EB6820" w:rsidRDefault="00EB6820">
      <w:pPr>
        <w:pStyle w:val="BodyText"/>
        <w:spacing w:after="0" w:line="240" w:lineRule="auto"/>
        <w:jc w:val="both"/>
        <w:rPr>
          <w:sz w:val="20"/>
          <w:szCs w:val="20"/>
          <w:lang w:val="fr-FR" w:eastAsia="es-ES"/>
        </w:rPr>
      </w:pPr>
    </w:p>
    <w:p w:rsidR="00EB6820" w:rsidRDefault="00E1244C">
      <w:pPr>
        <w:pStyle w:val="BodyText"/>
        <w:spacing w:after="0" w:line="240" w:lineRule="auto"/>
        <w:jc w:val="both"/>
      </w:pPr>
      <w:r>
        <w:rPr>
          <w:sz w:val="20"/>
          <w:szCs w:val="20"/>
          <w:lang w:val="fr-FR" w:eastAsia="es-ES"/>
        </w:rPr>
        <w:lastRenderedPageBreak/>
        <w:t>6) Dans le cas de violations des droits humains commises par les IFI (à travers les conditions imposées), les Cours nationales devraient être compétentes pour juger ces entités et ces dernières devraient répondre de leurs actes et des impacts de leurs poli</w:t>
      </w:r>
      <w:r>
        <w:rPr>
          <w:sz w:val="20"/>
          <w:szCs w:val="20"/>
          <w:lang w:val="fr-FR" w:eastAsia="es-ES"/>
        </w:rPr>
        <w:t>tiques.</w:t>
      </w:r>
    </w:p>
    <w:sectPr w:rsidR="00EB6820" w:rsidSect="00EB6820">
      <w:pgSz w:w="11906" w:h="16838"/>
      <w:pgMar w:top="1440" w:right="1797" w:bottom="1440" w:left="1797"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820" w:rsidRDefault="00EB6820" w:rsidP="00EB6820">
      <w:r>
        <w:separator/>
      </w:r>
    </w:p>
  </w:endnote>
  <w:endnote w:type="continuationSeparator" w:id="0">
    <w:p w:rsidR="00EB6820" w:rsidRDefault="00EB6820" w:rsidP="00EB682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20B0604020202020204"/>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Ligh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820" w:rsidRDefault="00E1244C">
      <w:r>
        <w:separator/>
      </w:r>
    </w:p>
  </w:footnote>
  <w:footnote w:type="continuationSeparator" w:id="0">
    <w:p w:rsidR="00EB6820" w:rsidRDefault="00E1244C">
      <w:r>
        <w:continuationSeparator/>
      </w:r>
    </w:p>
  </w:footnote>
  <w:footnote w:id="1">
    <w:p w:rsidR="00EB6820" w:rsidRDefault="00E1244C">
      <w:r>
        <w:rPr>
          <w:rFonts w:eastAsia="Yu Mincho Light"/>
          <w:sz w:val="20"/>
          <w:szCs w:val="20"/>
          <w:lang w:val="fr-FR"/>
        </w:rPr>
        <w:footnoteRef/>
      </w:r>
      <w:r>
        <w:rPr>
          <w:rFonts w:eastAsia="Yu Mincho Light"/>
          <w:sz w:val="20"/>
          <w:szCs w:val="20"/>
          <w:lang w:val="fr-FR"/>
        </w:rPr>
        <w:tab/>
        <w:t xml:space="preserve">Cour </w:t>
      </w:r>
      <w:r>
        <w:rPr>
          <w:rFonts w:eastAsia="Yu Mincho Light"/>
          <w:sz w:val="20"/>
          <w:szCs w:val="20"/>
          <w:lang w:val="fr-FR"/>
        </w:rPr>
        <w:t>i</w:t>
      </w:r>
      <w:r>
        <w:rPr>
          <w:rFonts w:eastAsia="Yu Mincho Light"/>
          <w:sz w:val="20"/>
          <w:szCs w:val="20"/>
          <w:lang w:val="en-AU"/>
        </w:rPr>
        <w:t>n</w:t>
      </w:r>
      <w:proofErr w:type="spellStart"/>
      <w:r>
        <w:rPr>
          <w:rFonts w:eastAsia="Yu Mincho Light"/>
          <w:sz w:val="20"/>
          <w:szCs w:val="20"/>
          <w:lang w:val="fr-FR"/>
        </w:rPr>
        <w:t>ternationale</w:t>
      </w:r>
      <w:proofErr w:type="spellEnd"/>
      <w:r>
        <w:rPr>
          <w:rFonts w:eastAsia="Yu Mincho Light"/>
          <w:sz w:val="20"/>
          <w:szCs w:val="20"/>
          <w:lang w:val="fr-FR"/>
        </w:rPr>
        <w:t xml:space="preserve"> </w:t>
      </w:r>
      <w:r>
        <w:rPr>
          <w:rFonts w:eastAsia="Yu Mincho Light"/>
          <w:sz w:val="20"/>
          <w:szCs w:val="20"/>
          <w:lang w:val="fr-FR"/>
        </w:rPr>
        <w:t>de justice</w:t>
      </w:r>
      <w:r>
        <w:rPr>
          <w:rFonts w:eastAsia="Yu Mincho Light"/>
          <w:color w:val="383838"/>
          <w:sz w:val="20"/>
          <w:szCs w:val="20"/>
          <w:lang w:val="fr-FR" w:eastAsia="it-IT"/>
        </w:rPr>
        <w:t>, interprétation du 25 mars 1991 de l'accord entre l’OMS et l’Egypte, opinion consultative du 20 décembre 1980, ICJ Rec. 1980, par.37, pp. 89-90.</w:t>
      </w:r>
    </w:p>
  </w:footnote>
  <w:footnote w:id="2">
    <w:p w:rsidR="00EB6820" w:rsidRDefault="00E1244C">
      <w:r>
        <w:rPr>
          <w:rFonts w:eastAsia="Yu Mincho Light"/>
          <w:sz w:val="20"/>
          <w:szCs w:val="20"/>
          <w:lang w:val="fr-FR" w:eastAsia="it-IT"/>
        </w:rPr>
        <w:footnoteRef/>
      </w:r>
      <w:r>
        <w:rPr>
          <w:rFonts w:eastAsia="Yu Mincho Light"/>
          <w:sz w:val="20"/>
          <w:szCs w:val="20"/>
          <w:lang w:val="fr-FR" w:eastAsia="it-IT"/>
        </w:rPr>
        <w:tab/>
        <w:t>Charte des Nations Unies, articles 57, 63, 1(3) et 55(3).</w:t>
      </w:r>
    </w:p>
  </w:footnote>
  <w:footnote w:id="3">
    <w:p w:rsidR="00EB6820" w:rsidRDefault="00E1244C">
      <w:r>
        <w:rPr>
          <w:rFonts w:eastAsia="Yu Mincho Light"/>
          <w:sz w:val="20"/>
          <w:szCs w:val="20"/>
          <w:lang w:val="fr-FR"/>
        </w:rPr>
        <w:footnoteRef/>
      </w:r>
      <w:r>
        <w:rPr>
          <w:rFonts w:eastAsia="Yu Mincho Light"/>
          <w:sz w:val="20"/>
          <w:szCs w:val="20"/>
          <w:lang w:val="fr-FR"/>
        </w:rPr>
        <w:tab/>
        <w:t xml:space="preserve">OHCHR, </w:t>
      </w:r>
      <w:r>
        <w:rPr>
          <w:rFonts w:eastAsia="Yu Mincho Light"/>
          <w:color w:val="000000"/>
          <w:sz w:val="20"/>
          <w:szCs w:val="20"/>
          <w:highlight w:val="white"/>
          <w:lang w:val="fr-FR"/>
        </w:rPr>
        <w:t xml:space="preserve">« The World Bank </w:t>
      </w:r>
      <w:proofErr w:type="spellStart"/>
      <w:r>
        <w:rPr>
          <w:rFonts w:eastAsia="Yu Mincho Light"/>
          <w:color w:val="000000"/>
          <w:sz w:val="20"/>
          <w:szCs w:val="20"/>
          <w:highlight w:val="white"/>
          <w:lang w:val="fr-FR"/>
        </w:rPr>
        <w:t>is</w:t>
      </w:r>
      <w:proofErr w:type="spellEnd"/>
      <w:r>
        <w:rPr>
          <w:rFonts w:eastAsia="Yu Mincho Light"/>
          <w:color w:val="000000"/>
          <w:sz w:val="20"/>
          <w:szCs w:val="20"/>
          <w:highlight w:val="white"/>
          <w:lang w:val="fr-FR"/>
        </w:rPr>
        <w:t xml:space="preserve"> a </w:t>
      </w:r>
      <w:proofErr w:type="spellStart"/>
      <w:r>
        <w:rPr>
          <w:rFonts w:eastAsia="Yu Mincho Light"/>
          <w:color w:val="000000"/>
          <w:sz w:val="20"/>
          <w:szCs w:val="20"/>
          <w:highlight w:val="white"/>
          <w:lang w:val="fr-FR"/>
        </w:rPr>
        <w:t>Human</w:t>
      </w:r>
      <w:proofErr w:type="spellEnd"/>
      <w:r>
        <w:rPr>
          <w:rFonts w:eastAsia="Yu Mincho Light"/>
          <w:color w:val="000000"/>
          <w:sz w:val="20"/>
          <w:szCs w:val="20"/>
          <w:highlight w:val="white"/>
          <w:lang w:val="fr-FR"/>
        </w:rPr>
        <w:t xml:space="preserve"> </w:t>
      </w:r>
      <w:proofErr w:type="spellStart"/>
      <w:r>
        <w:rPr>
          <w:rFonts w:eastAsia="Yu Mincho Light"/>
          <w:color w:val="000000"/>
          <w:sz w:val="20"/>
          <w:szCs w:val="20"/>
          <w:highlight w:val="white"/>
          <w:lang w:val="fr-FR"/>
        </w:rPr>
        <w:t>Rights</w:t>
      </w:r>
      <w:proofErr w:type="spellEnd"/>
      <w:r>
        <w:rPr>
          <w:rFonts w:eastAsia="Yu Mincho Light"/>
          <w:color w:val="000000"/>
          <w:sz w:val="20"/>
          <w:szCs w:val="20"/>
          <w:highlight w:val="white"/>
          <w:lang w:val="fr-FR"/>
        </w:rPr>
        <w:t xml:space="preserve">-Free Zone », voir </w:t>
      </w:r>
      <w:r>
        <w:rPr>
          <w:rFonts w:eastAsia="Yu Mincho Light"/>
          <w:sz w:val="20"/>
          <w:szCs w:val="20"/>
          <w:lang w:val="fr-FR"/>
        </w:rPr>
        <w:t>http://www.ohchr.org/en/NewsEvents/Pages/DisplayNews.aspx?NewsID=16517&amp;LangID=E</w:t>
      </w:r>
    </w:p>
  </w:footnote>
  <w:footnote w:id="4">
    <w:p w:rsidR="00EB6820" w:rsidRDefault="00E1244C">
      <w:r>
        <w:rPr>
          <w:rFonts w:eastAsia="Yu Mincho Light"/>
          <w:sz w:val="20"/>
          <w:szCs w:val="20"/>
          <w:lang w:val="fr-FR"/>
        </w:rPr>
        <w:footnoteRef/>
      </w:r>
      <w:r>
        <w:rPr>
          <w:rFonts w:eastAsia="Yu Mincho Light"/>
          <w:sz w:val="20"/>
          <w:szCs w:val="20"/>
          <w:lang w:val="fr-FR"/>
        </w:rPr>
        <w:tab/>
        <w:t xml:space="preserve">Banque mondiale, « World Bank </w:t>
      </w:r>
      <w:proofErr w:type="spellStart"/>
      <w:r>
        <w:rPr>
          <w:rFonts w:eastAsia="Yu Mincho Light"/>
          <w:sz w:val="20"/>
          <w:szCs w:val="20"/>
          <w:lang w:val="fr-FR"/>
        </w:rPr>
        <w:t>acknowledges</w:t>
      </w:r>
      <w:proofErr w:type="spellEnd"/>
      <w:r>
        <w:rPr>
          <w:rFonts w:eastAsia="Yu Mincho Light"/>
          <w:sz w:val="20"/>
          <w:szCs w:val="20"/>
          <w:lang w:val="fr-FR"/>
        </w:rPr>
        <w:t xml:space="preserve"> </w:t>
      </w:r>
      <w:proofErr w:type="spellStart"/>
      <w:r>
        <w:rPr>
          <w:rFonts w:eastAsia="Yu Mincho Light"/>
          <w:sz w:val="20"/>
          <w:szCs w:val="20"/>
          <w:lang w:val="fr-FR"/>
        </w:rPr>
        <w:t>shortcomi</w:t>
      </w:r>
      <w:r>
        <w:rPr>
          <w:rFonts w:eastAsia="Yu Mincho Light"/>
          <w:sz w:val="20"/>
          <w:szCs w:val="20"/>
          <w:lang w:val="fr-FR"/>
        </w:rPr>
        <w:t>ngs</w:t>
      </w:r>
      <w:proofErr w:type="spellEnd"/>
      <w:r>
        <w:rPr>
          <w:rFonts w:eastAsia="Yu Mincho Light"/>
          <w:sz w:val="20"/>
          <w:szCs w:val="20"/>
          <w:lang w:val="fr-FR"/>
        </w:rPr>
        <w:t xml:space="preserve"> in </w:t>
      </w:r>
      <w:proofErr w:type="spellStart"/>
      <w:r>
        <w:rPr>
          <w:rFonts w:eastAsia="Yu Mincho Light"/>
          <w:sz w:val="20"/>
          <w:szCs w:val="20"/>
          <w:lang w:val="fr-FR"/>
        </w:rPr>
        <w:t>resettlement</w:t>
      </w:r>
      <w:proofErr w:type="spellEnd"/>
      <w:r>
        <w:rPr>
          <w:rFonts w:eastAsia="Yu Mincho Light"/>
          <w:sz w:val="20"/>
          <w:szCs w:val="20"/>
          <w:lang w:val="fr-FR"/>
        </w:rPr>
        <w:t xml:space="preserve"> </w:t>
      </w:r>
      <w:proofErr w:type="spellStart"/>
      <w:r>
        <w:rPr>
          <w:rFonts w:eastAsia="Yu Mincho Light"/>
          <w:sz w:val="20"/>
          <w:szCs w:val="20"/>
          <w:lang w:val="fr-FR"/>
        </w:rPr>
        <w:t>projects</w:t>
      </w:r>
      <w:proofErr w:type="spellEnd"/>
      <w:r>
        <w:rPr>
          <w:rFonts w:eastAsia="Yu Mincho Light"/>
          <w:sz w:val="20"/>
          <w:szCs w:val="20"/>
          <w:lang w:val="fr-FR"/>
        </w:rPr>
        <w:t xml:space="preserve">, </w:t>
      </w:r>
      <w:proofErr w:type="spellStart"/>
      <w:r>
        <w:rPr>
          <w:rFonts w:eastAsia="Yu Mincho Light"/>
          <w:sz w:val="20"/>
          <w:szCs w:val="20"/>
          <w:lang w:val="fr-FR"/>
        </w:rPr>
        <w:t>announces</w:t>
      </w:r>
      <w:proofErr w:type="spellEnd"/>
      <w:r>
        <w:rPr>
          <w:rFonts w:eastAsia="Yu Mincho Light"/>
          <w:sz w:val="20"/>
          <w:szCs w:val="20"/>
          <w:lang w:val="fr-FR"/>
        </w:rPr>
        <w:t xml:space="preserve"> action plan to </w:t>
      </w:r>
      <w:proofErr w:type="spellStart"/>
      <w:r>
        <w:rPr>
          <w:rFonts w:eastAsia="Yu Mincho Light"/>
          <w:sz w:val="20"/>
          <w:szCs w:val="20"/>
          <w:lang w:val="fr-FR"/>
        </w:rPr>
        <w:t>fix</w:t>
      </w:r>
      <w:proofErr w:type="spellEnd"/>
      <w:r>
        <w:rPr>
          <w:rFonts w:eastAsia="Yu Mincho Light"/>
          <w:sz w:val="20"/>
          <w:szCs w:val="20"/>
          <w:lang w:val="fr-FR"/>
        </w:rPr>
        <w:t xml:space="preserve"> </w:t>
      </w:r>
      <w:proofErr w:type="spellStart"/>
      <w:r>
        <w:rPr>
          <w:rFonts w:eastAsia="Yu Mincho Light"/>
          <w:sz w:val="20"/>
          <w:szCs w:val="20"/>
          <w:lang w:val="fr-FR"/>
        </w:rPr>
        <w:t>problems</w:t>
      </w:r>
      <w:proofErr w:type="spellEnd"/>
      <w:r>
        <w:rPr>
          <w:rFonts w:eastAsia="Yu Mincho Light"/>
          <w:sz w:val="20"/>
          <w:szCs w:val="20"/>
          <w:lang w:val="fr-FR"/>
        </w:rPr>
        <w:t> », communiqué de presse, voir http://www.worldbank.org/en/news/press-release/2015/03/04/world-bank-shortcomings-resettlement-projects-plan-fix-problems</w:t>
      </w:r>
    </w:p>
  </w:footnote>
  <w:footnote w:id="5">
    <w:p w:rsidR="00EB6820" w:rsidRDefault="00E1244C">
      <w:r>
        <w:rPr>
          <w:rFonts w:eastAsia="Yu Mincho Light"/>
          <w:sz w:val="20"/>
          <w:szCs w:val="20"/>
          <w:lang w:val="fr-FR"/>
        </w:rPr>
        <w:footnoteRef/>
      </w:r>
      <w:r>
        <w:rPr>
          <w:rFonts w:eastAsia="Yu Mincho Light"/>
          <w:sz w:val="20"/>
          <w:szCs w:val="20"/>
          <w:lang w:val="fr-FR"/>
        </w:rPr>
        <w:tab/>
        <w:t>« Les buts du Fonds monétaire inte</w:t>
      </w:r>
      <w:r>
        <w:rPr>
          <w:rFonts w:eastAsia="Yu Mincho Light"/>
          <w:sz w:val="20"/>
          <w:szCs w:val="20"/>
          <w:lang w:val="fr-FR"/>
        </w:rPr>
        <w:t xml:space="preserve">rnational sont […] ii) </w:t>
      </w:r>
      <w:proofErr w:type="spellStart"/>
      <w:r>
        <w:rPr>
          <w:sz w:val="20"/>
          <w:szCs w:val="20"/>
        </w:rPr>
        <w:t>Faciliter</w:t>
      </w:r>
      <w:proofErr w:type="spellEnd"/>
      <w:r>
        <w:rPr>
          <w:sz w:val="20"/>
          <w:szCs w:val="20"/>
        </w:rPr>
        <w:t xml:space="preserve"> </w:t>
      </w:r>
      <w:proofErr w:type="spellStart"/>
      <w:r>
        <w:rPr>
          <w:sz w:val="20"/>
          <w:szCs w:val="20"/>
        </w:rPr>
        <w:t>l’expansion</w:t>
      </w:r>
      <w:proofErr w:type="spellEnd"/>
      <w:r>
        <w:rPr>
          <w:sz w:val="20"/>
          <w:szCs w:val="20"/>
        </w:rPr>
        <w:t xml:space="preserve"> et </w:t>
      </w:r>
      <w:proofErr w:type="spellStart"/>
      <w:r>
        <w:rPr>
          <w:sz w:val="20"/>
          <w:szCs w:val="20"/>
        </w:rPr>
        <w:t>l’accroissement</w:t>
      </w:r>
      <w:proofErr w:type="spellEnd"/>
      <w:r>
        <w:rPr>
          <w:sz w:val="20"/>
          <w:szCs w:val="20"/>
        </w:rPr>
        <w:t xml:space="preserve"> </w:t>
      </w:r>
      <w:proofErr w:type="spellStart"/>
      <w:r>
        <w:rPr>
          <w:sz w:val="20"/>
          <w:szCs w:val="20"/>
        </w:rPr>
        <w:t>harmonieux</w:t>
      </w:r>
      <w:proofErr w:type="spellEnd"/>
      <w:r>
        <w:rPr>
          <w:sz w:val="20"/>
          <w:szCs w:val="20"/>
        </w:rPr>
        <w:t xml:space="preserve"> du commerce international et </w:t>
      </w:r>
      <w:proofErr w:type="spellStart"/>
      <w:r>
        <w:rPr>
          <w:sz w:val="20"/>
          <w:szCs w:val="20"/>
        </w:rPr>
        <w:t>contribuer</w:t>
      </w:r>
      <w:proofErr w:type="spellEnd"/>
      <w:r>
        <w:rPr>
          <w:sz w:val="20"/>
          <w:szCs w:val="20"/>
        </w:rPr>
        <w:t xml:space="preserve"> </w:t>
      </w:r>
      <w:proofErr w:type="spellStart"/>
      <w:r>
        <w:rPr>
          <w:sz w:val="20"/>
          <w:szCs w:val="20"/>
        </w:rPr>
        <w:t>ainsi</w:t>
      </w:r>
      <w:proofErr w:type="spellEnd"/>
      <w:r>
        <w:rPr>
          <w:sz w:val="20"/>
          <w:szCs w:val="20"/>
        </w:rPr>
        <w:t xml:space="preserve"> à </w:t>
      </w:r>
      <w:proofErr w:type="spellStart"/>
      <w:r>
        <w:rPr>
          <w:sz w:val="20"/>
          <w:szCs w:val="20"/>
        </w:rPr>
        <w:t>l’instauration</w:t>
      </w:r>
      <w:proofErr w:type="spellEnd"/>
      <w:r>
        <w:rPr>
          <w:sz w:val="20"/>
          <w:szCs w:val="20"/>
        </w:rPr>
        <w:t xml:space="preserve"> et au </w:t>
      </w:r>
      <w:proofErr w:type="spellStart"/>
      <w:r>
        <w:rPr>
          <w:sz w:val="20"/>
          <w:szCs w:val="20"/>
        </w:rPr>
        <w:t>maintien</w:t>
      </w:r>
      <w:proofErr w:type="spellEnd"/>
      <w:r>
        <w:rPr>
          <w:sz w:val="20"/>
          <w:szCs w:val="20"/>
        </w:rPr>
        <w:t xml:space="preserve"> de </w:t>
      </w:r>
      <w:proofErr w:type="spellStart"/>
      <w:r>
        <w:rPr>
          <w:sz w:val="20"/>
          <w:szCs w:val="20"/>
        </w:rPr>
        <w:t>niveaux</w:t>
      </w:r>
      <w:proofErr w:type="spellEnd"/>
      <w:r>
        <w:rPr>
          <w:sz w:val="20"/>
          <w:szCs w:val="20"/>
        </w:rPr>
        <w:t xml:space="preserve"> </w:t>
      </w:r>
      <w:proofErr w:type="spellStart"/>
      <w:r>
        <w:rPr>
          <w:sz w:val="20"/>
          <w:szCs w:val="20"/>
        </w:rPr>
        <w:t>élevés</w:t>
      </w:r>
      <w:proofErr w:type="spellEnd"/>
      <w:r>
        <w:rPr>
          <w:sz w:val="20"/>
          <w:szCs w:val="20"/>
        </w:rPr>
        <w:t xml:space="preserve"> </w:t>
      </w:r>
      <w:proofErr w:type="spellStart"/>
      <w:r>
        <w:rPr>
          <w:sz w:val="20"/>
          <w:szCs w:val="20"/>
        </w:rPr>
        <w:t>d’emploi</w:t>
      </w:r>
      <w:proofErr w:type="spellEnd"/>
      <w:r>
        <w:rPr>
          <w:sz w:val="20"/>
          <w:szCs w:val="20"/>
        </w:rPr>
        <w:t xml:space="preserve"> […]</w:t>
      </w:r>
      <w:r>
        <w:rPr>
          <w:sz w:val="20"/>
          <w:szCs w:val="20"/>
          <w:lang w:val="en-US"/>
        </w:rPr>
        <w:t xml:space="preserve"> », </w:t>
      </w:r>
      <w:proofErr w:type="spellStart"/>
      <w:r>
        <w:rPr>
          <w:sz w:val="20"/>
          <w:szCs w:val="20"/>
          <w:lang w:val="en-US"/>
        </w:rPr>
        <w:t>voir</w:t>
      </w:r>
      <w:proofErr w:type="spellEnd"/>
      <w:r>
        <w:rPr>
          <w:sz w:val="20"/>
          <w:szCs w:val="20"/>
          <w:lang w:val="en-US"/>
        </w:rPr>
        <w:t xml:space="preserve"> http://www.imf.org/external/french/pubs/ft/aa/aa.pdf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3777"/>
    <w:multiLevelType w:val="multilevel"/>
    <w:tmpl w:val="29168D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6BF7BF3"/>
    <w:multiLevelType w:val="multilevel"/>
    <w:tmpl w:val="D396A8D4"/>
    <w:lvl w:ilvl="0">
      <w:start w:val="1"/>
      <w:numFmt w:val="bullet"/>
      <w:lvlText w:val="□"/>
      <w:lvlJc w:val="left"/>
      <w:pPr>
        <w:tabs>
          <w:tab w:val="num" w:pos="720"/>
        </w:tabs>
        <w:ind w:left="720" w:hanging="360"/>
      </w:pPr>
      <w:rPr>
        <w:rFonts w:ascii="Courier New" w:hAnsi="Courier New" w:cs="Courier New"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20A0442"/>
    <w:multiLevelType w:val="multilevel"/>
    <w:tmpl w:val="35BE4200"/>
    <w:lvl w:ilvl="0">
      <w:start w:val="1"/>
      <w:numFmt w:val="bullet"/>
      <w:lvlText w:val="□"/>
      <w:lvlJc w:val="left"/>
      <w:pPr>
        <w:tabs>
          <w:tab w:val="num" w:pos="720"/>
        </w:tabs>
        <w:ind w:left="720" w:hanging="360"/>
      </w:pPr>
      <w:rPr>
        <w:rFonts w:ascii="Courier New" w:hAnsi="Courier New" w:cs="Courier New" w:hint="default"/>
        <w:b/>
        <w:spacing w:val="-1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EB6820"/>
    <w:rsid w:val="00E1244C"/>
    <w:rsid w:val="00EB6820"/>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fr-CH"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20"/>
    <w:pPr>
      <w:suppressAutoHyphens/>
    </w:pPr>
    <w:rPr>
      <w:rFonts w:ascii="Times New Roman" w:eastAsia="Times New Roman" w:hAnsi="Times New Roman" w:cs="Times New Roman"/>
      <w:color w:val="00000A"/>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EB6820"/>
  </w:style>
  <w:style w:type="character" w:customStyle="1" w:styleId="WW8Num1z1">
    <w:name w:val="WW8Num1z1"/>
    <w:qFormat/>
    <w:rsid w:val="00EB6820"/>
  </w:style>
  <w:style w:type="character" w:customStyle="1" w:styleId="WW8Num1z2">
    <w:name w:val="WW8Num1z2"/>
    <w:qFormat/>
    <w:rsid w:val="00EB6820"/>
  </w:style>
  <w:style w:type="character" w:customStyle="1" w:styleId="WW8Num1z3">
    <w:name w:val="WW8Num1z3"/>
    <w:qFormat/>
    <w:rsid w:val="00EB6820"/>
  </w:style>
  <w:style w:type="character" w:customStyle="1" w:styleId="WW8Num1z4">
    <w:name w:val="WW8Num1z4"/>
    <w:qFormat/>
    <w:rsid w:val="00EB6820"/>
  </w:style>
  <w:style w:type="character" w:customStyle="1" w:styleId="WW8Num1z5">
    <w:name w:val="WW8Num1z5"/>
    <w:qFormat/>
    <w:rsid w:val="00EB6820"/>
  </w:style>
  <w:style w:type="character" w:customStyle="1" w:styleId="WW8Num1z6">
    <w:name w:val="WW8Num1z6"/>
    <w:qFormat/>
    <w:rsid w:val="00EB6820"/>
  </w:style>
  <w:style w:type="character" w:customStyle="1" w:styleId="WW8Num1z7">
    <w:name w:val="WW8Num1z7"/>
    <w:qFormat/>
    <w:rsid w:val="00EB6820"/>
  </w:style>
  <w:style w:type="character" w:customStyle="1" w:styleId="WW8Num1z8">
    <w:name w:val="WW8Num1z8"/>
    <w:qFormat/>
    <w:rsid w:val="00EB6820"/>
  </w:style>
  <w:style w:type="character" w:customStyle="1" w:styleId="WW8Num2z0">
    <w:name w:val="WW8Num2z0"/>
    <w:qFormat/>
    <w:rsid w:val="00EB6820"/>
    <w:rPr>
      <w:rFonts w:ascii="Courier New" w:hAnsi="Courier New" w:cs="Courier New"/>
      <w:spacing w:val="-12"/>
      <w:sz w:val="22"/>
      <w:szCs w:val="22"/>
    </w:rPr>
  </w:style>
  <w:style w:type="character" w:customStyle="1" w:styleId="WW8Num3z0">
    <w:name w:val="WW8Num3z0"/>
    <w:qFormat/>
    <w:rsid w:val="00EB6820"/>
    <w:rPr>
      <w:rFonts w:ascii="Courier New" w:hAnsi="Courier New" w:cs="Courier New"/>
      <w:sz w:val="22"/>
      <w:szCs w:val="22"/>
    </w:rPr>
  </w:style>
  <w:style w:type="character" w:customStyle="1" w:styleId="WW8Num4z0">
    <w:name w:val="WW8Num4z0"/>
    <w:qFormat/>
    <w:rsid w:val="00EB6820"/>
    <w:rPr>
      <w:rFonts w:ascii="Symbol" w:hAnsi="Symbol" w:cs="Symbol"/>
      <w:sz w:val="20"/>
      <w:szCs w:val="20"/>
      <w:lang w:val="fr-FR" w:eastAsia="es-ES"/>
    </w:rPr>
  </w:style>
  <w:style w:type="character" w:customStyle="1" w:styleId="WW8Num4z1">
    <w:name w:val="WW8Num4z1"/>
    <w:qFormat/>
    <w:rsid w:val="00EB6820"/>
  </w:style>
  <w:style w:type="character" w:customStyle="1" w:styleId="WW8Num4z2">
    <w:name w:val="WW8Num4z2"/>
    <w:qFormat/>
    <w:rsid w:val="00EB6820"/>
  </w:style>
  <w:style w:type="character" w:customStyle="1" w:styleId="WW8Num4z3">
    <w:name w:val="WW8Num4z3"/>
    <w:qFormat/>
    <w:rsid w:val="00EB6820"/>
  </w:style>
  <w:style w:type="character" w:customStyle="1" w:styleId="WW8Num4z4">
    <w:name w:val="WW8Num4z4"/>
    <w:qFormat/>
    <w:rsid w:val="00EB6820"/>
  </w:style>
  <w:style w:type="character" w:customStyle="1" w:styleId="WW8Num4z5">
    <w:name w:val="WW8Num4z5"/>
    <w:qFormat/>
    <w:rsid w:val="00EB6820"/>
  </w:style>
  <w:style w:type="character" w:customStyle="1" w:styleId="WW8Num4z6">
    <w:name w:val="WW8Num4z6"/>
    <w:qFormat/>
    <w:rsid w:val="00EB6820"/>
  </w:style>
  <w:style w:type="character" w:customStyle="1" w:styleId="WW8Num4z7">
    <w:name w:val="WW8Num4z7"/>
    <w:qFormat/>
    <w:rsid w:val="00EB6820"/>
  </w:style>
  <w:style w:type="character" w:customStyle="1" w:styleId="WW8Num4z8">
    <w:name w:val="WW8Num4z8"/>
    <w:qFormat/>
    <w:rsid w:val="00EB6820"/>
  </w:style>
  <w:style w:type="character" w:customStyle="1" w:styleId="WW8Num3z1">
    <w:name w:val="WW8Num3z1"/>
    <w:qFormat/>
    <w:rsid w:val="00EB6820"/>
  </w:style>
  <w:style w:type="character" w:customStyle="1" w:styleId="WW8Num3z2">
    <w:name w:val="WW8Num3z2"/>
    <w:qFormat/>
    <w:rsid w:val="00EB6820"/>
  </w:style>
  <w:style w:type="character" w:customStyle="1" w:styleId="WW8Num3z3">
    <w:name w:val="WW8Num3z3"/>
    <w:qFormat/>
    <w:rsid w:val="00EB6820"/>
  </w:style>
  <w:style w:type="character" w:customStyle="1" w:styleId="WW8Num3z4">
    <w:name w:val="WW8Num3z4"/>
    <w:qFormat/>
    <w:rsid w:val="00EB6820"/>
  </w:style>
  <w:style w:type="character" w:customStyle="1" w:styleId="WW8Num3z5">
    <w:name w:val="WW8Num3z5"/>
    <w:qFormat/>
    <w:rsid w:val="00EB6820"/>
  </w:style>
  <w:style w:type="character" w:customStyle="1" w:styleId="WW8Num3z6">
    <w:name w:val="WW8Num3z6"/>
    <w:qFormat/>
    <w:rsid w:val="00EB6820"/>
  </w:style>
  <w:style w:type="character" w:customStyle="1" w:styleId="WW8Num3z7">
    <w:name w:val="WW8Num3z7"/>
    <w:qFormat/>
    <w:rsid w:val="00EB6820"/>
  </w:style>
  <w:style w:type="character" w:customStyle="1" w:styleId="WW8Num3z8">
    <w:name w:val="WW8Num3z8"/>
    <w:qFormat/>
    <w:rsid w:val="00EB6820"/>
  </w:style>
  <w:style w:type="character" w:customStyle="1" w:styleId="WW8Num5z0">
    <w:name w:val="WW8Num5z0"/>
    <w:qFormat/>
    <w:rsid w:val="00EB6820"/>
    <w:rPr>
      <w:rFonts w:ascii="Times New Roman" w:eastAsia="Times New Roman" w:hAnsi="Times New Roman" w:cs="Times New Roman"/>
      <w:color w:val="212121"/>
      <w:sz w:val="20"/>
    </w:rPr>
  </w:style>
  <w:style w:type="character" w:customStyle="1" w:styleId="WW8Num5z1">
    <w:name w:val="WW8Num5z1"/>
    <w:qFormat/>
    <w:rsid w:val="00EB6820"/>
    <w:rPr>
      <w:rFonts w:ascii="Courier New" w:hAnsi="Courier New" w:cs="Courier New"/>
    </w:rPr>
  </w:style>
  <w:style w:type="character" w:customStyle="1" w:styleId="WW8Num5z2">
    <w:name w:val="WW8Num5z2"/>
    <w:qFormat/>
    <w:rsid w:val="00EB6820"/>
    <w:rPr>
      <w:rFonts w:ascii="Wingdings" w:hAnsi="Wingdings" w:cs="Wingdings"/>
    </w:rPr>
  </w:style>
  <w:style w:type="character" w:customStyle="1" w:styleId="WW8Num5z3">
    <w:name w:val="WW8Num5z3"/>
    <w:qFormat/>
    <w:rsid w:val="00EB6820"/>
    <w:rPr>
      <w:rFonts w:ascii="Symbol" w:hAnsi="Symbol" w:cs="Symbol"/>
    </w:rPr>
  </w:style>
  <w:style w:type="character" w:customStyle="1" w:styleId="WW-DefaultParagraphFont">
    <w:name w:val="WW-Default Paragraph Font"/>
    <w:qFormat/>
    <w:rsid w:val="00EB6820"/>
  </w:style>
  <w:style w:type="character" w:customStyle="1" w:styleId="WW8Num2z2">
    <w:name w:val="WW8Num2z2"/>
    <w:qFormat/>
    <w:rsid w:val="00EB6820"/>
    <w:rPr>
      <w:rFonts w:ascii="Wingdings" w:hAnsi="Wingdings" w:cs="Wingdings"/>
    </w:rPr>
  </w:style>
  <w:style w:type="character" w:customStyle="1" w:styleId="WW8Num2z3">
    <w:name w:val="WW8Num2z3"/>
    <w:qFormat/>
    <w:rsid w:val="00EB6820"/>
    <w:rPr>
      <w:rFonts w:ascii="Symbol" w:hAnsi="Symbol" w:cs="Symbol"/>
    </w:rPr>
  </w:style>
  <w:style w:type="character" w:customStyle="1" w:styleId="WW-DefaultParagraphFont1">
    <w:name w:val="WW-Default Paragraph Font1"/>
    <w:qFormat/>
    <w:rsid w:val="00EB6820"/>
  </w:style>
  <w:style w:type="character" w:customStyle="1" w:styleId="LienInternet">
    <w:name w:val="Lien Internet"/>
    <w:basedOn w:val="WW-DefaultParagraphFont1"/>
    <w:rsid w:val="00EB6820"/>
    <w:rPr>
      <w:color w:val="0000FF"/>
      <w:u w:val="single"/>
    </w:rPr>
  </w:style>
  <w:style w:type="character" w:customStyle="1" w:styleId="Accentuation">
    <w:name w:val="Accentuation"/>
    <w:basedOn w:val="WW-DefaultParagraphFont1"/>
    <w:qFormat/>
    <w:rsid w:val="00EB6820"/>
    <w:rPr>
      <w:i/>
      <w:iCs/>
    </w:rPr>
  </w:style>
  <w:style w:type="character" w:customStyle="1" w:styleId="Caractresdenotedebasdepage">
    <w:name w:val="Caractères de note de bas de page"/>
    <w:qFormat/>
    <w:rsid w:val="00EB6820"/>
  </w:style>
  <w:style w:type="character" w:customStyle="1" w:styleId="Ancredenotedebasdepage">
    <w:name w:val="Ancre de note de bas de page"/>
    <w:qFormat/>
    <w:rsid w:val="00EB6820"/>
    <w:rPr>
      <w:vertAlign w:val="superscript"/>
    </w:rPr>
  </w:style>
  <w:style w:type="character" w:customStyle="1" w:styleId="Caractresdenotedefin">
    <w:name w:val="Caractères de note de fin"/>
    <w:qFormat/>
    <w:rsid w:val="00EB6820"/>
    <w:rPr>
      <w:vertAlign w:val="superscript"/>
    </w:rPr>
  </w:style>
  <w:style w:type="character" w:customStyle="1" w:styleId="WW-Caractresdenotedefin">
    <w:name w:val="WW-Caractères de note de fin"/>
    <w:qFormat/>
    <w:rsid w:val="00EB6820"/>
  </w:style>
  <w:style w:type="character" w:customStyle="1" w:styleId="Ancredenotedefin">
    <w:name w:val="Ancre de note de fin"/>
    <w:qFormat/>
    <w:rsid w:val="00EB6820"/>
    <w:rPr>
      <w:vertAlign w:val="superscript"/>
    </w:rPr>
  </w:style>
  <w:style w:type="character" w:styleId="FootnoteReference">
    <w:name w:val="footnote reference"/>
    <w:basedOn w:val="WW-DefaultParagraphFont1"/>
    <w:qFormat/>
    <w:rsid w:val="00EB6820"/>
    <w:rPr>
      <w:vertAlign w:val="superscript"/>
    </w:rPr>
  </w:style>
  <w:style w:type="character" w:customStyle="1" w:styleId="WW-FootnoteReference">
    <w:name w:val="WW-Footnote Reference"/>
    <w:qFormat/>
    <w:rsid w:val="00EB6820"/>
    <w:rPr>
      <w:vertAlign w:val="superscript"/>
    </w:rPr>
  </w:style>
  <w:style w:type="character" w:customStyle="1" w:styleId="WW-EndnoteReference">
    <w:name w:val="WW-Endnote Reference"/>
    <w:qFormat/>
    <w:rsid w:val="00EB6820"/>
    <w:rPr>
      <w:vertAlign w:val="superscript"/>
    </w:rPr>
  </w:style>
  <w:style w:type="character" w:customStyle="1" w:styleId="ListLabel1">
    <w:name w:val="ListLabel 1"/>
    <w:qFormat/>
    <w:rsid w:val="00EB6820"/>
    <w:rPr>
      <w:rFonts w:ascii="Arial Narrow" w:hAnsi="Arial Narrow" w:cs="Courier New"/>
      <w:b/>
      <w:spacing w:val="-12"/>
      <w:sz w:val="22"/>
      <w:szCs w:val="22"/>
    </w:rPr>
  </w:style>
  <w:style w:type="character" w:customStyle="1" w:styleId="ListLabel2">
    <w:name w:val="ListLabel 2"/>
    <w:qFormat/>
    <w:rsid w:val="00EB6820"/>
    <w:rPr>
      <w:rFonts w:ascii="Arial Narrow" w:hAnsi="Arial Narrow" w:cs="Courier New"/>
      <w:sz w:val="22"/>
      <w:szCs w:val="22"/>
    </w:rPr>
  </w:style>
  <w:style w:type="character" w:customStyle="1" w:styleId="ListLabel3">
    <w:name w:val="ListLabel 3"/>
    <w:qFormat/>
    <w:rsid w:val="00EB6820"/>
    <w:rPr>
      <w:rFonts w:cs="Courier New"/>
      <w:b/>
      <w:spacing w:val="-12"/>
      <w:sz w:val="22"/>
      <w:szCs w:val="22"/>
    </w:rPr>
  </w:style>
  <w:style w:type="character" w:customStyle="1" w:styleId="ListLabel4">
    <w:name w:val="ListLabel 4"/>
    <w:qFormat/>
    <w:rsid w:val="00EB6820"/>
    <w:rPr>
      <w:rFonts w:ascii="Arial Narrow" w:hAnsi="Arial Narrow" w:cs="Courier New"/>
      <w:sz w:val="22"/>
      <w:szCs w:val="22"/>
    </w:rPr>
  </w:style>
  <w:style w:type="paragraph" w:customStyle="1" w:styleId="Titre">
    <w:name w:val="Titre"/>
    <w:basedOn w:val="Normal"/>
    <w:next w:val="BodyText"/>
    <w:qFormat/>
    <w:rsid w:val="00EB6820"/>
    <w:pPr>
      <w:keepNext/>
      <w:spacing w:before="240" w:after="120"/>
    </w:pPr>
    <w:rPr>
      <w:rFonts w:ascii="Liberation Sans" w:eastAsia="Microsoft YaHei" w:hAnsi="Liberation Sans" w:cs="Mangal"/>
      <w:sz w:val="28"/>
      <w:szCs w:val="28"/>
    </w:rPr>
  </w:style>
  <w:style w:type="paragraph" w:styleId="BodyText">
    <w:name w:val="Body Text"/>
    <w:basedOn w:val="Normal"/>
    <w:rsid w:val="00EB6820"/>
    <w:pPr>
      <w:spacing w:after="140" w:line="288" w:lineRule="auto"/>
    </w:pPr>
  </w:style>
  <w:style w:type="paragraph" w:styleId="List">
    <w:name w:val="List"/>
    <w:basedOn w:val="BodyText"/>
    <w:rsid w:val="00EB6820"/>
    <w:rPr>
      <w:rFonts w:cs="Mangal"/>
    </w:rPr>
  </w:style>
  <w:style w:type="paragraph" w:styleId="Caption">
    <w:name w:val="caption"/>
    <w:basedOn w:val="Normal"/>
    <w:qFormat/>
    <w:rsid w:val="00EB6820"/>
    <w:pPr>
      <w:suppressLineNumbers/>
      <w:spacing w:before="120" w:after="120"/>
    </w:pPr>
    <w:rPr>
      <w:rFonts w:cs="Mangal"/>
      <w:i/>
      <w:iCs/>
    </w:rPr>
  </w:style>
  <w:style w:type="paragraph" w:customStyle="1" w:styleId="Index">
    <w:name w:val="Index"/>
    <w:basedOn w:val="Normal"/>
    <w:qFormat/>
    <w:rsid w:val="00EB6820"/>
    <w:pPr>
      <w:suppressLineNumbers/>
    </w:pPr>
    <w:rPr>
      <w:rFonts w:cs="Mangal"/>
    </w:rPr>
  </w:style>
  <w:style w:type="paragraph" w:customStyle="1" w:styleId="WW-Caption">
    <w:name w:val="WW-Caption"/>
    <w:basedOn w:val="Normal"/>
    <w:qFormat/>
    <w:rsid w:val="00EB6820"/>
    <w:pPr>
      <w:suppressLineNumbers/>
      <w:spacing w:before="120" w:after="120"/>
    </w:pPr>
    <w:rPr>
      <w:rFonts w:cs="Mangal"/>
      <w:i/>
      <w:iCs/>
    </w:rPr>
  </w:style>
  <w:style w:type="paragraph" w:customStyle="1" w:styleId="sdfootnote">
    <w:name w:val="sdfootnote"/>
    <w:basedOn w:val="Normal"/>
    <w:qFormat/>
    <w:rsid w:val="00EB6820"/>
    <w:pPr>
      <w:spacing w:before="280"/>
      <w:ind w:left="340" w:hanging="340"/>
    </w:pPr>
    <w:rPr>
      <w:sz w:val="20"/>
      <w:szCs w:val="20"/>
      <w:lang w:val="fr-FR"/>
    </w:rPr>
  </w:style>
  <w:style w:type="paragraph" w:styleId="FootnoteText">
    <w:name w:val="footnote text"/>
    <w:basedOn w:val="Normal"/>
    <w:qFormat/>
    <w:rsid w:val="00EB6820"/>
  </w:style>
  <w:style w:type="numbering" w:customStyle="1" w:styleId="WW8Num1">
    <w:name w:val="WW8Num1"/>
    <w:qFormat/>
    <w:rsid w:val="00EB6820"/>
  </w:style>
  <w:style w:type="numbering" w:customStyle="1" w:styleId="WW8Num2">
    <w:name w:val="WW8Num2"/>
    <w:qFormat/>
    <w:rsid w:val="00EB6820"/>
  </w:style>
  <w:style w:type="numbering" w:customStyle="1" w:styleId="WW8Num3">
    <w:name w:val="WW8Num3"/>
    <w:qFormat/>
    <w:rsid w:val="00EB6820"/>
  </w:style>
  <w:style w:type="numbering" w:customStyle="1" w:styleId="WW8Num4">
    <w:name w:val="WW8Num4"/>
    <w:qFormat/>
    <w:rsid w:val="00EB6820"/>
  </w:style>
  <w:style w:type="paragraph" w:styleId="BalloonText">
    <w:name w:val="Balloon Text"/>
    <w:basedOn w:val="Normal"/>
    <w:link w:val="BalloonTextChar"/>
    <w:uiPriority w:val="99"/>
    <w:semiHidden/>
    <w:unhideWhenUsed/>
    <w:rsid w:val="00E1244C"/>
    <w:rPr>
      <w:rFonts w:ascii="Tahoma" w:hAnsi="Tahoma" w:cs="Tahoma"/>
      <w:sz w:val="16"/>
      <w:szCs w:val="16"/>
    </w:rPr>
  </w:style>
  <w:style w:type="character" w:customStyle="1" w:styleId="BalloonTextChar">
    <w:name w:val="Balloon Text Char"/>
    <w:basedOn w:val="DefaultParagraphFont"/>
    <w:link w:val="BalloonText"/>
    <w:uiPriority w:val="99"/>
    <w:semiHidden/>
    <w:rsid w:val="00E1244C"/>
    <w:rPr>
      <w:rFonts w:ascii="Tahoma" w:eastAsia="Times New Roman" w:hAnsi="Tahoma" w:cs="Tahoma"/>
      <w:color w:val="00000A"/>
      <w:sz w:val="16"/>
      <w:szCs w:val="16"/>
      <w:lang w:val="en-GB"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ntact@cetim.ch"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gwg-tncs@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91650-9D1A-4E99-AB54-BB7AB834DCA9}"/>
</file>

<file path=customXml/itemProps2.xml><?xml version="1.0" encoding="utf-8"?>
<ds:datastoreItem xmlns:ds="http://schemas.openxmlformats.org/officeDocument/2006/customXml" ds:itemID="{2C403A5E-8232-406C-8045-7B61C4D460C4}"/>
</file>

<file path=customXml/itemProps3.xml><?xml version="1.0" encoding="utf-8"?>
<ds:datastoreItem xmlns:ds="http://schemas.openxmlformats.org/officeDocument/2006/customXml" ds:itemID="{87ABFDB7-C090-41A4-9372-74729DC05FF7}"/>
</file>

<file path=docProps/app.xml><?xml version="1.0" encoding="utf-8"?>
<Properties xmlns="http://schemas.openxmlformats.org/officeDocument/2006/extended-properties" xmlns:vt="http://schemas.openxmlformats.org/officeDocument/2006/docPropsVTypes">
  <Template>Normal.dotm</Template>
  <TotalTime>6</TotalTime>
  <Pages>4</Pages>
  <Words>1656</Words>
  <Characters>9112</Characters>
  <Application>Microsoft Office Word</Application>
  <DocSecurity>0</DocSecurity>
  <Lines>75</Lines>
  <Paragraphs>21</Paragraphs>
  <ScaleCrop>false</ScaleCrop>
  <Company>CETIM</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in Word</dc:title>
  <dc:subject/>
  <dc:creator>OHCHR</dc:creator>
  <dc:description/>
  <cp:lastModifiedBy>Julie Duchatel</cp:lastModifiedBy>
  <cp:revision>6</cp:revision>
  <cp:lastPrinted>2016-10-05T19:29:00Z</cp:lastPrinted>
  <dcterms:created xsi:type="dcterms:W3CDTF">2016-09-30T14:45:00Z</dcterms:created>
  <dcterms:modified xsi:type="dcterms:W3CDTF">2016-10-06T16:40:00Z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HTitle">
    <vt:lpwstr/>
  </property>
  <property fmtid="{D5CDD505-2E9C-101B-9397-08002B2CF9AE}" pid="4" name="ContentType">
    <vt:lpwstr>Document</vt:lpwstr>
  </property>
  <property fmtid="{D5CDD505-2E9C-101B-9397-08002B2CF9AE}" pid="5" name="FRTitle">
    <vt:lpwstr/>
  </property>
  <property fmtid="{D5CDD505-2E9C-101B-9397-08002B2CF9AE}" pid="6" name="Order1">
    <vt:lpwstr/>
  </property>
  <property fmtid="{D5CDD505-2E9C-101B-9397-08002B2CF9AE}" pid="7" name="PublishingExpirationDate">
    <vt:lpwstr/>
  </property>
  <property fmtid="{D5CDD505-2E9C-101B-9397-08002B2CF9AE}" pid="8" name="PublishingStartDate">
    <vt:lpwstr/>
  </property>
  <property fmtid="{D5CDD505-2E9C-101B-9397-08002B2CF9AE}" pid="9" name="RUTitle">
    <vt:lpwstr/>
  </property>
  <property fmtid="{D5CDD505-2E9C-101B-9397-08002B2CF9AE}" pid="10" name="SPTitle">
    <vt:lpwstr/>
  </property>
  <property fmtid="{D5CDD505-2E9C-101B-9397-08002B2CF9AE}" pid="11" name="TemplateUrl">
    <vt:lpwstr/>
  </property>
  <property fmtid="{D5CDD505-2E9C-101B-9397-08002B2CF9AE}" pid="12" name="_SourceUrl">
    <vt:lpwstr/>
  </property>
  <property fmtid="{D5CDD505-2E9C-101B-9397-08002B2CF9AE}" pid="13" name="display_urn:schemas-microsoft-com:office:office#Author">
    <vt:lpwstr>System Account</vt:lpwstr>
  </property>
  <property fmtid="{D5CDD505-2E9C-101B-9397-08002B2CF9AE}" pid="14" name="display_urn:schemas-microsoft-com:office:office#Editor">
    <vt:lpwstr>System Account</vt:lpwstr>
  </property>
  <property fmtid="{D5CDD505-2E9C-101B-9397-08002B2CF9AE}" pid="15" name="xd_ProgID">
    <vt:lpwstr/>
  </property>
  <property fmtid="{D5CDD505-2E9C-101B-9397-08002B2CF9AE}" pid="16" name="xd_Signature">
    <vt:lpwstr/>
  </property>
  <property fmtid="{D5CDD505-2E9C-101B-9397-08002B2CF9AE}" pid="17" name="ContentTypeId">
    <vt:lpwstr>0x0101008822B9E06671B54FA89F14538B9B0FEA</vt:lpwstr>
  </property>
  <property fmtid="{D5CDD505-2E9C-101B-9397-08002B2CF9AE}" pid="18" name="Order">
    <vt:r8>3790700</vt:r8>
  </property>
  <property fmtid="{D5CDD505-2E9C-101B-9397-08002B2CF9AE}" pid="20" name="_SharedFileIndex">
    <vt:lpwstr/>
  </property>
</Properties>
</file>