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CE4" w:rsidRDefault="0081039E">
      <w:pPr>
        <w:shd w:val="clear" w:color="auto" w:fill="FFFFFF"/>
        <w:jc w:val="center"/>
        <w:rPr>
          <w:rFonts w:ascii="Arial Narrow" w:eastAsia="Calibri" w:hAnsi="Arial Narrow" w:cs="Arial Narrow"/>
          <w:b/>
          <w:bCs/>
          <w:color w:val="303030"/>
          <w:sz w:val="28"/>
          <w:szCs w:val="28"/>
          <w:highlight w:val="white"/>
          <w:lang w:eastAsia="en-US"/>
        </w:rPr>
      </w:pPr>
      <w:r>
        <w:rPr>
          <w:rFonts w:ascii="Arial Narrow" w:eastAsia="Calibri" w:hAnsi="Arial Narrow" w:cs="Arial Narrow"/>
          <w:b/>
          <w:bCs/>
          <w:color w:val="303030"/>
          <w:sz w:val="28"/>
          <w:szCs w:val="28"/>
          <w:shd w:val="clear" w:color="auto" w:fill="FFFFFF"/>
          <w:lang w:eastAsia="en-US"/>
        </w:rPr>
        <w:t>Open-ended intergovernmental working group on transnational corporations and other business enterprises with respect to human rights</w:t>
      </w:r>
    </w:p>
    <w:p w:rsidR="00737CE4" w:rsidRDefault="00737CE4">
      <w:pPr>
        <w:shd w:val="clear" w:color="auto" w:fill="FFFFFF"/>
        <w:jc w:val="center"/>
        <w:rPr>
          <w:rFonts w:ascii="Arial Narrow" w:eastAsia="Calibri" w:hAnsi="Arial Narrow" w:cs="Arial Narrow"/>
          <w:b/>
          <w:bCs/>
          <w:color w:val="303030"/>
          <w:sz w:val="28"/>
          <w:szCs w:val="28"/>
          <w:shd w:val="clear" w:color="auto" w:fill="FFFFFF"/>
          <w:lang w:eastAsia="en-US"/>
        </w:rPr>
      </w:pPr>
    </w:p>
    <w:p w:rsidR="00737CE4" w:rsidRDefault="0081039E">
      <w:pPr>
        <w:shd w:val="clear" w:color="auto" w:fill="FFFFFF"/>
        <w:jc w:val="center"/>
        <w:rPr>
          <w:rFonts w:ascii="Arial Narrow" w:eastAsia="Calibri" w:hAnsi="Arial Narrow" w:cs="Arial Narrow"/>
          <w:b/>
          <w:bCs/>
          <w:i/>
          <w:color w:val="303030"/>
          <w:highlight w:val="white"/>
          <w:lang w:eastAsia="en-US"/>
        </w:rPr>
      </w:pPr>
      <w:r>
        <w:rPr>
          <w:rFonts w:ascii="Arial Narrow" w:eastAsia="Calibri" w:hAnsi="Arial Narrow" w:cs="Arial Narrow"/>
          <w:b/>
          <w:bCs/>
          <w:i/>
          <w:color w:val="303030"/>
          <w:shd w:val="clear" w:color="auto" w:fill="FFFFFF"/>
          <w:lang w:eastAsia="en-US"/>
        </w:rPr>
        <w:t>Second session, 24 – 28 October 2016</w:t>
      </w:r>
    </w:p>
    <w:p w:rsidR="00737CE4" w:rsidRDefault="0081039E">
      <w:pPr>
        <w:shd w:val="clear" w:color="auto" w:fill="FFFFFF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 </w:t>
      </w:r>
    </w:p>
    <w:p w:rsidR="00737CE4" w:rsidRDefault="0081039E">
      <w:pPr>
        <w:jc w:val="center"/>
        <w:rPr>
          <w:rFonts w:ascii="Arial Narrow" w:hAnsi="Arial Narrow" w:cs="Arial Narrow"/>
          <w:b/>
          <w:u w:val="single"/>
        </w:rPr>
      </w:pPr>
      <w:r>
        <w:rPr>
          <w:rFonts w:ascii="Arial Narrow" w:hAnsi="Arial Narrow" w:cs="Arial Narrow"/>
          <w:b/>
          <w:u w:val="single"/>
        </w:rPr>
        <w:t>FORM for NGOs and other relevant stakeholders submitting a written contribution</w:t>
      </w:r>
    </w:p>
    <w:p w:rsidR="00737CE4" w:rsidRDefault="00737CE4">
      <w:pPr>
        <w:rPr>
          <w:rFonts w:ascii="Arial Narrow" w:hAnsi="Arial Narrow" w:cs="Arial Narrow"/>
          <w:b/>
          <w:sz w:val="22"/>
          <w:szCs w:val="22"/>
          <w:u w:val="single"/>
        </w:rPr>
      </w:pPr>
    </w:p>
    <w:p w:rsidR="00737CE4" w:rsidRDefault="0081039E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Please note that the written contribution is formatted and issued, unedited, in the language(s) received from the submitting organization (it should be submitted in one of the official UN languages).</w:t>
      </w:r>
    </w:p>
    <w:p w:rsidR="00737CE4" w:rsidRDefault="0081039E">
      <w:pPr>
        <w:spacing w:before="120"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order for your contribution to be published on the OE</w:t>
      </w:r>
      <w:r>
        <w:rPr>
          <w:rFonts w:ascii="Arial Narrow" w:hAnsi="Arial Narrow" w:cs="Arial Narrow"/>
          <w:sz w:val="22"/>
          <w:szCs w:val="22"/>
        </w:rPr>
        <w:t xml:space="preserve">IWG web page prior to the session, the deadline for submission is 30 September 2016. All submissions are final. </w:t>
      </w:r>
    </w:p>
    <w:p w:rsidR="00737CE4" w:rsidRDefault="0081039E">
      <w:r>
        <w:rPr>
          <w:rFonts w:ascii="Arial Narrow" w:hAnsi="Arial Narrow" w:cs="Arial Narrow"/>
          <w:sz w:val="22"/>
          <w:szCs w:val="22"/>
        </w:rPr>
        <w:t xml:space="preserve">Please fill out </w:t>
      </w:r>
      <w:r>
        <w:rPr>
          <w:rFonts w:ascii="Arial Narrow" w:hAnsi="Arial Narrow" w:cs="Arial Narrow"/>
          <w:b/>
          <w:sz w:val="22"/>
          <w:szCs w:val="22"/>
        </w:rPr>
        <w:t>this</w:t>
      </w:r>
      <w:r>
        <w:rPr>
          <w:rFonts w:ascii="Arial Narrow" w:hAnsi="Arial Narrow" w:cs="Arial Narrow"/>
          <w:sz w:val="22"/>
          <w:szCs w:val="22"/>
        </w:rPr>
        <w:t xml:space="preserve"> FORM and CHECKLIST to submit your written contribution and send it to the address indicated below. Your information goes a</w:t>
      </w:r>
      <w:r>
        <w:rPr>
          <w:rFonts w:ascii="Arial Narrow" w:hAnsi="Arial Narrow" w:cs="Arial Narrow"/>
          <w:sz w:val="22"/>
          <w:szCs w:val="22"/>
        </w:rPr>
        <w:t>fter each arrow.</w:t>
      </w:r>
    </w:p>
    <w:p w:rsidR="00737CE4" w:rsidRDefault="00737CE4">
      <w:pPr>
        <w:rPr>
          <w:rFonts w:ascii="Arial Narrow" w:hAnsi="Arial Narrow" w:cs="Arial Narrow"/>
          <w:sz w:val="22"/>
          <w:szCs w:val="22"/>
        </w:rPr>
      </w:pPr>
    </w:p>
    <w:p w:rsidR="00737CE4" w:rsidRDefault="0081039E">
      <w:pPr>
        <w:spacing w:line="220" w:lineRule="atLeast"/>
        <w:ind w:left="480"/>
      </w:pPr>
      <w:r>
        <w:rPr>
          <w:rFonts w:ascii="Arial Narrow" w:hAnsi="Arial Narrow" w:cs="Arial Narrow"/>
          <w:b/>
          <w:sz w:val="22"/>
          <w:szCs w:val="22"/>
        </w:rPr>
        <w:t>1.</w:t>
      </w:r>
      <w:r>
        <w:rPr>
          <w:rFonts w:ascii="Arial Narrow" w:hAnsi="Arial Narrow" w:cs="Arial Narrow"/>
          <w:sz w:val="22"/>
          <w:szCs w:val="22"/>
        </w:rPr>
        <w:tab/>
        <w:t xml:space="preserve">Please indicate the contact information for the representative submitting the written contribution (i.e. name, mobile, email) here: </w:t>
      </w:r>
      <w:r>
        <w:rPr>
          <w:rFonts w:ascii="Arial Narrow" w:hAnsi="Arial Narrow" w:cs="Arial Narrow"/>
          <w:noProof/>
          <w:sz w:val="22"/>
          <w:szCs w:val="22"/>
          <w:lang w:val="fr-FR" w:eastAsia="fr-FR"/>
        </w:rPr>
        <w:drawing>
          <wp:inline distT="0" distB="0" distL="0" distR="0">
            <wp:extent cx="158750" cy="16700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Melik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ÖZDEN (0797288058, </w:t>
      </w:r>
      <w:hyperlink r:id="rId8">
        <w:r>
          <w:rPr>
            <w:rStyle w:val="LienInternet"/>
            <w:rFonts w:ascii="Arial Narrow" w:hAnsi="Arial Narrow" w:cs="Arial Narrow"/>
            <w:b/>
            <w:sz w:val="22"/>
            <w:szCs w:val="22"/>
          </w:rPr>
          <w:t>contact@cetim.ch</w:t>
        </w:r>
      </w:hyperlink>
      <w:r>
        <w:rPr>
          <w:rFonts w:ascii="Arial Narrow" w:hAnsi="Arial Narrow" w:cs="Arial Narrow"/>
          <w:b/>
          <w:sz w:val="22"/>
          <w:szCs w:val="22"/>
        </w:rPr>
        <w:t xml:space="preserve">), Gonzalo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Berron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(</w:t>
      </w:r>
      <w:r>
        <w:rPr>
          <w:rFonts w:ascii="Arial Narrow" w:hAnsi="Arial Narrow" w:cs="Arial Narrow"/>
          <w:b/>
          <w:sz w:val="22"/>
          <w:szCs w:val="22"/>
        </w:rPr>
        <w:t>+55 11 964262381, gonzalo.berron@tni.org)</w:t>
      </w:r>
    </w:p>
    <w:p w:rsidR="00737CE4" w:rsidRDefault="00737CE4">
      <w:pPr>
        <w:spacing w:line="220" w:lineRule="atLeast"/>
        <w:rPr>
          <w:rFonts w:ascii="Arial Narrow" w:hAnsi="Arial Narrow" w:cs="Arial Narrow"/>
          <w:b/>
          <w:sz w:val="18"/>
          <w:szCs w:val="18"/>
        </w:rPr>
      </w:pPr>
    </w:p>
    <w:p w:rsidR="00737CE4" w:rsidRDefault="0081039E">
      <w:pPr>
        <w:spacing w:line="220" w:lineRule="atLeast"/>
        <w:ind w:left="48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2. (</w:t>
      </w:r>
      <w:proofErr w:type="gramStart"/>
      <w:r>
        <w:rPr>
          <w:rFonts w:ascii="Arial Narrow" w:hAnsi="Arial Narrow" w:cs="Arial Narrow"/>
          <w:b/>
          <w:sz w:val="22"/>
          <w:szCs w:val="22"/>
        </w:rPr>
        <w:t>a</w:t>
      </w:r>
      <w:proofErr w:type="gramEnd"/>
      <w:r>
        <w:rPr>
          <w:rFonts w:ascii="Arial Narrow" w:hAnsi="Arial Narrow" w:cs="Arial Narrow"/>
          <w:b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 xml:space="preserve">  If this is an individual contribution, please indicate here your organization's name (kindly state in brackets whether your organization has ECOSOC consultative status (i.e. General, Special, or Roster). </w:t>
      </w:r>
      <w:r>
        <w:rPr>
          <w:rFonts w:ascii="Arial Narrow" w:hAnsi="Arial Narrow" w:cs="Arial Narrow"/>
          <w:noProof/>
          <w:sz w:val="22"/>
          <w:szCs w:val="22"/>
          <w:lang w:val="fr-FR" w:eastAsia="fr-FR"/>
        </w:rPr>
        <w:drawing>
          <wp:inline distT="0" distB="0" distL="0" distR="0">
            <wp:extent cx="158750" cy="16700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E4" w:rsidRDefault="0081039E">
      <w:pPr>
        <w:spacing w:line="220" w:lineRule="atLeast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or</w:t>
      </w:r>
      <w:proofErr w:type="gramEnd"/>
      <w:r>
        <w:rPr>
          <w:rFonts w:ascii="Arial Narrow" w:hAnsi="Arial Narrow" w:cs="Arial Narrow"/>
          <w:sz w:val="22"/>
          <w:szCs w:val="22"/>
        </w:rPr>
        <w:t>,</w:t>
      </w:r>
    </w:p>
    <w:p w:rsidR="00737CE4" w:rsidRDefault="0081039E">
      <w:pPr>
        <w:spacing w:line="220" w:lineRule="atLeast"/>
        <w:ind w:left="480"/>
      </w:pPr>
      <w:r>
        <w:rPr>
          <w:rFonts w:ascii="Arial Narrow" w:hAnsi="Arial Narrow" w:cs="Arial Narrow"/>
          <w:b/>
          <w:sz w:val="22"/>
          <w:szCs w:val="22"/>
        </w:rPr>
        <w:t>2. (</w:t>
      </w:r>
      <w:proofErr w:type="gramStart"/>
      <w:r>
        <w:rPr>
          <w:rFonts w:ascii="Arial Narrow" w:hAnsi="Arial Narrow" w:cs="Arial Narrow"/>
          <w:b/>
          <w:sz w:val="22"/>
          <w:szCs w:val="22"/>
        </w:rPr>
        <w:t>b</w:t>
      </w:r>
      <w:proofErr w:type="gramEnd"/>
      <w:r>
        <w:rPr>
          <w:rFonts w:ascii="Arial Narrow" w:hAnsi="Arial Narrow" w:cs="Arial Narrow"/>
          <w:b/>
          <w:sz w:val="22"/>
          <w:szCs w:val="22"/>
        </w:rPr>
        <w:t xml:space="preserve">)  </w:t>
      </w:r>
      <w:r>
        <w:rPr>
          <w:rFonts w:ascii="Arial Narrow" w:hAnsi="Arial Narrow" w:cs="Arial Narrow"/>
          <w:sz w:val="22"/>
          <w:szCs w:val="22"/>
        </w:rPr>
        <w:t>If this is a joint contribution including ECOSOC NGO(s), list here the co-sponsoring ECOSOC NGO(s) as they appear in the ECOSOC database and their status (in brackets): Group all General NGOs first, group the Special second, group the Roster t</w:t>
      </w:r>
      <w:r>
        <w:rPr>
          <w:rFonts w:ascii="Arial Narrow" w:hAnsi="Arial Narrow" w:cs="Arial Narrow"/>
          <w:sz w:val="22"/>
          <w:szCs w:val="22"/>
        </w:rPr>
        <w:t>hird</w:t>
      </w:r>
      <w:r>
        <w:rPr>
          <w:rFonts w:ascii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hAnsi="Arial Narrow" w:cs="Arial Narrow"/>
          <w:b/>
          <w:noProof/>
          <w:sz w:val="22"/>
          <w:szCs w:val="22"/>
          <w:lang w:val="fr-FR" w:eastAsia="fr-FR"/>
        </w:rPr>
        <w:drawing>
          <wp:inline distT="0" distB="0" distL="0" distR="0">
            <wp:extent cx="158750" cy="16700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b/>
          <w:sz w:val="22"/>
          <w:szCs w:val="22"/>
        </w:rPr>
        <w:t xml:space="preserve">Centro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Europa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–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Tercer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Mundo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(CETIM),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organización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no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gubernamental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reconocida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/>
          <w:sz w:val="22"/>
          <w:szCs w:val="22"/>
        </w:rPr>
        <w:t>como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entidad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consultiva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generale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, Institute for Policy Studies/Transnational Institute,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organización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no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gubernamental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reconocida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como</w:t>
      </w:r>
      <w:proofErr w:type="spellEnd"/>
      <w:proofErr w:type="gram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entidad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consultiva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Especial</w:t>
      </w:r>
    </w:p>
    <w:p w:rsidR="00737CE4" w:rsidRDefault="00737CE4">
      <w:pPr>
        <w:spacing w:line="220" w:lineRule="atLeast"/>
        <w:ind w:left="480"/>
        <w:rPr>
          <w:rFonts w:ascii="Arial Narrow" w:hAnsi="Arial Narrow" w:cs="Arial Narrow"/>
          <w:sz w:val="22"/>
          <w:szCs w:val="22"/>
        </w:rPr>
      </w:pPr>
    </w:p>
    <w:p w:rsidR="00737CE4" w:rsidRDefault="0081039E">
      <w:pPr>
        <w:spacing w:line="220" w:lineRule="atLeast"/>
        <w:ind w:left="48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sz w:val="22"/>
          <w:szCs w:val="22"/>
        </w:rPr>
        <w:t>3.</w:t>
      </w:r>
      <w:r>
        <w:rPr>
          <w:rFonts w:ascii="Arial Narrow" w:hAnsi="Arial Narrow" w:cs="Arial Narrow"/>
          <w:sz w:val="22"/>
          <w:szCs w:val="22"/>
        </w:rPr>
        <w:tab/>
        <w:t>Indi</w:t>
      </w:r>
      <w:r>
        <w:rPr>
          <w:rFonts w:ascii="Arial Narrow" w:hAnsi="Arial Narrow" w:cs="Arial Narrow"/>
          <w:sz w:val="22"/>
          <w:szCs w:val="22"/>
        </w:rPr>
        <w:t xml:space="preserve">cate here any non-ECOSOC NGO(s) supporting the joint contribution (they will appear as a footnote to the title – unless it is a joint contribution from non-ECOSOC stakeholders only): </w:t>
      </w:r>
      <w:r>
        <w:rPr>
          <w:rFonts w:ascii="Arial Narrow" w:hAnsi="Arial Narrow" w:cs="Arial Narrow"/>
          <w:noProof/>
          <w:sz w:val="22"/>
          <w:szCs w:val="22"/>
          <w:lang w:val="fr-FR" w:eastAsia="fr-FR"/>
        </w:rPr>
        <w:drawing>
          <wp:inline distT="0" distB="0" distL="0" distR="0">
            <wp:extent cx="158750" cy="16700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E4" w:rsidRDefault="00737CE4">
      <w:pPr>
        <w:spacing w:line="220" w:lineRule="atLeast"/>
        <w:ind w:left="480"/>
        <w:rPr>
          <w:rFonts w:ascii="Arial Narrow" w:hAnsi="Arial Narrow" w:cs="Arial Narrow"/>
          <w:sz w:val="18"/>
          <w:szCs w:val="18"/>
        </w:rPr>
      </w:pPr>
    </w:p>
    <w:p w:rsidR="00737CE4" w:rsidRDefault="0081039E">
      <w:pPr>
        <w:spacing w:line="220" w:lineRule="atLeast"/>
        <w:ind w:left="480"/>
      </w:pPr>
      <w:r>
        <w:rPr>
          <w:rFonts w:ascii="Arial Narrow" w:hAnsi="Arial Narrow" w:cs="Arial Narrow"/>
          <w:b/>
          <w:sz w:val="22"/>
          <w:szCs w:val="22"/>
        </w:rPr>
        <w:t>4.</w:t>
      </w:r>
      <w:r>
        <w:rPr>
          <w:rFonts w:ascii="Arial Narrow" w:hAnsi="Arial Narrow" w:cs="Arial Narrow"/>
          <w:sz w:val="22"/>
          <w:szCs w:val="22"/>
        </w:rPr>
        <w:tab/>
        <w:t>Indicate the TITLE for the written contribution (in original langua</w:t>
      </w:r>
      <w:r>
        <w:rPr>
          <w:rFonts w:ascii="Arial Narrow" w:hAnsi="Arial Narrow" w:cs="Arial Narrow"/>
          <w:sz w:val="22"/>
          <w:szCs w:val="22"/>
        </w:rPr>
        <w:t xml:space="preserve">ge) here: </w:t>
      </w:r>
      <w:r>
        <w:rPr>
          <w:rFonts w:ascii="Arial Narrow" w:hAnsi="Arial Narrow" w:cs="Arial Narrow"/>
          <w:noProof/>
          <w:sz w:val="22"/>
          <w:szCs w:val="22"/>
          <w:lang w:val="fr-FR" w:eastAsia="fr-FR"/>
        </w:rPr>
        <w:drawing>
          <wp:inline distT="0" distB="0" distL="0" distR="0">
            <wp:extent cx="158750" cy="16700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Tema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5.a):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Obligaciones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de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las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Instituciones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Financieras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Internacionales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(IFIs),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Bancos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Regionales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y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otros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instrumentos</w:t>
      </w:r>
      <w:proofErr w:type="spellEnd"/>
      <w:r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sz w:val="22"/>
          <w:szCs w:val="22"/>
        </w:rPr>
        <w:t>financieros</w:t>
      </w:r>
      <w:proofErr w:type="spellEnd"/>
    </w:p>
    <w:p w:rsidR="00737CE4" w:rsidRDefault="00737CE4">
      <w:pPr>
        <w:ind w:left="360"/>
        <w:rPr>
          <w:rFonts w:ascii="Arial Narrow" w:hAnsi="Arial Narrow" w:cs="Arial Narrow"/>
          <w:sz w:val="22"/>
          <w:szCs w:val="22"/>
        </w:rPr>
      </w:pPr>
    </w:p>
    <w:p w:rsidR="00737CE4" w:rsidRDefault="0081039E">
      <w:pPr>
        <w:rPr>
          <w:rFonts w:ascii="Arial Narrow" w:hAnsi="Arial Narrow" w:cs="Arial Narrow"/>
          <w:b/>
          <w:sz w:val="22"/>
          <w:szCs w:val="22"/>
          <w:u w:val="single"/>
        </w:rPr>
      </w:pPr>
      <w:r>
        <w:rPr>
          <w:rFonts w:ascii="Arial Narrow" w:hAnsi="Arial Narrow" w:cs="Arial Narrow"/>
          <w:b/>
          <w:sz w:val="22"/>
          <w:szCs w:val="22"/>
          <w:u w:val="single"/>
        </w:rPr>
        <w:t xml:space="preserve">Please make sure that: </w:t>
      </w:r>
    </w:p>
    <w:p w:rsidR="00737CE4" w:rsidRDefault="00737CE4">
      <w:pPr>
        <w:rPr>
          <w:rFonts w:ascii="Arial Narrow" w:hAnsi="Arial Narrow" w:cs="Arial Narrow"/>
          <w:b/>
          <w:sz w:val="22"/>
          <w:szCs w:val="22"/>
          <w:u w:val="single"/>
        </w:rPr>
      </w:pPr>
    </w:p>
    <w:p w:rsidR="00737CE4" w:rsidRDefault="0081039E">
      <w:pPr>
        <w:numPr>
          <w:ilvl w:val="0"/>
          <w:numId w:val="2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The written contribution is in MS WORD document format (Font Times New Roman 10; no bold; no underline; no italics). </w:t>
      </w:r>
    </w:p>
    <w:p w:rsidR="00737CE4" w:rsidRDefault="00737CE4">
      <w:pPr>
        <w:rPr>
          <w:rFonts w:ascii="Arial Narrow" w:hAnsi="Arial Narrow" w:cs="Arial Narrow"/>
          <w:sz w:val="22"/>
          <w:szCs w:val="22"/>
        </w:rPr>
      </w:pPr>
    </w:p>
    <w:p w:rsidR="00737CE4" w:rsidRDefault="0081039E">
      <w:pPr>
        <w:numPr>
          <w:ilvl w:val="0"/>
          <w:numId w:val="1"/>
        </w:numPr>
      </w:pPr>
      <w:r>
        <w:rPr>
          <w:rFonts w:ascii="Arial Narrow" w:hAnsi="Arial Narrow" w:cs="Arial Narrow"/>
          <w:sz w:val="22"/>
          <w:szCs w:val="22"/>
        </w:rPr>
        <w:t>Please use the Spell/grammar check on your text</w:t>
      </w:r>
      <w:r>
        <w:rPr>
          <w:rFonts w:ascii="Arial Narrow" w:hAnsi="Arial Narrow" w:cs="Arial Narrow"/>
          <w:spacing w:val="-12"/>
          <w:sz w:val="22"/>
          <w:szCs w:val="22"/>
        </w:rPr>
        <w:t>. (Go to Tools, Spelling &amp; Grammar)</w:t>
      </w:r>
    </w:p>
    <w:p w:rsidR="00737CE4" w:rsidRDefault="00737CE4">
      <w:pPr>
        <w:rPr>
          <w:rFonts w:ascii="Arial Narrow" w:hAnsi="Arial Narrow" w:cs="Arial Narrow"/>
          <w:sz w:val="22"/>
          <w:szCs w:val="22"/>
        </w:rPr>
      </w:pPr>
    </w:p>
    <w:p w:rsidR="00737CE4" w:rsidRDefault="0081039E">
      <w:pPr>
        <w:numPr>
          <w:ilvl w:val="0"/>
          <w:numId w:val="1"/>
        </w:numPr>
      </w:pPr>
      <w:r>
        <w:rPr>
          <w:rFonts w:ascii="Arial Narrow" w:hAnsi="Arial Narrow" w:cs="Arial Narrow"/>
          <w:sz w:val="22"/>
          <w:szCs w:val="22"/>
        </w:rPr>
        <w:t xml:space="preserve">Different language versions of one statement should be sent in the same email, but using </w:t>
      </w:r>
      <w:r>
        <w:rPr>
          <w:rFonts w:ascii="Arial Narrow" w:hAnsi="Arial Narrow" w:cs="Arial Narrow"/>
          <w:b/>
          <w:sz w:val="22"/>
          <w:szCs w:val="22"/>
          <w:u w:val="single"/>
        </w:rPr>
        <w:t>a separate form</w:t>
      </w:r>
      <w:r>
        <w:rPr>
          <w:rFonts w:ascii="Arial Narrow" w:hAnsi="Arial Narrow" w:cs="Arial Narrow"/>
          <w:sz w:val="22"/>
          <w:szCs w:val="22"/>
        </w:rPr>
        <w:t xml:space="preserve"> for each.</w:t>
      </w:r>
    </w:p>
    <w:p w:rsidR="00737CE4" w:rsidRDefault="00737CE4">
      <w:pPr>
        <w:rPr>
          <w:rFonts w:ascii="Arial Narrow" w:hAnsi="Arial Narrow" w:cs="Arial Narrow"/>
          <w:sz w:val="22"/>
          <w:szCs w:val="22"/>
        </w:rPr>
      </w:pPr>
    </w:p>
    <w:p w:rsidR="00737CE4" w:rsidRDefault="0081039E">
      <w:pPr>
        <w:numPr>
          <w:ilvl w:val="0"/>
          <w:numId w:val="1"/>
        </w:numPr>
      </w:pPr>
      <w:r>
        <w:rPr>
          <w:rFonts w:ascii="Arial Narrow" w:hAnsi="Arial Narrow" w:cs="Arial Narrow"/>
          <w:sz w:val="22"/>
          <w:szCs w:val="22"/>
        </w:rPr>
        <w:t xml:space="preserve">Email the document to: </w:t>
      </w:r>
      <w:hyperlink r:id="rId9">
        <w:r>
          <w:rPr>
            <w:rStyle w:val="LienInternet"/>
            <w:rFonts w:ascii="Arial Narrow" w:hAnsi="Arial Narrow" w:cs="Arial Narrow"/>
            <w:sz w:val="22"/>
            <w:szCs w:val="22"/>
            <w:highlight w:val="white"/>
          </w:rPr>
          <w:t>igwg-tncs@ohchr.org</w:t>
        </w:r>
      </w:hyperlink>
    </w:p>
    <w:p w:rsidR="00737CE4" w:rsidRDefault="00737CE4">
      <w:pPr>
        <w:rPr>
          <w:rFonts w:ascii="Arial Narrow" w:hAnsi="Arial Narrow" w:cs="Arial Narrow"/>
          <w:b/>
          <w:sz w:val="22"/>
          <w:szCs w:val="22"/>
        </w:rPr>
      </w:pPr>
    </w:p>
    <w:p w:rsidR="00737CE4" w:rsidRDefault="0081039E">
      <w:pPr>
        <w:jc w:val="center"/>
      </w:pPr>
      <w:r>
        <w:rPr>
          <w:rFonts w:ascii="Arial Narrow" w:hAnsi="Arial Narrow" w:cs="Arial Narrow"/>
          <w:b/>
          <w:u w:val="single"/>
        </w:rPr>
        <w:t>PLEASE PASTE THE FINAL TEXT BELOW</w:t>
      </w:r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  <w:noProof/>
          <w:lang w:val="fr-FR" w:eastAsia="fr-FR"/>
        </w:rPr>
        <w:drawing>
          <wp:inline distT="0" distB="0" distL="0" distR="0">
            <wp:extent cx="269875" cy="27559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E4" w:rsidRDefault="00737CE4">
      <w:pPr>
        <w:pStyle w:val="BodyText"/>
        <w:spacing w:after="0" w:line="240" w:lineRule="auto"/>
        <w:jc w:val="center"/>
      </w:pPr>
    </w:p>
    <w:p w:rsidR="00737CE4" w:rsidRDefault="0081039E">
      <w:pPr>
        <w:pStyle w:val="BodyText"/>
        <w:spacing w:after="0" w:line="240" w:lineRule="auto"/>
        <w:jc w:val="center"/>
      </w:pPr>
      <w:bookmarkStart w:id="0" w:name="__DdeLink__1282_1772027441"/>
      <w:r>
        <w:rPr>
          <w:sz w:val="20"/>
          <w:szCs w:val="20"/>
          <w:lang w:val="es-ES"/>
        </w:rPr>
        <w:lastRenderedPageBreak/>
        <w:t xml:space="preserve">La </w:t>
      </w:r>
      <w:r>
        <w:rPr>
          <w:color w:val="010101"/>
          <w:sz w:val="20"/>
          <w:szCs w:val="20"/>
          <w:lang w:val="es-ES"/>
        </w:rPr>
        <w:t>Campaña Glob</w:t>
      </w:r>
      <w:r>
        <w:rPr>
          <w:color w:val="010101"/>
          <w:sz w:val="20"/>
          <w:szCs w:val="20"/>
          <w:lang w:val="es-ES"/>
        </w:rPr>
        <w:t xml:space="preserve">al para Desmantelar el Poder de las Transnacionales y Poner fin a la Impunidad (Campaña Global) </w:t>
      </w:r>
      <w:r>
        <w:rPr>
          <w:sz w:val="20"/>
          <w:szCs w:val="20"/>
          <w:lang w:val="es-ES"/>
        </w:rPr>
        <w:t>f</w:t>
      </w:r>
      <w:bookmarkEnd w:id="0"/>
      <w:r>
        <w:rPr>
          <w:sz w:val="20"/>
          <w:szCs w:val="20"/>
          <w:lang w:val="es-ES"/>
        </w:rPr>
        <w:t xml:space="preserve">acilitó la elaboración de seis presentaciones escritas para consideración de la Segunda Sesión del “Grupo de Trabajo Intergubernamental sobre Empresas </w:t>
      </w:r>
      <w:r>
        <w:rPr>
          <w:sz w:val="20"/>
          <w:szCs w:val="20"/>
          <w:lang w:val="es-ES"/>
        </w:rPr>
        <w:t>Transnacionales y otras empresas en relación a los derechos humanos” que tiene lugar en Ginebra entre los días 24 y 28 de octubre de 2016. Son parte de la contribución de la Campaña Global al mandato del Grupo de Trabajo para desarrollar un “instrumento in</w:t>
      </w:r>
      <w:r>
        <w:rPr>
          <w:sz w:val="20"/>
          <w:szCs w:val="20"/>
          <w:lang w:val="es-ES"/>
        </w:rPr>
        <w:t>ternacional legalmente vinculante sobre Empresas Transnacionales (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>) y otras empresas en relación a los Derechos Humanos”. Expresan su diversidad y la convicción de que un instrumento legalmente vinculante es esencial para dos dimensiones del trabajo de</w:t>
      </w:r>
      <w:r>
        <w:rPr>
          <w:sz w:val="20"/>
          <w:szCs w:val="20"/>
          <w:lang w:val="es-ES"/>
        </w:rPr>
        <w:t xml:space="preserve"> la Campaña: poner fin a la impunidad de las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 xml:space="preserve"> y contestar su poder sistémico que ha causado impactos inéditos en la vida diaria de las comunidades afectadas.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Las Instituciones Financieras Internacionales (</w:t>
      </w:r>
      <w:proofErr w:type="spellStart"/>
      <w:r>
        <w:rPr>
          <w:sz w:val="20"/>
          <w:szCs w:val="20"/>
          <w:lang w:val="es-ES"/>
        </w:rPr>
        <w:t>IFIs</w:t>
      </w:r>
      <w:proofErr w:type="spellEnd"/>
      <w:r>
        <w:rPr>
          <w:sz w:val="20"/>
          <w:szCs w:val="20"/>
          <w:lang w:val="es-ES"/>
        </w:rPr>
        <w:t>)</w:t>
      </w:r>
    </w:p>
    <w:p w:rsidR="00737CE4" w:rsidRDefault="0081039E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futuro instrumento internacional vinc</w:t>
      </w:r>
      <w:r>
        <w:rPr>
          <w:sz w:val="20"/>
          <w:szCs w:val="20"/>
          <w:lang w:val="es-ES"/>
        </w:rPr>
        <w:t>ulante debe incluir reglas sobre obligaciones de las Instituciones Financieras Internacionales (</w:t>
      </w:r>
      <w:proofErr w:type="spellStart"/>
      <w:r>
        <w:rPr>
          <w:sz w:val="20"/>
          <w:szCs w:val="20"/>
          <w:lang w:val="es-ES"/>
        </w:rPr>
        <w:t>IFIs</w:t>
      </w:r>
      <w:proofErr w:type="spellEnd"/>
      <w:r>
        <w:rPr>
          <w:sz w:val="20"/>
          <w:szCs w:val="20"/>
          <w:lang w:val="es-ES"/>
        </w:rPr>
        <w:t>) e instrumentos relativos, así como sobre la conducta del régimen internacional de comercio e inversiones.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  <w:rPr>
          <w:color w:val="333333"/>
          <w:sz w:val="20"/>
          <w:szCs w:val="20"/>
          <w:lang w:val="es-ES"/>
        </w:rPr>
      </w:pPr>
      <w:r>
        <w:rPr>
          <w:color w:val="333333"/>
          <w:sz w:val="20"/>
          <w:szCs w:val="20"/>
          <w:lang w:val="es-ES"/>
        </w:rPr>
        <w:t>Las políticas económicas impuestas por el Fondo</w:t>
      </w:r>
      <w:r>
        <w:rPr>
          <w:color w:val="333333"/>
          <w:sz w:val="20"/>
          <w:szCs w:val="20"/>
          <w:lang w:val="es-ES"/>
        </w:rPr>
        <w:t xml:space="preserve"> Monetario Internacional (FMI), el Banco Mundial (BM) y otros bancos regionales (e instrumentos financieros como las agencia de crédito a las exportaciones, etc.) contribuyen con la construcción de la arquitectura de la impunidad de las Empresas Transnacio</w:t>
      </w:r>
      <w:r>
        <w:rPr>
          <w:color w:val="333333"/>
          <w:sz w:val="20"/>
          <w:szCs w:val="20"/>
          <w:lang w:val="es-ES"/>
        </w:rPr>
        <w:t>nales (</w:t>
      </w:r>
      <w:proofErr w:type="spellStart"/>
      <w:r>
        <w:rPr>
          <w:color w:val="333333"/>
          <w:sz w:val="20"/>
          <w:szCs w:val="20"/>
          <w:lang w:val="es-ES"/>
        </w:rPr>
        <w:t>ETNs</w:t>
      </w:r>
      <w:proofErr w:type="spellEnd"/>
      <w:r>
        <w:rPr>
          <w:color w:val="333333"/>
          <w:sz w:val="20"/>
          <w:szCs w:val="20"/>
          <w:lang w:val="es-ES"/>
        </w:rPr>
        <w:t xml:space="preserve">) y son responsables por muchas violaciones de derechos humanos. Las condiciones demandadas por las </w:t>
      </w:r>
      <w:proofErr w:type="spellStart"/>
      <w:r>
        <w:rPr>
          <w:color w:val="333333"/>
          <w:sz w:val="20"/>
          <w:szCs w:val="20"/>
          <w:lang w:val="es-ES"/>
        </w:rPr>
        <w:t>IFIs</w:t>
      </w:r>
      <w:proofErr w:type="spellEnd"/>
      <w:r>
        <w:rPr>
          <w:color w:val="333333"/>
          <w:sz w:val="20"/>
          <w:szCs w:val="20"/>
          <w:lang w:val="es-ES"/>
        </w:rPr>
        <w:t xml:space="preserve"> a los países del Sur Global a través de las políticas de ajuste estructural y las demandas por mayor liberalización como parte de los acuerd</w:t>
      </w:r>
      <w:r>
        <w:rPr>
          <w:color w:val="333333"/>
          <w:sz w:val="20"/>
          <w:szCs w:val="20"/>
          <w:lang w:val="es-ES"/>
        </w:rPr>
        <w:t xml:space="preserve">os de libre comercio, son un elemento que obliga a los estados a abrir sus economías a las </w:t>
      </w:r>
      <w:proofErr w:type="spellStart"/>
      <w:r>
        <w:rPr>
          <w:color w:val="333333"/>
          <w:sz w:val="20"/>
          <w:szCs w:val="20"/>
          <w:lang w:val="es-ES"/>
        </w:rPr>
        <w:t>ETNs</w:t>
      </w:r>
      <w:proofErr w:type="spellEnd"/>
      <w:r>
        <w:rPr>
          <w:color w:val="333333"/>
          <w:sz w:val="20"/>
          <w:szCs w:val="20"/>
          <w:lang w:val="es-ES"/>
        </w:rPr>
        <w:t>.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</w:pPr>
      <w:r>
        <w:rPr>
          <w:color w:val="333333"/>
          <w:sz w:val="20"/>
          <w:szCs w:val="20"/>
          <w:lang w:val="es-ES"/>
        </w:rPr>
        <w:t>Las organizaciones multilaterales, en particular en BM, el FMI y la Organización Mundial del Comercio (OMC), como sujetos de derecho internacional, están vinc</w:t>
      </w:r>
      <w:r>
        <w:rPr>
          <w:color w:val="333333"/>
          <w:sz w:val="20"/>
          <w:szCs w:val="20"/>
          <w:lang w:val="es-ES"/>
        </w:rPr>
        <w:t>uladas no sólo por las reglas derivadas de sus estatutos o de los acuerdos internacionales de los que estas instituciones son parte, sino también por todas las normas y reglas relevantes del derecho internacional en general</w:t>
      </w:r>
      <w:r>
        <w:rPr>
          <w:rStyle w:val="Ancredenotedebasdepage"/>
          <w:color w:val="333333"/>
          <w:sz w:val="20"/>
          <w:szCs w:val="20"/>
          <w:lang w:val="es-ES"/>
        </w:rPr>
        <w:footnoteReference w:id="1"/>
      </w:r>
      <w:r>
        <w:rPr>
          <w:sz w:val="20"/>
          <w:szCs w:val="20"/>
          <w:lang w:val="es-ES"/>
        </w:rPr>
        <w:t>. Además, el BM y el FMI, como a</w:t>
      </w:r>
      <w:r>
        <w:rPr>
          <w:sz w:val="20"/>
          <w:szCs w:val="20"/>
          <w:lang w:val="es-ES"/>
        </w:rPr>
        <w:t>gencias especializadas de la ONU, están bajo el imperio de los objetivos y principios generales de la Carta de las Naciones Unidas, que incluye el respeto a los derechos humanos y las libertades fundamentales</w:t>
      </w:r>
      <w:r>
        <w:rPr>
          <w:rStyle w:val="Ancredenotedebasdepage"/>
          <w:sz w:val="20"/>
          <w:szCs w:val="20"/>
          <w:lang w:val="es-ES"/>
        </w:rPr>
        <w:footnoteReference w:id="2"/>
      </w:r>
      <w:r>
        <w:rPr>
          <w:sz w:val="20"/>
          <w:szCs w:val="20"/>
          <w:lang w:val="es-ES"/>
        </w:rPr>
        <w:t>.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Fondo Monetario Internacional (FMI) y el </w:t>
      </w:r>
      <w:r>
        <w:rPr>
          <w:sz w:val="20"/>
          <w:szCs w:val="20"/>
          <w:lang w:val="es-ES"/>
        </w:rPr>
        <w:t>Banco Mundial (BM)</w:t>
      </w:r>
    </w:p>
    <w:p w:rsidR="00737CE4" w:rsidRDefault="0081039E">
      <w:pPr>
        <w:pStyle w:val="BodyText"/>
        <w:spacing w:after="0" w:line="240" w:lineRule="auto"/>
        <w:jc w:val="both"/>
      </w:pPr>
      <w:r>
        <w:rPr>
          <w:sz w:val="20"/>
          <w:szCs w:val="20"/>
          <w:lang w:val="es-ES"/>
        </w:rPr>
        <w:t xml:space="preserve">Para ser efectivo, el futuro tratado internacional necesita tratar de las políticas de las </w:t>
      </w:r>
      <w:proofErr w:type="spellStart"/>
      <w:r>
        <w:rPr>
          <w:sz w:val="20"/>
          <w:szCs w:val="20"/>
          <w:lang w:val="es-ES"/>
        </w:rPr>
        <w:t>IFIs</w:t>
      </w:r>
      <w:proofErr w:type="spellEnd"/>
      <w:r>
        <w:rPr>
          <w:sz w:val="20"/>
          <w:szCs w:val="20"/>
          <w:lang w:val="es-ES"/>
        </w:rPr>
        <w:t xml:space="preserve"> que violan a los derechos humanos. En los 72 años que datan desde la creación, en </w:t>
      </w:r>
      <w:proofErr w:type="spellStart"/>
      <w:r>
        <w:rPr>
          <w:sz w:val="20"/>
          <w:szCs w:val="20"/>
          <w:lang w:val="es-ES"/>
        </w:rPr>
        <w:t>Bretton</w:t>
      </w:r>
      <w:proofErr w:type="spellEnd"/>
      <w:r>
        <w:rPr>
          <w:sz w:val="20"/>
          <w:szCs w:val="20"/>
          <w:lang w:val="es-ES"/>
        </w:rPr>
        <w:t xml:space="preserve"> Woods en 1944, el BM y el FMI nunca han sido respon</w:t>
      </w:r>
      <w:r>
        <w:rPr>
          <w:sz w:val="20"/>
          <w:szCs w:val="20"/>
          <w:lang w:val="es-ES"/>
        </w:rPr>
        <w:t xml:space="preserve">sabilizados. Su status legal podría ser calificado como una “zona libre de derechos humanos”, tal como lo señalara el experto de la ONU Philip </w:t>
      </w:r>
      <w:proofErr w:type="spellStart"/>
      <w:r>
        <w:rPr>
          <w:sz w:val="20"/>
          <w:szCs w:val="20"/>
          <w:lang w:val="es-ES"/>
        </w:rPr>
        <w:t>Alston</w:t>
      </w:r>
      <w:proofErr w:type="spellEnd"/>
      <w:r>
        <w:rPr>
          <w:rStyle w:val="Ancredenotedebasdepage"/>
          <w:sz w:val="20"/>
          <w:szCs w:val="20"/>
          <w:lang w:val="es-ES"/>
        </w:rPr>
        <w:footnoteReference w:id="3"/>
      </w:r>
      <w:r>
        <w:rPr>
          <w:sz w:val="20"/>
          <w:szCs w:val="20"/>
          <w:lang w:val="es-ES"/>
        </w:rPr>
        <w:t>.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BM adoptó un instrumento llamado “políticas de salvaguardias” que dicen evitar o limitar los impacto</w:t>
      </w:r>
      <w:r>
        <w:rPr>
          <w:sz w:val="20"/>
          <w:szCs w:val="20"/>
          <w:lang w:val="es-ES"/>
        </w:rPr>
        <w:t xml:space="preserve">s socio-ambientales negativos que surgen de sus proyectos. Además, el esquema privado de </w:t>
      </w:r>
      <w:proofErr w:type="spellStart"/>
      <w:proofErr w:type="gramStart"/>
      <w:r>
        <w:rPr>
          <w:sz w:val="20"/>
          <w:szCs w:val="20"/>
          <w:lang w:val="es-ES"/>
        </w:rPr>
        <w:t>prestamos</w:t>
      </w:r>
      <w:proofErr w:type="spellEnd"/>
      <w:proofErr w:type="gramEnd"/>
      <w:r>
        <w:rPr>
          <w:sz w:val="20"/>
          <w:szCs w:val="20"/>
          <w:lang w:val="es-ES"/>
        </w:rPr>
        <w:t xml:space="preserve"> dentro del BM, controlado por la Corporación Financiera Internacional (CFI, asociación miembro del Grupo Banco Mundial), tiene la tarea de examinar una canti</w:t>
      </w:r>
      <w:r>
        <w:rPr>
          <w:sz w:val="20"/>
          <w:szCs w:val="20"/>
          <w:lang w:val="es-ES"/>
        </w:rPr>
        <w:t>dad de “reglas sobre ingresos” que comparten las mismas metas que las políticas de protección a la inversión. Las políticas de la CFI sobre prestamos privado y el recurso a intermediarios financieros son un asunto de mucha preocupación tanto cuanto los pre</w:t>
      </w:r>
      <w:r>
        <w:rPr>
          <w:sz w:val="20"/>
          <w:szCs w:val="20"/>
          <w:lang w:val="es-ES"/>
        </w:rPr>
        <w:t xml:space="preserve">stamos públicos de Banco Internacional de Reconstrucción y Desarrollo (BIRD) y la Asociación Internacional de Desarrollo (AID). 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</w:pPr>
      <w:r>
        <w:rPr>
          <w:sz w:val="20"/>
          <w:szCs w:val="20"/>
          <w:lang w:val="es-ES"/>
        </w:rPr>
        <w:t>A pesar de estas políticas, se ha probado que varios proyectos financiados por el BM y otras organizaciones financieras intern</w:t>
      </w:r>
      <w:r>
        <w:rPr>
          <w:sz w:val="20"/>
          <w:szCs w:val="20"/>
          <w:lang w:val="es-ES"/>
        </w:rPr>
        <w:t>acionales han llevado a serias violaciones de los derechos humanos – tales como acaparamiento de tierras, represión, arrestos arbitrarios y asesinatos para silenciar a los movimientos de protesta. El propio Banco admitió en marzo de 2015 que “la vigilancia</w:t>
      </w:r>
      <w:r>
        <w:rPr>
          <w:sz w:val="20"/>
          <w:szCs w:val="20"/>
          <w:lang w:val="es-ES"/>
        </w:rPr>
        <w:t xml:space="preserve"> de estos proyectos tiene documentación pobre o nula, que les falta seguimiento para garantizar que las medidas </w:t>
      </w:r>
      <w:r>
        <w:rPr>
          <w:sz w:val="20"/>
          <w:szCs w:val="20"/>
          <w:lang w:val="es-ES"/>
        </w:rPr>
        <w:lastRenderedPageBreak/>
        <w:t>de protección sean implementadas, y que algunos proyectos no estaban identificados como de alto riesgo para la población vecina al emprendimient</w:t>
      </w:r>
      <w:r>
        <w:rPr>
          <w:sz w:val="20"/>
          <w:szCs w:val="20"/>
          <w:lang w:val="es-ES"/>
        </w:rPr>
        <w:t>o”</w:t>
      </w:r>
      <w:r>
        <w:rPr>
          <w:rStyle w:val="Ancredenotedebasdepage"/>
          <w:sz w:val="20"/>
          <w:szCs w:val="20"/>
          <w:lang w:val="es-ES"/>
        </w:rPr>
        <w:footnoteReference w:id="4"/>
      </w:r>
      <w:r>
        <w:rPr>
          <w:sz w:val="20"/>
          <w:szCs w:val="20"/>
          <w:lang w:val="es-ES"/>
        </w:rPr>
        <w:t>.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</w:pPr>
      <w:r>
        <w:rPr>
          <w:sz w:val="20"/>
          <w:szCs w:val="20"/>
          <w:lang w:val="es-ES"/>
        </w:rPr>
        <w:t xml:space="preserve">La racionalidad </w:t>
      </w:r>
      <w:proofErr w:type="spellStart"/>
      <w:r>
        <w:rPr>
          <w:sz w:val="20"/>
          <w:szCs w:val="20"/>
          <w:lang w:val="es-ES"/>
        </w:rPr>
        <w:t>fundante</w:t>
      </w:r>
      <w:proofErr w:type="spellEnd"/>
      <w:r>
        <w:rPr>
          <w:sz w:val="20"/>
          <w:szCs w:val="20"/>
          <w:lang w:val="es-ES"/>
        </w:rPr>
        <w:t xml:space="preserve"> del FMI proclama la estabilización del sistema internacional a través de la regulación del flujo de capitales. Pero en los hechos, las operaciones del FMI contradicen este principio y sus estatutos, en particular el artículo </w:t>
      </w:r>
      <w:r>
        <w:rPr>
          <w:sz w:val="20"/>
          <w:szCs w:val="20"/>
          <w:lang w:val="es-ES"/>
        </w:rPr>
        <w:t>1 (parágrafo 2)</w:t>
      </w:r>
      <w:r>
        <w:rPr>
          <w:rStyle w:val="FootnoteReference"/>
          <w:color w:val="212121"/>
          <w:sz w:val="20"/>
          <w:szCs w:val="20"/>
          <w:lang w:val="es-ES"/>
        </w:rPr>
        <w:t xml:space="preserve"> </w:t>
      </w:r>
      <w:r>
        <w:rPr>
          <w:rStyle w:val="Ancredenotedebasdepage"/>
          <w:color w:val="212121"/>
          <w:sz w:val="20"/>
          <w:szCs w:val="20"/>
          <w:lang w:val="es-ES"/>
        </w:rPr>
        <w:footnoteReference w:id="5"/>
      </w:r>
      <w:r>
        <w:rPr>
          <w:sz w:val="20"/>
          <w:szCs w:val="20"/>
          <w:lang w:val="es-ES"/>
        </w:rPr>
        <w:t xml:space="preserve">. El FMI, bajo la influencia de los Estados Unidos y otros países del norte, se transformó en un actor relevante del sistema económico (y político) internacional. Uno de sus objetivos principales es promover el régimen de libre comercio e </w:t>
      </w:r>
      <w:r>
        <w:rPr>
          <w:sz w:val="20"/>
          <w:szCs w:val="20"/>
          <w:lang w:val="es-ES"/>
        </w:rPr>
        <w:t xml:space="preserve">inversiones en todo el mundo a través de sus Programas de Ajuste Estructural, acelerando la liberalización total del movimiento de capitales y promoviendo a las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 xml:space="preserve"> como actores principales del sistema económico neoliberal. 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  <w:rPr>
          <w:color w:val="212121"/>
          <w:sz w:val="20"/>
          <w:szCs w:val="20"/>
          <w:lang w:val="es-ES"/>
        </w:rPr>
      </w:pPr>
      <w:r>
        <w:rPr>
          <w:color w:val="212121"/>
          <w:sz w:val="20"/>
          <w:szCs w:val="20"/>
          <w:lang w:val="es-ES"/>
        </w:rPr>
        <w:t xml:space="preserve">Adicionalmente, el FMI tiene </w:t>
      </w:r>
      <w:r>
        <w:rPr>
          <w:color w:val="212121"/>
          <w:sz w:val="20"/>
          <w:szCs w:val="20"/>
          <w:lang w:val="es-ES"/>
        </w:rPr>
        <w:t>un modo de funcionamiento no democrático. Cada país que entra al FMI debe pagar una tasa de ingreso llamada “acción” (share), que se calcula de acuerdo a la importancia económica del país. Esto explica por qué el consejo directivo del FMI esté de hecho con</w:t>
      </w:r>
      <w:r>
        <w:rPr>
          <w:color w:val="212121"/>
          <w:sz w:val="20"/>
          <w:szCs w:val="20"/>
          <w:lang w:val="es-ES"/>
        </w:rPr>
        <w:t>trolado por los Estados Unidos (que detenta 16,75 % del derecho a voto), seguido por Japón, Alemania, Francia y el Reino Unido. En realidad, los países de la OCDE tienen el 63,09% de los derechos de voto en el FMI, mientras que representan el 45,6% del PIB</w:t>
      </w:r>
      <w:r>
        <w:rPr>
          <w:color w:val="212121"/>
          <w:sz w:val="20"/>
          <w:szCs w:val="20"/>
          <w:lang w:val="es-ES"/>
        </w:rPr>
        <w:t xml:space="preserve"> mundial.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Propuestas</w:t>
      </w:r>
    </w:p>
    <w:p w:rsidR="00737CE4" w:rsidRDefault="0081039E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futuro tratado sobre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 xml:space="preserve"> y derechos humanos debe requerir que esas instituciones contribuyan con la implementación del tratado y se abstengan de realizar medidas contrarias a sus objetivos y reglas. Por ello, hacemos las siguiente</w:t>
      </w:r>
      <w:r>
        <w:rPr>
          <w:sz w:val="20"/>
          <w:szCs w:val="20"/>
          <w:lang w:val="es-ES"/>
        </w:rPr>
        <w:t>s propuestas: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1) Las </w:t>
      </w:r>
      <w:proofErr w:type="spellStart"/>
      <w:r>
        <w:rPr>
          <w:sz w:val="20"/>
          <w:szCs w:val="20"/>
          <w:lang w:val="es-ES"/>
        </w:rPr>
        <w:t>IFIs</w:t>
      </w:r>
      <w:proofErr w:type="spellEnd"/>
      <w:r>
        <w:rPr>
          <w:sz w:val="20"/>
          <w:szCs w:val="20"/>
          <w:lang w:val="es-ES"/>
        </w:rPr>
        <w:t xml:space="preserve"> deberían abstenerse de realizar acciones que amenacen la capacidad de los Estados para alcanzar sus obligaciones nacionales e internacionales relativas a los derechos humanos. Además, las </w:t>
      </w:r>
      <w:proofErr w:type="spellStart"/>
      <w:r>
        <w:rPr>
          <w:sz w:val="20"/>
          <w:szCs w:val="20"/>
          <w:lang w:val="es-ES"/>
        </w:rPr>
        <w:t>IFIs</w:t>
      </w:r>
      <w:proofErr w:type="spellEnd"/>
      <w:r>
        <w:rPr>
          <w:sz w:val="20"/>
          <w:szCs w:val="20"/>
          <w:lang w:val="es-ES"/>
        </w:rPr>
        <w:t xml:space="preserve"> no deberían promover reglas que cont</w:t>
      </w:r>
      <w:r>
        <w:rPr>
          <w:sz w:val="20"/>
          <w:szCs w:val="20"/>
          <w:lang w:val="es-ES"/>
        </w:rPr>
        <w:t>radigan el respeto a los derechos humanos, ni introducir condicionalidades en sus créditos.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</w:pPr>
      <w:r>
        <w:rPr>
          <w:sz w:val="20"/>
          <w:szCs w:val="20"/>
          <w:lang w:val="es-ES"/>
        </w:rPr>
        <w:t xml:space="preserve">2) Estas organizaciones deben ser obligadas a realizar evaluaciones ex post de los proyectos que financian y de las políticas que recomiendan a los Estados. Estas </w:t>
      </w:r>
      <w:r>
        <w:rPr>
          <w:sz w:val="20"/>
          <w:szCs w:val="20"/>
          <w:lang w:val="es-ES"/>
        </w:rPr>
        <w:t>evaluaciones deberían incluir referencias claras a los instrumentos internacionales sobre los derechos humanos</w:t>
      </w:r>
      <w:r>
        <w:rPr>
          <w:sz w:val="20"/>
          <w:szCs w:val="20"/>
          <w:lang w:val="es-ES" w:eastAsia="es-ES"/>
        </w:rPr>
        <w:t>. D</w:t>
      </w:r>
      <w:r>
        <w:rPr>
          <w:color w:val="212121"/>
          <w:sz w:val="20"/>
          <w:szCs w:val="20"/>
          <w:lang w:val="es-ES" w:eastAsia="es-ES"/>
        </w:rPr>
        <w:t xml:space="preserve">eberían también ser responsables de la reparación de los daños causados ​​y los estados tener la </w:t>
      </w:r>
      <w:r>
        <w:rPr>
          <w:color w:val="212121"/>
          <w:sz w:val="20"/>
          <w:szCs w:val="20"/>
          <w:lang w:val="es-ES"/>
        </w:rPr>
        <w:t>obligación de hacer cumplir.</w:t>
      </w:r>
      <w:r>
        <w:rPr>
          <w:sz w:val="20"/>
          <w:szCs w:val="20"/>
          <w:lang w:val="es-ES"/>
        </w:rPr>
        <w:t xml:space="preserve"> 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3) El BM deberí</w:t>
      </w:r>
      <w:r>
        <w:rPr>
          <w:sz w:val="20"/>
          <w:szCs w:val="20"/>
          <w:lang w:val="es-ES"/>
        </w:rPr>
        <w:t>a ser obligado a abstenerse de participar en la extracción de combustibles fósiles a través de inversiones de la CFI en compañías privadas extractivas.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4) La CFI debería ser obligada a no prestar a intermediarios financieros – bancos comerciales, fondos d</w:t>
      </w:r>
      <w:r>
        <w:rPr>
          <w:sz w:val="20"/>
          <w:szCs w:val="20"/>
          <w:lang w:val="es-ES"/>
        </w:rPr>
        <w:t xml:space="preserve">e inversión privados y fondos </w:t>
      </w:r>
      <w:proofErr w:type="spellStart"/>
      <w:r>
        <w:rPr>
          <w:sz w:val="20"/>
          <w:szCs w:val="20"/>
          <w:lang w:val="es-ES"/>
        </w:rPr>
        <w:t>hedge</w:t>
      </w:r>
      <w:proofErr w:type="spellEnd"/>
      <w:r>
        <w:rPr>
          <w:sz w:val="20"/>
          <w:szCs w:val="20"/>
          <w:lang w:val="es-ES"/>
        </w:rPr>
        <w:t xml:space="preserve">. La CFI debería rechazar pedidos de préstamos a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 xml:space="preserve"> y emprendimientos que pertenezcan a </w:t>
      </w:r>
      <w:proofErr w:type="spellStart"/>
      <w:r>
        <w:rPr>
          <w:sz w:val="20"/>
          <w:szCs w:val="20"/>
          <w:lang w:val="es-ES"/>
        </w:rPr>
        <w:t>ETNs</w:t>
      </w:r>
      <w:proofErr w:type="spellEnd"/>
      <w:r>
        <w:rPr>
          <w:sz w:val="20"/>
          <w:szCs w:val="20"/>
          <w:lang w:val="es-ES"/>
        </w:rPr>
        <w:t xml:space="preserve"> que se encuentren condenadas por violaciones a los derechos humanos en otros casos comprobados.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5) En caso de violaciones a l</w:t>
      </w:r>
      <w:r>
        <w:rPr>
          <w:sz w:val="20"/>
          <w:szCs w:val="20"/>
          <w:lang w:val="es-ES"/>
        </w:rPr>
        <w:t xml:space="preserve">os derechos humanos por parte de las </w:t>
      </w:r>
      <w:proofErr w:type="spellStart"/>
      <w:r>
        <w:rPr>
          <w:sz w:val="20"/>
          <w:szCs w:val="20"/>
          <w:lang w:val="es-ES"/>
        </w:rPr>
        <w:t>IFIs</w:t>
      </w:r>
      <w:proofErr w:type="spellEnd"/>
      <w:r>
        <w:rPr>
          <w:sz w:val="20"/>
          <w:szCs w:val="20"/>
          <w:lang w:val="es-ES"/>
        </w:rPr>
        <w:t xml:space="preserve"> (a través de condicionalidades incluidas en los préstamos, los impactos sociales y ambientales de sus políticas y de los proyectos financiados), los préstamos controversiales deberían ser cancelados sin condiciones</w:t>
      </w:r>
      <w:r>
        <w:rPr>
          <w:sz w:val="20"/>
          <w:szCs w:val="20"/>
          <w:lang w:val="es-ES"/>
        </w:rPr>
        <w:t xml:space="preserve">. Las </w:t>
      </w:r>
      <w:proofErr w:type="spellStart"/>
      <w:r>
        <w:rPr>
          <w:sz w:val="20"/>
          <w:szCs w:val="20"/>
          <w:lang w:val="es-ES"/>
        </w:rPr>
        <w:t>IFIs</w:t>
      </w:r>
      <w:proofErr w:type="spellEnd"/>
      <w:r>
        <w:rPr>
          <w:sz w:val="20"/>
          <w:szCs w:val="20"/>
          <w:lang w:val="es-ES"/>
        </w:rPr>
        <w:t xml:space="preserve"> deberían rechazar solicitudes de préstamos a Estados en casos en que un Estado no hubiera controlado debidamente a una ETN en casos comprobados de violaciones a los derechos humanos.</w:t>
      </w:r>
    </w:p>
    <w:p w:rsidR="00737CE4" w:rsidRDefault="00737CE4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</w:p>
    <w:p w:rsidR="00737CE4" w:rsidRDefault="0081039E">
      <w:pPr>
        <w:pStyle w:val="BodyText"/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>6) En caso de violaciones a los derechos humanos por parte de</w:t>
      </w:r>
      <w:r>
        <w:rPr>
          <w:sz w:val="20"/>
          <w:szCs w:val="20"/>
          <w:lang w:val="es-ES"/>
        </w:rPr>
        <w:t xml:space="preserve"> las </w:t>
      </w:r>
      <w:proofErr w:type="spellStart"/>
      <w:r>
        <w:rPr>
          <w:sz w:val="20"/>
          <w:szCs w:val="20"/>
          <w:lang w:val="es-ES"/>
        </w:rPr>
        <w:t>IFIs</w:t>
      </w:r>
      <w:proofErr w:type="spellEnd"/>
      <w:r>
        <w:rPr>
          <w:sz w:val="20"/>
          <w:szCs w:val="20"/>
          <w:lang w:val="es-ES"/>
        </w:rPr>
        <w:t xml:space="preserve"> (a través de la imposición de condicionalidades) estas entidades deben someterse a los tribunales nacionales y responder por sus acciones.</w:t>
      </w:r>
    </w:p>
    <w:p w:rsidR="00737CE4" w:rsidRDefault="00737CE4">
      <w:pPr>
        <w:pStyle w:val="BodyText"/>
        <w:spacing w:after="0" w:line="240" w:lineRule="auto"/>
        <w:jc w:val="both"/>
      </w:pPr>
    </w:p>
    <w:sectPr w:rsidR="00737CE4" w:rsidSect="00737CE4">
      <w:pgSz w:w="11906" w:h="16838"/>
      <w:pgMar w:top="1440" w:right="1797" w:bottom="1440" w:left="179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E4" w:rsidRDefault="00737CE4" w:rsidP="00737CE4">
      <w:r>
        <w:separator/>
      </w:r>
    </w:p>
  </w:endnote>
  <w:endnote w:type="continuationSeparator" w:id="0">
    <w:p w:rsidR="00737CE4" w:rsidRDefault="00737CE4" w:rsidP="0073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E4" w:rsidRDefault="0081039E">
      <w:r>
        <w:separator/>
      </w:r>
    </w:p>
  </w:footnote>
  <w:footnote w:type="continuationSeparator" w:id="0">
    <w:p w:rsidR="00737CE4" w:rsidRDefault="0081039E">
      <w:r>
        <w:continuationSeparator/>
      </w:r>
    </w:p>
  </w:footnote>
  <w:footnote w:id="1">
    <w:p w:rsidR="00737CE4" w:rsidRPr="0081039E" w:rsidRDefault="0081039E">
      <w:pPr>
        <w:pStyle w:val="FootnoteText"/>
        <w:rPr>
          <w:sz w:val="20"/>
          <w:szCs w:val="20"/>
        </w:rPr>
      </w:pPr>
      <w:r w:rsidRPr="0081039E">
        <w:rPr>
          <w:sz w:val="20"/>
          <w:szCs w:val="20"/>
          <w:lang w:val="en-AU"/>
        </w:rPr>
        <w:footnoteRef/>
      </w:r>
      <w:r w:rsidRPr="0081039E">
        <w:rPr>
          <w:sz w:val="20"/>
          <w:szCs w:val="20"/>
          <w:lang w:val="en-AU"/>
        </w:rPr>
        <w:tab/>
        <w:t xml:space="preserve">Corte </w:t>
      </w:r>
      <w:proofErr w:type="spellStart"/>
      <w:r w:rsidRPr="0081039E">
        <w:rPr>
          <w:sz w:val="20"/>
          <w:szCs w:val="20"/>
          <w:lang w:val="en-AU"/>
        </w:rPr>
        <w:t>Internacional</w:t>
      </w:r>
      <w:proofErr w:type="spellEnd"/>
      <w:r w:rsidRPr="0081039E">
        <w:rPr>
          <w:sz w:val="20"/>
          <w:szCs w:val="20"/>
          <w:lang w:val="en-AU"/>
        </w:rPr>
        <w:t xml:space="preserve"> de </w:t>
      </w:r>
      <w:proofErr w:type="spellStart"/>
      <w:r w:rsidRPr="0081039E">
        <w:rPr>
          <w:sz w:val="20"/>
          <w:szCs w:val="20"/>
          <w:lang w:val="en-AU"/>
        </w:rPr>
        <w:t>Justicia</w:t>
      </w:r>
      <w:proofErr w:type="spellEnd"/>
      <w:r w:rsidRPr="0081039E">
        <w:rPr>
          <w:color w:val="383838"/>
          <w:sz w:val="20"/>
          <w:szCs w:val="20"/>
          <w:lang w:val="en-AU" w:eastAsia="it-IT"/>
        </w:rPr>
        <w:t xml:space="preserve">, </w:t>
      </w:r>
      <w:proofErr w:type="spellStart"/>
      <w:r w:rsidRPr="0081039E">
        <w:rPr>
          <w:color w:val="383838"/>
          <w:sz w:val="20"/>
          <w:szCs w:val="20"/>
          <w:lang w:val="en-AU" w:eastAsia="it-IT"/>
        </w:rPr>
        <w:t>i</w:t>
      </w:r>
      <w:r w:rsidRPr="0081039E">
        <w:rPr>
          <w:color w:val="383838"/>
          <w:sz w:val="20"/>
          <w:szCs w:val="20"/>
          <w:lang w:val="en-AU" w:eastAsia="it-IT"/>
        </w:rPr>
        <w:t>nterpretación</w:t>
      </w:r>
      <w:proofErr w:type="spellEnd"/>
      <w:r w:rsidRPr="0081039E">
        <w:rPr>
          <w:color w:val="383838"/>
          <w:sz w:val="20"/>
          <w:szCs w:val="20"/>
          <w:lang w:val="en-AU" w:eastAsia="it-IT"/>
        </w:rPr>
        <w:t xml:space="preserve"> del 25 de </w:t>
      </w:r>
      <w:proofErr w:type="spellStart"/>
      <w:r w:rsidRPr="0081039E">
        <w:rPr>
          <w:color w:val="383838"/>
          <w:sz w:val="20"/>
          <w:szCs w:val="20"/>
          <w:lang w:val="en-AU" w:eastAsia="it-IT"/>
        </w:rPr>
        <w:t>marzo</w:t>
      </w:r>
      <w:proofErr w:type="spellEnd"/>
      <w:r w:rsidRPr="0081039E">
        <w:rPr>
          <w:color w:val="383838"/>
          <w:sz w:val="20"/>
          <w:szCs w:val="20"/>
          <w:lang w:val="en-AU" w:eastAsia="it-IT"/>
        </w:rPr>
        <w:t xml:space="preserve"> 1991, </w:t>
      </w:r>
      <w:proofErr w:type="spellStart"/>
      <w:r w:rsidRPr="0081039E">
        <w:rPr>
          <w:color w:val="383838"/>
          <w:sz w:val="20"/>
          <w:szCs w:val="20"/>
          <w:lang w:val="en-AU" w:eastAsia="it-IT"/>
        </w:rPr>
        <w:t>acuerdo</w:t>
      </w:r>
      <w:proofErr w:type="spellEnd"/>
      <w:r w:rsidRPr="0081039E">
        <w:rPr>
          <w:color w:val="383838"/>
          <w:sz w:val="20"/>
          <w:szCs w:val="20"/>
          <w:lang w:val="en-AU" w:eastAsia="it-IT"/>
        </w:rPr>
        <w:t xml:space="preserve"> entre la OMC y </w:t>
      </w:r>
      <w:proofErr w:type="spellStart"/>
      <w:r w:rsidRPr="0081039E">
        <w:rPr>
          <w:color w:val="383838"/>
          <w:sz w:val="20"/>
          <w:szCs w:val="20"/>
          <w:lang w:val="en-AU" w:eastAsia="it-IT"/>
        </w:rPr>
        <w:t>Egipto</w:t>
      </w:r>
      <w:proofErr w:type="spellEnd"/>
      <w:r w:rsidRPr="0081039E">
        <w:rPr>
          <w:color w:val="383838"/>
          <w:sz w:val="20"/>
          <w:szCs w:val="20"/>
          <w:lang w:val="en-AU" w:eastAsia="it-IT"/>
        </w:rPr>
        <w:t xml:space="preserve">, </w:t>
      </w:r>
      <w:proofErr w:type="spellStart"/>
      <w:r w:rsidRPr="0081039E">
        <w:rPr>
          <w:color w:val="383838"/>
          <w:sz w:val="20"/>
          <w:szCs w:val="20"/>
          <w:lang w:val="en-AU" w:eastAsia="it-IT"/>
        </w:rPr>
        <w:t>opinión</w:t>
      </w:r>
      <w:proofErr w:type="spellEnd"/>
      <w:r w:rsidRPr="0081039E">
        <w:rPr>
          <w:color w:val="383838"/>
          <w:sz w:val="20"/>
          <w:szCs w:val="20"/>
          <w:lang w:val="en-AU" w:eastAsia="it-IT"/>
        </w:rPr>
        <w:t xml:space="preserve"> </w:t>
      </w:r>
      <w:proofErr w:type="spellStart"/>
      <w:r w:rsidRPr="0081039E">
        <w:rPr>
          <w:color w:val="383838"/>
          <w:sz w:val="20"/>
          <w:szCs w:val="20"/>
          <w:lang w:val="en-AU" w:eastAsia="it-IT"/>
        </w:rPr>
        <w:t>consultiva</w:t>
      </w:r>
      <w:proofErr w:type="spellEnd"/>
      <w:r w:rsidRPr="0081039E">
        <w:rPr>
          <w:color w:val="383838"/>
          <w:sz w:val="20"/>
          <w:szCs w:val="20"/>
          <w:lang w:val="en-AU" w:eastAsia="it-IT"/>
        </w:rPr>
        <w:t xml:space="preserve"> del 20 </w:t>
      </w:r>
      <w:proofErr w:type="spellStart"/>
      <w:r w:rsidRPr="0081039E">
        <w:rPr>
          <w:color w:val="383838"/>
          <w:sz w:val="20"/>
          <w:szCs w:val="20"/>
          <w:lang w:val="en-AU" w:eastAsia="it-IT"/>
        </w:rPr>
        <w:t>diciembre</w:t>
      </w:r>
      <w:proofErr w:type="spellEnd"/>
      <w:r w:rsidRPr="0081039E">
        <w:rPr>
          <w:color w:val="383838"/>
          <w:sz w:val="20"/>
          <w:szCs w:val="20"/>
          <w:lang w:val="en-AU" w:eastAsia="it-IT"/>
        </w:rPr>
        <w:t xml:space="preserve"> 1980, ICJ Rec. 1980, par.37, pp. 89-90. </w:t>
      </w:r>
    </w:p>
  </w:footnote>
  <w:footnote w:id="2">
    <w:p w:rsidR="00737CE4" w:rsidRPr="0081039E" w:rsidRDefault="0081039E">
      <w:pPr>
        <w:pStyle w:val="FootnoteText"/>
        <w:rPr>
          <w:sz w:val="20"/>
          <w:szCs w:val="20"/>
        </w:rPr>
      </w:pPr>
      <w:r w:rsidRPr="0081039E">
        <w:rPr>
          <w:sz w:val="20"/>
          <w:szCs w:val="20"/>
          <w:lang w:val="en-AU"/>
        </w:rPr>
        <w:footnoteRef/>
      </w:r>
      <w:r w:rsidRPr="0081039E">
        <w:rPr>
          <w:sz w:val="20"/>
          <w:szCs w:val="20"/>
          <w:lang w:val="en-AU"/>
        </w:rPr>
        <w:tab/>
      </w:r>
      <w:proofErr w:type="spellStart"/>
      <w:proofErr w:type="gramStart"/>
      <w:r w:rsidRPr="0081039E">
        <w:rPr>
          <w:sz w:val="20"/>
          <w:szCs w:val="20"/>
          <w:lang w:val="en-AU"/>
        </w:rPr>
        <w:t>Carta</w:t>
      </w:r>
      <w:proofErr w:type="spellEnd"/>
      <w:r w:rsidRPr="0081039E">
        <w:rPr>
          <w:sz w:val="20"/>
          <w:szCs w:val="20"/>
          <w:lang w:val="en-AU"/>
        </w:rPr>
        <w:t xml:space="preserve"> de </w:t>
      </w:r>
      <w:proofErr w:type="spellStart"/>
      <w:r w:rsidRPr="0081039E">
        <w:rPr>
          <w:sz w:val="20"/>
          <w:szCs w:val="20"/>
          <w:lang w:val="en-AU"/>
        </w:rPr>
        <w:t>las</w:t>
      </w:r>
      <w:proofErr w:type="spellEnd"/>
      <w:r w:rsidRPr="0081039E">
        <w:rPr>
          <w:sz w:val="20"/>
          <w:szCs w:val="20"/>
          <w:lang w:val="en-AU"/>
        </w:rPr>
        <w:t xml:space="preserve"> </w:t>
      </w:r>
      <w:proofErr w:type="spellStart"/>
      <w:r w:rsidRPr="0081039E">
        <w:rPr>
          <w:sz w:val="20"/>
          <w:szCs w:val="20"/>
          <w:lang w:val="en-AU"/>
        </w:rPr>
        <w:t>Naciones</w:t>
      </w:r>
      <w:proofErr w:type="spellEnd"/>
      <w:r w:rsidRPr="0081039E">
        <w:rPr>
          <w:sz w:val="20"/>
          <w:szCs w:val="20"/>
          <w:lang w:val="en-AU"/>
        </w:rPr>
        <w:t xml:space="preserve"> </w:t>
      </w:r>
      <w:proofErr w:type="spellStart"/>
      <w:r w:rsidRPr="0081039E">
        <w:rPr>
          <w:sz w:val="20"/>
          <w:szCs w:val="20"/>
          <w:lang w:val="en-AU"/>
        </w:rPr>
        <w:t>Unidas</w:t>
      </w:r>
      <w:proofErr w:type="spellEnd"/>
      <w:r w:rsidRPr="0081039E">
        <w:rPr>
          <w:sz w:val="20"/>
          <w:szCs w:val="20"/>
          <w:lang w:val="en-AU"/>
        </w:rPr>
        <w:t>,</w:t>
      </w:r>
      <w:r w:rsidRPr="0081039E">
        <w:rPr>
          <w:sz w:val="20"/>
          <w:szCs w:val="20"/>
          <w:lang w:val="en-AU" w:eastAsia="it-IT"/>
        </w:rPr>
        <w:t xml:space="preserve"> </w:t>
      </w:r>
      <w:proofErr w:type="spellStart"/>
      <w:r w:rsidRPr="0081039E">
        <w:rPr>
          <w:sz w:val="20"/>
          <w:szCs w:val="20"/>
          <w:lang w:val="en-AU" w:eastAsia="it-IT"/>
        </w:rPr>
        <w:t>artículos</w:t>
      </w:r>
      <w:proofErr w:type="spellEnd"/>
      <w:r w:rsidRPr="0081039E">
        <w:rPr>
          <w:sz w:val="20"/>
          <w:szCs w:val="20"/>
          <w:lang w:val="en-AU" w:eastAsia="it-IT"/>
        </w:rPr>
        <w:t xml:space="preserve"> 57, 63, 1(3) y 55(3).</w:t>
      </w:r>
      <w:proofErr w:type="gramEnd"/>
    </w:p>
  </w:footnote>
  <w:footnote w:id="3">
    <w:p w:rsidR="00737CE4" w:rsidRPr="0081039E" w:rsidRDefault="0081039E">
      <w:pPr>
        <w:pStyle w:val="FootnoteText"/>
        <w:rPr>
          <w:sz w:val="20"/>
          <w:szCs w:val="20"/>
        </w:rPr>
      </w:pPr>
      <w:r w:rsidRPr="0081039E">
        <w:rPr>
          <w:sz w:val="20"/>
          <w:szCs w:val="20"/>
          <w:lang w:val="en-AU"/>
        </w:rPr>
        <w:footnoteRef/>
      </w:r>
      <w:r w:rsidRPr="0081039E">
        <w:rPr>
          <w:sz w:val="20"/>
          <w:szCs w:val="20"/>
          <w:lang w:val="en-AU"/>
        </w:rPr>
        <w:tab/>
        <w:t xml:space="preserve">OHCHR, </w:t>
      </w:r>
      <w:r w:rsidRPr="0081039E">
        <w:rPr>
          <w:color w:val="000000"/>
          <w:sz w:val="20"/>
          <w:szCs w:val="20"/>
          <w:shd w:val="clear" w:color="auto" w:fill="FFFFFF"/>
          <w:lang w:val="en-AU"/>
        </w:rPr>
        <w:t xml:space="preserve">“The World Bank is a Human Rights-Free </w:t>
      </w:r>
      <w:r w:rsidRPr="0081039E">
        <w:rPr>
          <w:color w:val="000000"/>
          <w:sz w:val="20"/>
          <w:szCs w:val="20"/>
          <w:shd w:val="clear" w:color="auto" w:fill="FFFFFF"/>
          <w:lang w:val="en-AU"/>
        </w:rPr>
        <w:t xml:space="preserve">Zone”. </w:t>
      </w:r>
      <w:proofErr w:type="spellStart"/>
      <w:r w:rsidRPr="0081039E">
        <w:rPr>
          <w:color w:val="000000"/>
          <w:sz w:val="20"/>
          <w:szCs w:val="20"/>
          <w:shd w:val="clear" w:color="auto" w:fill="FFFFFF"/>
          <w:lang w:val="en-AU"/>
        </w:rPr>
        <w:t>Fuente</w:t>
      </w:r>
      <w:proofErr w:type="spellEnd"/>
      <w:r w:rsidRPr="0081039E">
        <w:rPr>
          <w:color w:val="000000"/>
          <w:sz w:val="20"/>
          <w:szCs w:val="20"/>
          <w:shd w:val="clear" w:color="auto" w:fill="FFFFFF"/>
          <w:lang w:val="en-AU"/>
        </w:rPr>
        <w:t xml:space="preserve"> : </w:t>
      </w:r>
      <w:r w:rsidRPr="0081039E">
        <w:rPr>
          <w:sz w:val="20"/>
          <w:szCs w:val="20"/>
          <w:lang w:val="en-AU"/>
        </w:rPr>
        <w:t>http://www.ohchr.org/en/NewsEvents/Pages/DisplayNews.aspx?NewsID=16517&amp;LangID=E</w:t>
      </w:r>
    </w:p>
  </w:footnote>
  <w:footnote w:id="4">
    <w:p w:rsidR="00737CE4" w:rsidRPr="0081039E" w:rsidRDefault="0081039E">
      <w:pPr>
        <w:pStyle w:val="FootnoteText"/>
        <w:rPr>
          <w:sz w:val="20"/>
          <w:szCs w:val="20"/>
        </w:rPr>
      </w:pPr>
      <w:r w:rsidRPr="0081039E">
        <w:rPr>
          <w:sz w:val="20"/>
          <w:szCs w:val="20"/>
          <w:lang w:val="en-AU"/>
        </w:rPr>
        <w:footnoteRef/>
      </w:r>
      <w:r w:rsidRPr="0081039E">
        <w:rPr>
          <w:sz w:val="20"/>
          <w:szCs w:val="20"/>
          <w:lang w:val="en-AU"/>
        </w:rPr>
        <w:tab/>
      </w:r>
      <w:proofErr w:type="spellStart"/>
      <w:proofErr w:type="gramStart"/>
      <w:r w:rsidRPr="0081039E">
        <w:rPr>
          <w:sz w:val="20"/>
          <w:szCs w:val="20"/>
          <w:lang w:val="en-AU"/>
        </w:rPr>
        <w:t>Banco</w:t>
      </w:r>
      <w:proofErr w:type="spellEnd"/>
      <w:r w:rsidRPr="0081039E">
        <w:rPr>
          <w:sz w:val="20"/>
          <w:szCs w:val="20"/>
          <w:lang w:val="en-AU"/>
        </w:rPr>
        <w:t xml:space="preserve"> Mundial, “World Bank acknowledges shortcomings in resettlement projects, announces action plan to fix problems”, </w:t>
      </w:r>
      <w:proofErr w:type="spellStart"/>
      <w:r w:rsidRPr="0081039E">
        <w:rPr>
          <w:sz w:val="20"/>
          <w:szCs w:val="20"/>
          <w:lang w:val="en-AU"/>
        </w:rPr>
        <w:t>Comunicado</w:t>
      </w:r>
      <w:proofErr w:type="spellEnd"/>
      <w:r w:rsidRPr="0081039E">
        <w:rPr>
          <w:sz w:val="20"/>
          <w:szCs w:val="20"/>
          <w:lang w:val="en-AU"/>
        </w:rPr>
        <w:t xml:space="preserve"> de </w:t>
      </w:r>
      <w:proofErr w:type="spellStart"/>
      <w:r w:rsidRPr="0081039E">
        <w:rPr>
          <w:sz w:val="20"/>
          <w:szCs w:val="20"/>
          <w:lang w:val="en-AU"/>
        </w:rPr>
        <w:t>prensa</w:t>
      </w:r>
      <w:proofErr w:type="spellEnd"/>
      <w:r w:rsidRPr="0081039E">
        <w:rPr>
          <w:sz w:val="20"/>
          <w:szCs w:val="20"/>
          <w:lang w:val="en-AU"/>
        </w:rPr>
        <w:t>.</w:t>
      </w:r>
      <w:proofErr w:type="gramEnd"/>
      <w:r w:rsidRPr="0081039E">
        <w:rPr>
          <w:sz w:val="20"/>
          <w:szCs w:val="20"/>
          <w:lang w:val="en-AU"/>
        </w:rPr>
        <w:t xml:space="preserve"> </w:t>
      </w:r>
      <w:proofErr w:type="spellStart"/>
      <w:r w:rsidRPr="0081039E">
        <w:rPr>
          <w:sz w:val="20"/>
          <w:szCs w:val="20"/>
          <w:lang w:val="en-AU"/>
        </w:rPr>
        <w:t>Fuente</w:t>
      </w:r>
      <w:proofErr w:type="spellEnd"/>
      <w:r w:rsidRPr="0081039E">
        <w:rPr>
          <w:sz w:val="20"/>
          <w:szCs w:val="20"/>
          <w:lang w:val="en-AU"/>
        </w:rPr>
        <w:t xml:space="preserve"> : http://w</w:t>
      </w:r>
      <w:r w:rsidRPr="0081039E">
        <w:rPr>
          <w:sz w:val="20"/>
          <w:szCs w:val="20"/>
          <w:lang w:val="en-AU"/>
        </w:rPr>
        <w:t>ww.worldbank.org/en/news/press-release/2015/03/04/world-bank-shortcomings-resettlement-projects-plan-fix-problems</w:t>
      </w:r>
    </w:p>
  </w:footnote>
  <w:footnote w:id="5">
    <w:p w:rsidR="00737CE4" w:rsidRDefault="0081039E">
      <w:pPr>
        <w:pStyle w:val="FootnoteText"/>
      </w:pPr>
      <w:r w:rsidRPr="0081039E">
        <w:rPr>
          <w:sz w:val="20"/>
          <w:szCs w:val="20"/>
          <w:lang w:val="en-AU"/>
        </w:rPr>
        <w:footnoteRef/>
      </w:r>
      <w:r w:rsidRPr="0081039E">
        <w:rPr>
          <w:sz w:val="20"/>
          <w:szCs w:val="20"/>
          <w:lang w:val="en-AU"/>
        </w:rPr>
        <w:tab/>
        <w:t xml:space="preserve">“Los fines del </w:t>
      </w:r>
      <w:proofErr w:type="spellStart"/>
      <w:r w:rsidRPr="0081039E">
        <w:rPr>
          <w:sz w:val="20"/>
          <w:szCs w:val="20"/>
          <w:lang w:val="en-AU"/>
        </w:rPr>
        <w:t>Fondo</w:t>
      </w:r>
      <w:proofErr w:type="spellEnd"/>
      <w:r w:rsidRPr="0081039E">
        <w:rPr>
          <w:sz w:val="20"/>
          <w:szCs w:val="20"/>
          <w:lang w:val="en-AU"/>
        </w:rPr>
        <w:t xml:space="preserve"> </w:t>
      </w:r>
      <w:proofErr w:type="spellStart"/>
      <w:r w:rsidRPr="0081039E">
        <w:rPr>
          <w:sz w:val="20"/>
          <w:szCs w:val="20"/>
          <w:lang w:val="en-AU"/>
        </w:rPr>
        <w:t>Monetario</w:t>
      </w:r>
      <w:proofErr w:type="spellEnd"/>
      <w:r w:rsidRPr="0081039E">
        <w:rPr>
          <w:sz w:val="20"/>
          <w:szCs w:val="20"/>
          <w:lang w:val="en-AU"/>
        </w:rPr>
        <w:t xml:space="preserve"> </w:t>
      </w:r>
      <w:proofErr w:type="spellStart"/>
      <w:r w:rsidRPr="0081039E">
        <w:rPr>
          <w:sz w:val="20"/>
          <w:szCs w:val="20"/>
          <w:lang w:val="en-AU"/>
        </w:rPr>
        <w:t>Internacional</w:t>
      </w:r>
      <w:proofErr w:type="spellEnd"/>
      <w:r w:rsidRPr="0081039E">
        <w:rPr>
          <w:sz w:val="20"/>
          <w:szCs w:val="20"/>
          <w:lang w:val="en-AU"/>
        </w:rPr>
        <w:t xml:space="preserve"> </w:t>
      </w:r>
      <w:proofErr w:type="gramStart"/>
      <w:r w:rsidRPr="0081039E">
        <w:rPr>
          <w:sz w:val="20"/>
          <w:szCs w:val="20"/>
          <w:lang w:val="en-AU"/>
        </w:rPr>
        <w:t>son :</w:t>
      </w:r>
      <w:proofErr w:type="gramEnd"/>
      <w:r w:rsidRPr="0081039E">
        <w:rPr>
          <w:sz w:val="20"/>
          <w:szCs w:val="20"/>
          <w:lang w:val="en-AU"/>
        </w:rPr>
        <w:t xml:space="preserve"> </w:t>
      </w:r>
      <w:r w:rsidRPr="0081039E">
        <w:rPr>
          <w:sz w:val="20"/>
          <w:szCs w:val="20"/>
          <w:shd w:val="clear" w:color="auto" w:fill="FFFFFF"/>
          <w:lang w:val="en-AU"/>
        </w:rPr>
        <w:t xml:space="preserve"> […]</w:t>
      </w:r>
      <w:r w:rsidRPr="0081039E">
        <w:rPr>
          <w:sz w:val="20"/>
          <w:szCs w:val="20"/>
          <w:lang w:val="en-AU"/>
        </w:rPr>
        <w:t xml:space="preserve"> </w:t>
      </w:r>
      <w:r w:rsidRPr="0081039E">
        <w:rPr>
          <w:sz w:val="20"/>
          <w:szCs w:val="20"/>
          <w:shd w:val="clear" w:color="auto" w:fill="FFFFFF"/>
          <w:lang w:val="en-AU"/>
        </w:rPr>
        <w:t xml:space="preserve">ii)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Facilitar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la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expansión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y el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crecimiento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equilibrado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del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comercio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internacional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,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contribuyendo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así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a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alcanzar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y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mantener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altos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niveles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de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ocupación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y de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ingresos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reales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y a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desarrollar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los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recursos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productivos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de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todos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los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países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miembros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como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objetivos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primordiales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de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política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81039E">
        <w:rPr>
          <w:sz w:val="20"/>
          <w:szCs w:val="20"/>
          <w:shd w:val="clear" w:color="auto" w:fill="FFFFFF"/>
          <w:lang w:val="en-AU"/>
        </w:rPr>
        <w:t>económica</w:t>
      </w:r>
      <w:proofErr w:type="spellEnd"/>
      <w:r w:rsidRPr="0081039E">
        <w:rPr>
          <w:sz w:val="20"/>
          <w:szCs w:val="20"/>
          <w:shd w:val="clear" w:color="auto" w:fill="FFFFFF"/>
          <w:lang w:val="en-AU"/>
        </w:rPr>
        <w:t>.”</w:t>
      </w:r>
      <w:r w:rsidRPr="0081039E">
        <w:rPr>
          <w:rStyle w:val="apple-converted-space"/>
          <w:color w:val="2C2825"/>
          <w:sz w:val="20"/>
          <w:szCs w:val="20"/>
          <w:shd w:val="clear" w:color="auto" w:fill="FFFFFF"/>
          <w:lang w:val="en-AU"/>
        </w:rPr>
        <w:t xml:space="preserve"> </w:t>
      </w:r>
      <w:proofErr w:type="spellStart"/>
      <w:r w:rsidRPr="0081039E">
        <w:rPr>
          <w:rStyle w:val="apple-converted-space"/>
          <w:color w:val="2C2825"/>
          <w:sz w:val="20"/>
          <w:szCs w:val="20"/>
          <w:shd w:val="clear" w:color="auto" w:fill="FFFFFF"/>
          <w:lang w:val="en-AU"/>
        </w:rPr>
        <w:t>Fuente</w:t>
      </w:r>
      <w:proofErr w:type="spellEnd"/>
      <w:r w:rsidRPr="0081039E">
        <w:rPr>
          <w:rStyle w:val="apple-converted-space"/>
          <w:color w:val="2C2825"/>
          <w:sz w:val="20"/>
          <w:szCs w:val="20"/>
          <w:shd w:val="clear" w:color="auto" w:fill="FFFFFF"/>
          <w:lang w:val="en-AU"/>
        </w:rPr>
        <w:t xml:space="preserve"> : https://www.imf.org/external/spanish/</w:t>
      </w:r>
      <w:r w:rsidRPr="0081039E">
        <w:rPr>
          <w:rStyle w:val="apple-converted-space"/>
          <w:color w:val="2C2825"/>
          <w:sz w:val="20"/>
          <w:szCs w:val="20"/>
          <w:shd w:val="clear" w:color="auto" w:fill="FFFFFF"/>
          <w:lang w:val="en-AU"/>
        </w:rPr>
        <w:t xml:space="preserve">pubs/ft/aa/aa.pdf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AB0"/>
    <w:multiLevelType w:val="multilevel"/>
    <w:tmpl w:val="09E4BD6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675886"/>
    <w:multiLevelType w:val="multilevel"/>
    <w:tmpl w:val="8E5A8F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E20465"/>
    <w:multiLevelType w:val="multilevel"/>
    <w:tmpl w:val="293C2E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pacing w:val="-1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CE4"/>
    <w:rsid w:val="00737CE4"/>
    <w:rsid w:val="0081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fr-CH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E4"/>
    <w:pPr>
      <w:suppressAutoHyphens/>
    </w:pPr>
    <w:rPr>
      <w:rFonts w:ascii="Times New Roman" w:eastAsia="Times New Roman" w:hAnsi="Times New Roman" w:cs="Times New Roman"/>
      <w:color w:val="00000A"/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737CE4"/>
    <w:rPr>
      <w:rFonts w:ascii="Courier New" w:hAnsi="Courier New" w:cs="Courier New"/>
      <w:spacing w:val="-12"/>
      <w:sz w:val="22"/>
      <w:szCs w:val="22"/>
    </w:rPr>
  </w:style>
  <w:style w:type="character" w:customStyle="1" w:styleId="WW8Num2z0">
    <w:name w:val="WW8Num2z0"/>
    <w:qFormat/>
    <w:rsid w:val="00737CE4"/>
    <w:rPr>
      <w:rFonts w:ascii="Courier New" w:hAnsi="Courier New" w:cs="Courier New"/>
      <w:sz w:val="22"/>
      <w:szCs w:val="22"/>
    </w:rPr>
  </w:style>
  <w:style w:type="character" w:customStyle="1" w:styleId="WW8Num3z0">
    <w:name w:val="WW8Num3z0"/>
    <w:qFormat/>
    <w:rsid w:val="00737CE4"/>
  </w:style>
  <w:style w:type="character" w:customStyle="1" w:styleId="WW8Num3z1">
    <w:name w:val="WW8Num3z1"/>
    <w:qFormat/>
    <w:rsid w:val="00737CE4"/>
  </w:style>
  <w:style w:type="character" w:customStyle="1" w:styleId="WW8Num3z2">
    <w:name w:val="WW8Num3z2"/>
    <w:qFormat/>
    <w:rsid w:val="00737CE4"/>
  </w:style>
  <w:style w:type="character" w:customStyle="1" w:styleId="WW8Num3z3">
    <w:name w:val="WW8Num3z3"/>
    <w:qFormat/>
    <w:rsid w:val="00737CE4"/>
  </w:style>
  <w:style w:type="character" w:customStyle="1" w:styleId="WW8Num3z4">
    <w:name w:val="WW8Num3z4"/>
    <w:qFormat/>
    <w:rsid w:val="00737CE4"/>
  </w:style>
  <w:style w:type="character" w:customStyle="1" w:styleId="WW8Num3z5">
    <w:name w:val="WW8Num3z5"/>
    <w:qFormat/>
    <w:rsid w:val="00737CE4"/>
  </w:style>
  <w:style w:type="character" w:customStyle="1" w:styleId="WW8Num3z6">
    <w:name w:val="WW8Num3z6"/>
    <w:qFormat/>
    <w:rsid w:val="00737CE4"/>
  </w:style>
  <w:style w:type="character" w:customStyle="1" w:styleId="WW8Num3z7">
    <w:name w:val="WW8Num3z7"/>
    <w:qFormat/>
    <w:rsid w:val="00737CE4"/>
  </w:style>
  <w:style w:type="character" w:customStyle="1" w:styleId="WW8Num3z8">
    <w:name w:val="WW8Num3z8"/>
    <w:qFormat/>
    <w:rsid w:val="00737CE4"/>
  </w:style>
  <w:style w:type="character" w:customStyle="1" w:styleId="WW8Num1z1">
    <w:name w:val="WW8Num1z1"/>
    <w:qFormat/>
    <w:rsid w:val="00737CE4"/>
  </w:style>
  <w:style w:type="character" w:customStyle="1" w:styleId="WW8Num1z2">
    <w:name w:val="WW8Num1z2"/>
    <w:qFormat/>
    <w:rsid w:val="00737CE4"/>
  </w:style>
  <w:style w:type="character" w:customStyle="1" w:styleId="WW8Num1z3">
    <w:name w:val="WW8Num1z3"/>
    <w:qFormat/>
    <w:rsid w:val="00737CE4"/>
  </w:style>
  <w:style w:type="character" w:customStyle="1" w:styleId="WW8Num1z4">
    <w:name w:val="WW8Num1z4"/>
    <w:qFormat/>
    <w:rsid w:val="00737CE4"/>
  </w:style>
  <w:style w:type="character" w:customStyle="1" w:styleId="WW8Num1z5">
    <w:name w:val="WW8Num1z5"/>
    <w:qFormat/>
    <w:rsid w:val="00737CE4"/>
  </w:style>
  <w:style w:type="character" w:customStyle="1" w:styleId="WW8Num1z6">
    <w:name w:val="WW8Num1z6"/>
    <w:qFormat/>
    <w:rsid w:val="00737CE4"/>
  </w:style>
  <w:style w:type="character" w:customStyle="1" w:styleId="WW8Num1z7">
    <w:name w:val="WW8Num1z7"/>
    <w:qFormat/>
    <w:rsid w:val="00737CE4"/>
  </w:style>
  <w:style w:type="character" w:customStyle="1" w:styleId="WW8Num1z8">
    <w:name w:val="WW8Num1z8"/>
    <w:qFormat/>
    <w:rsid w:val="00737CE4"/>
  </w:style>
  <w:style w:type="character" w:customStyle="1" w:styleId="WW8Num4z0">
    <w:name w:val="WW8Num4z0"/>
    <w:qFormat/>
    <w:rsid w:val="00737CE4"/>
  </w:style>
  <w:style w:type="character" w:customStyle="1" w:styleId="WW8Num4z1">
    <w:name w:val="WW8Num4z1"/>
    <w:qFormat/>
    <w:rsid w:val="00737CE4"/>
  </w:style>
  <w:style w:type="character" w:customStyle="1" w:styleId="WW8Num4z2">
    <w:name w:val="WW8Num4z2"/>
    <w:qFormat/>
    <w:rsid w:val="00737CE4"/>
  </w:style>
  <w:style w:type="character" w:customStyle="1" w:styleId="WW8Num4z3">
    <w:name w:val="WW8Num4z3"/>
    <w:qFormat/>
    <w:rsid w:val="00737CE4"/>
  </w:style>
  <w:style w:type="character" w:customStyle="1" w:styleId="WW8Num4z4">
    <w:name w:val="WW8Num4z4"/>
    <w:qFormat/>
    <w:rsid w:val="00737CE4"/>
  </w:style>
  <w:style w:type="character" w:customStyle="1" w:styleId="WW8Num4z5">
    <w:name w:val="WW8Num4z5"/>
    <w:qFormat/>
    <w:rsid w:val="00737CE4"/>
  </w:style>
  <w:style w:type="character" w:customStyle="1" w:styleId="WW8Num4z6">
    <w:name w:val="WW8Num4z6"/>
    <w:qFormat/>
    <w:rsid w:val="00737CE4"/>
  </w:style>
  <w:style w:type="character" w:customStyle="1" w:styleId="WW8Num4z7">
    <w:name w:val="WW8Num4z7"/>
    <w:qFormat/>
    <w:rsid w:val="00737CE4"/>
  </w:style>
  <w:style w:type="character" w:customStyle="1" w:styleId="WW8Num4z8">
    <w:name w:val="WW8Num4z8"/>
    <w:qFormat/>
    <w:rsid w:val="00737CE4"/>
  </w:style>
  <w:style w:type="character" w:customStyle="1" w:styleId="WW8Num5z0">
    <w:name w:val="WW8Num5z0"/>
    <w:qFormat/>
    <w:rsid w:val="00737CE4"/>
  </w:style>
  <w:style w:type="character" w:customStyle="1" w:styleId="WW8Num5z1">
    <w:name w:val="WW8Num5z1"/>
    <w:qFormat/>
    <w:rsid w:val="00737CE4"/>
  </w:style>
  <w:style w:type="character" w:customStyle="1" w:styleId="WW8Num5z2">
    <w:name w:val="WW8Num5z2"/>
    <w:qFormat/>
    <w:rsid w:val="00737CE4"/>
  </w:style>
  <w:style w:type="character" w:customStyle="1" w:styleId="WW8Num5z3">
    <w:name w:val="WW8Num5z3"/>
    <w:qFormat/>
    <w:rsid w:val="00737CE4"/>
  </w:style>
  <w:style w:type="character" w:customStyle="1" w:styleId="WW8Num5z4">
    <w:name w:val="WW8Num5z4"/>
    <w:qFormat/>
    <w:rsid w:val="00737CE4"/>
  </w:style>
  <w:style w:type="character" w:customStyle="1" w:styleId="WW8Num5z5">
    <w:name w:val="WW8Num5z5"/>
    <w:qFormat/>
    <w:rsid w:val="00737CE4"/>
  </w:style>
  <w:style w:type="character" w:customStyle="1" w:styleId="WW8Num5z6">
    <w:name w:val="WW8Num5z6"/>
    <w:qFormat/>
    <w:rsid w:val="00737CE4"/>
  </w:style>
  <w:style w:type="character" w:customStyle="1" w:styleId="WW8Num5z7">
    <w:name w:val="WW8Num5z7"/>
    <w:qFormat/>
    <w:rsid w:val="00737CE4"/>
  </w:style>
  <w:style w:type="character" w:customStyle="1" w:styleId="WW8Num5z8">
    <w:name w:val="WW8Num5z8"/>
    <w:qFormat/>
    <w:rsid w:val="00737CE4"/>
  </w:style>
  <w:style w:type="character" w:customStyle="1" w:styleId="WW8Num6z0">
    <w:name w:val="WW8Num6z0"/>
    <w:qFormat/>
    <w:rsid w:val="00737CE4"/>
    <w:rPr>
      <w:rFonts w:ascii="Symbol" w:hAnsi="Symbol" w:cs="OpenSymbol;Arial Unicode MS"/>
      <w:sz w:val="20"/>
      <w:szCs w:val="20"/>
      <w:lang w:val="es-ES"/>
    </w:rPr>
  </w:style>
  <w:style w:type="character" w:customStyle="1" w:styleId="WW8Num6z1">
    <w:name w:val="WW8Num6z1"/>
    <w:qFormat/>
    <w:rsid w:val="00737CE4"/>
  </w:style>
  <w:style w:type="character" w:customStyle="1" w:styleId="WW8Num6z2">
    <w:name w:val="WW8Num6z2"/>
    <w:qFormat/>
    <w:rsid w:val="00737CE4"/>
  </w:style>
  <w:style w:type="character" w:customStyle="1" w:styleId="WW8Num6z3">
    <w:name w:val="WW8Num6z3"/>
    <w:qFormat/>
    <w:rsid w:val="00737CE4"/>
  </w:style>
  <w:style w:type="character" w:customStyle="1" w:styleId="WW8Num6z4">
    <w:name w:val="WW8Num6z4"/>
    <w:qFormat/>
    <w:rsid w:val="00737CE4"/>
  </w:style>
  <w:style w:type="character" w:customStyle="1" w:styleId="WW8Num6z5">
    <w:name w:val="WW8Num6z5"/>
    <w:qFormat/>
    <w:rsid w:val="00737CE4"/>
  </w:style>
  <w:style w:type="character" w:customStyle="1" w:styleId="WW8Num6z6">
    <w:name w:val="WW8Num6z6"/>
    <w:qFormat/>
    <w:rsid w:val="00737CE4"/>
  </w:style>
  <w:style w:type="character" w:customStyle="1" w:styleId="WW8Num6z7">
    <w:name w:val="WW8Num6z7"/>
    <w:qFormat/>
    <w:rsid w:val="00737CE4"/>
  </w:style>
  <w:style w:type="character" w:customStyle="1" w:styleId="WW8Num6z8">
    <w:name w:val="WW8Num6z8"/>
    <w:qFormat/>
    <w:rsid w:val="00737CE4"/>
  </w:style>
  <w:style w:type="character" w:customStyle="1" w:styleId="WW8Num2z2">
    <w:name w:val="WW8Num2z2"/>
    <w:qFormat/>
    <w:rsid w:val="00737CE4"/>
    <w:rPr>
      <w:rFonts w:ascii="Wingdings" w:hAnsi="Wingdings" w:cs="Wingdings"/>
    </w:rPr>
  </w:style>
  <w:style w:type="character" w:customStyle="1" w:styleId="WW8Num2z3">
    <w:name w:val="WW8Num2z3"/>
    <w:qFormat/>
    <w:rsid w:val="00737CE4"/>
    <w:rPr>
      <w:rFonts w:ascii="Symbol" w:hAnsi="Symbol" w:cs="Symbol"/>
    </w:rPr>
  </w:style>
  <w:style w:type="character" w:customStyle="1" w:styleId="WW-DefaultParagraphFont">
    <w:name w:val="WW-Default Paragraph Font"/>
    <w:qFormat/>
    <w:rsid w:val="00737CE4"/>
  </w:style>
  <w:style w:type="character" w:customStyle="1" w:styleId="LienInternet">
    <w:name w:val="Lien Internet"/>
    <w:basedOn w:val="WW-DefaultParagraphFont"/>
    <w:rsid w:val="00737CE4"/>
    <w:rPr>
      <w:color w:val="0000FF"/>
      <w:u w:val="single"/>
    </w:rPr>
  </w:style>
  <w:style w:type="character" w:customStyle="1" w:styleId="Accentuation">
    <w:name w:val="Accentuation"/>
    <w:basedOn w:val="WW-DefaultParagraphFont"/>
    <w:qFormat/>
    <w:rsid w:val="00737CE4"/>
    <w:rPr>
      <w:i/>
      <w:iCs/>
    </w:rPr>
  </w:style>
  <w:style w:type="character" w:styleId="FootnoteReference">
    <w:name w:val="footnote reference"/>
    <w:basedOn w:val="WW-DefaultParagraphFont"/>
    <w:qFormat/>
    <w:rsid w:val="00737CE4"/>
    <w:rPr>
      <w:vertAlign w:val="superscript"/>
    </w:rPr>
  </w:style>
  <w:style w:type="character" w:customStyle="1" w:styleId="Caractresdenotedebasdepage">
    <w:name w:val="Caractères de note de bas de page"/>
    <w:qFormat/>
    <w:rsid w:val="00737CE4"/>
  </w:style>
  <w:style w:type="character" w:customStyle="1" w:styleId="Ancredenotedebasdepage">
    <w:name w:val="Ancre de note de bas de page"/>
    <w:qFormat/>
    <w:rsid w:val="00737CE4"/>
    <w:rPr>
      <w:vertAlign w:val="superscript"/>
    </w:rPr>
  </w:style>
  <w:style w:type="character" w:customStyle="1" w:styleId="Caractresdenotedefin">
    <w:name w:val="Caractères de note de fin"/>
    <w:qFormat/>
    <w:rsid w:val="00737CE4"/>
    <w:rPr>
      <w:vertAlign w:val="superscript"/>
    </w:rPr>
  </w:style>
  <w:style w:type="character" w:customStyle="1" w:styleId="WW-Caractresdenotedefin">
    <w:name w:val="WW-Caractères de note de fin"/>
    <w:qFormat/>
    <w:rsid w:val="00737CE4"/>
  </w:style>
  <w:style w:type="character" w:customStyle="1" w:styleId="Ancredenotedefin">
    <w:name w:val="Ancre de note de fin"/>
    <w:qFormat/>
    <w:rsid w:val="00737CE4"/>
    <w:rPr>
      <w:vertAlign w:val="superscript"/>
    </w:rPr>
  </w:style>
  <w:style w:type="character" w:customStyle="1" w:styleId="apple-converted-space">
    <w:name w:val="apple-converted-space"/>
    <w:basedOn w:val="WW-DefaultParagraphFont"/>
    <w:qFormat/>
    <w:rsid w:val="00737CE4"/>
  </w:style>
  <w:style w:type="character" w:customStyle="1" w:styleId="Puces">
    <w:name w:val="Puces"/>
    <w:qFormat/>
    <w:rsid w:val="00737CE4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sid w:val="00737CE4"/>
    <w:rPr>
      <w:rFonts w:ascii="Arial Narrow" w:hAnsi="Arial Narrow" w:cs="Courier New"/>
      <w:b/>
      <w:spacing w:val="-12"/>
      <w:sz w:val="22"/>
      <w:szCs w:val="22"/>
    </w:rPr>
  </w:style>
  <w:style w:type="character" w:customStyle="1" w:styleId="ListLabel2">
    <w:name w:val="ListLabel 2"/>
    <w:qFormat/>
    <w:rsid w:val="00737CE4"/>
    <w:rPr>
      <w:rFonts w:ascii="Arial Narrow" w:hAnsi="Arial Narrow" w:cs="Courier New"/>
      <w:sz w:val="22"/>
      <w:szCs w:val="22"/>
    </w:rPr>
  </w:style>
  <w:style w:type="character" w:customStyle="1" w:styleId="ListLabel3">
    <w:name w:val="ListLabel 3"/>
    <w:qFormat/>
    <w:rsid w:val="00737CE4"/>
    <w:rPr>
      <w:rFonts w:cs="Courier New"/>
      <w:b/>
      <w:spacing w:val="-12"/>
      <w:sz w:val="22"/>
      <w:szCs w:val="22"/>
    </w:rPr>
  </w:style>
  <w:style w:type="character" w:customStyle="1" w:styleId="ListLabel4">
    <w:name w:val="ListLabel 4"/>
    <w:qFormat/>
    <w:rsid w:val="00737CE4"/>
    <w:rPr>
      <w:rFonts w:ascii="Arial Narrow" w:hAnsi="Arial Narrow" w:cs="Courier New"/>
      <w:sz w:val="22"/>
      <w:szCs w:val="22"/>
    </w:rPr>
  </w:style>
  <w:style w:type="character" w:customStyle="1" w:styleId="ListLabel5">
    <w:name w:val="ListLabel 5"/>
    <w:qFormat/>
    <w:rsid w:val="00737CE4"/>
    <w:rPr>
      <w:rFonts w:cs="Courier New"/>
      <w:b/>
      <w:spacing w:val="-12"/>
      <w:sz w:val="22"/>
      <w:szCs w:val="22"/>
    </w:rPr>
  </w:style>
  <w:style w:type="character" w:customStyle="1" w:styleId="ListLabel6">
    <w:name w:val="ListLabel 6"/>
    <w:qFormat/>
    <w:rsid w:val="00737CE4"/>
    <w:rPr>
      <w:rFonts w:ascii="Arial Narrow" w:hAnsi="Arial Narrow" w:cs="Courier New"/>
      <w:sz w:val="22"/>
      <w:szCs w:val="22"/>
    </w:rPr>
  </w:style>
  <w:style w:type="paragraph" w:customStyle="1" w:styleId="Titre">
    <w:name w:val="Titre"/>
    <w:basedOn w:val="Normal"/>
    <w:next w:val="BodyText"/>
    <w:qFormat/>
    <w:rsid w:val="00737CE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BodyText">
    <w:name w:val="Body Text"/>
    <w:basedOn w:val="Normal"/>
    <w:rsid w:val="00737CE4"/>
    <w:pPr>
      <w:spacing w:after="140" w:line="288" w:lineRule="auto"/>
    </w:pPr>
  </w:style>
  <w:style w:type="paragraph" w:styleId="List">
    <w:name w:val="List"/>
    <w:basedOn w:val="BodyText"/>
    <w:rsid w:val="00737CE4"/>
    <w:rPr>
      <w:rFonts w:cs="Mangal"/>
    </w:rPr>
  </w:style>
  <w:style w:type="paragraph" w:styleId="Caption">
    <w:name w:val="caption"/>
    <w:basedOn w:val="Normal"/>
    <w:qFormat/>
    <w:rsid w:val="00737CE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37CE4"/>
    <w:pPr>
      <w:suppressLineNumbers/>
    </w:pPr>
    <w:rPr>
      <w:rFonts w:cs="Mangal"/>
    </w:rPr>
  </w:style>
  <w:style w:type="paragraph" w:customStyle="1" w:styleId="sdfootnote">
    <w:name w:val="sdfootnote"/>
    <w:basedOn w:val="Normal"/>
    <w:qFormat/>
    <w:rsid w:val="00737CE4"/>
    <w:pPr>
      <w:spacing w:before="280"/>
      <w:ind w:left="340" w:hanging="340"/>
    </w:pPr>
    <w:rPr>
      <w:sz w:val="20"/>
      <w:szCs w:val="20"/>
      <w:lang w:val="fr-FR"/>
    </w:rPr>
  </w:style>
  <w:style w:type="paragraph" w:styleId="FootnoteText">
    <w:name w:val="footnote text"/>
    <w:basedOn w:val="Normal"/>
    <w:qFormat/>
    <w:rsid w:val="00737CE4"/>
  </w:style>
  <w:style w:type="paragraph" w:customStyle="1" w:styleId="Standard">
    <w:name w:val="Standard"/>
    <w:qFormat/>
    <w:rsid w:val="00737CE4"/>
    <w:pPr>
      <w:suppressAutoHyphens/>
    </w:pPr>
    <w:rPr>
      <w:rFonts w:ascii="Liberation Serif;Times New Roma" w:eastAsia="SimSun;宋体" w:hAnsi="Liberation Serif;Times New Roma"/>
      <w:color w:val="00000A"/>
      <w:sz w:val="24"/>
    </w:rPr>
  </w:style>
  <w:style w:type="paragraph" w:customStyle="1" w:styleId="Footnote">
    <w:name w:val="Footnote"/>
    <w:basedOn w:val="Standard"/>
    <w:qFormat/>
    <w:rsid w:val="00737CE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737CE4"/>
  </w:style>
  <w:style w:type="numbering" w:customStyle="1" w:styleId="WW8Num2">
    <w:name w:val="WW8Num2"/>
    <w:qFormat/>
    <w:rsid w:val="00737CE4"/>
  </w:style>
  <w:style w:type="numbering" w:customStyle="1" w:styleId="WW8Num3">
    <w:name w:val="WW8Num3"/>
    <w:qFormat/>
    <w:rsid w:val="00737CE4"/>
  </w:style>
  <w:style w:type="paragraph" w:styleId="BalloonText">
    <w:name w:val="Balloon Text"/>
    <w:basedOn w:val="Normal"/>
    <w:link w:val="BalloonTextChar"/>
    <w:uiPriority w:val="99"/>
    <w:semiHidden/>
    <w:unhideWhenUsed/>
    <w:rsid w:val="00810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9E"/>
    <w:rPr>
      <w:rFonts w:ascii="Tahoma" w:eastAsia="Times New Roman" w:hAnsi="Tahoma" w:cs="Tahoma"/>
      <w:color w:val="00000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etim.c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gwg-tncs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24A45-C600-4A0E-A2EB-C4C52595F5D0}"/>
</file>

<file path=customXml/itemProps2.xml><?xml version="1.0" encoding="utf-8"?>
<ds:datastoreItem xmlns:ds="http://schemas.openxmlformats.org/officeDocument/2006/customXml" ds:itemID="{CF5AA25A-5267-4605-9E75-366A10B2D86D}"/>
</file>

<file path=customXml/itemProps3.xml><?xml version="1.0" encoding="utf-8"?>
<ds:datastoreItem xmlns:ds="http://schemas.openxmlformats.org/officeDocument/2006/customXml" ds:itemID="{FB5554FA-5E97-482F-829F-58C61C1C6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1614</Words>
  <Characters>8883</Characters>
  <Application>Microsoft Office Word</Application>
  <DocSecurity>0</DocSecurity>
  <Lines>74</Lines>
  <Paragraphs>20</Paragraphs>
  <ScaleCrop>false</ScaleCrop>
  <Company>CETIM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in Word</dc:title>
  <dc:subject/>
  <dc:creator>OHCHR</dc:creator>
  <dc:description/>
  <cp:lastModifiedBy>Julie Duchatel</cp:lastModifiedBy>
  <cp:revision>8</cp:revision>
  <cp:lastPrinted>2016-10-05T19:28:00Z</cp:lastPrinted>
  <dcterms:created xsi:type="dcterms:W3CDTF">2016-09-30T14:45:00Z</dcterms:created>
  <dcterms:modified xsi:type="dcterms:W3CDTF">2016-10-06T16:38:00Z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tle">
    <vt:lpwstr/>
  </property>
  <property fmtid="{D5CDD505-2E9C-101B-9397-08002B2CF9AE}" pid="3" name="CHTitle">
    <vt:lpwstr/>
  </property>
  <property fmtid="{D5CDD505-2E9C-101B-9397-08002B2CF9AE}" pid="4" name="ContentType">
    <vt:lpwstr>Document</vt:lpwstr>
  </property>
  <property fmtid="{D5CDD505-2E9C-101B-9397-08002B2CF9AE}" pid="5" name="FRTitle">
    <vt:lpwstr/>
  </property>
  <property fmtid="{D5CDD505-2E9C-101B-9397-08002B2CF9AE}" pid="6" name="Order1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RUTitle">
    <vt:lpwstr/>
  </property>
  <property fmtid="{D5CDD505-2E9C-101B-9397-08002B2CF9AE}" pid="10" name="SPTitle">
    <vt:lpwstr/>
  </property>
  <property fmtid="{D5CDD505-2E9C-101B-9397-08002B2CF9AE}" pid="11" name="TemplateUrl">
    <vt:lpwstr/>
  </property>
  <property fmtid="{D5CDD505-2E9C-101B-9397-08002B2CF9AE}" pid="12" name="_SourceUrl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display_urn:schemas-microsoft-com:office:office#Editor">
    <vt:lpwstr>System Account</vt:lpwstr>
  </property>
  <property fmtid="{D5CDD505-2E9C-101B-9397-08002B2CF9AE}" pid="15" name="xd_ProgID">
    <vt:lpwstr/>
  </property>
  <property fmtid="{D5CDD505-2E9C-101B-9397-08002B2CF9AE}" pid="16" name="xd_Signature">
    <vt:lpwstr/>
  </property>
  <property fmtid="{D5CDD505-2E9C-101B-9397-08002B2CF9AE}" pid="17" name="ContentTypeId">
    <vt:lpwstr>0x0101008822B9E06671B54FA89F14538B9B0FEA</vt:lpwstr>
  </property>
  <property fmtid="{D5CDD505-2E9C-101B-9397-08002B2CF9AE}" pid="18" name="Order">
    <vt:r8>3790600</vt:r8>
  </property>
  <property fmtid="{D5CDD505-2E9C-101B-9397-08002B2CF9AE}" pid="20" name="_SharedFileIndex">
    <vt:lpwstr/>
  </property>
</Properties>
</file>