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E1" w:rsidRDefault="007907E1" w:rsidP="00E92129">
      <w:pPr>
        <w:spacing w:after="0" w:line="360" w:lineRule="auto"/>
        <w:jc w:val="both"/>
        <w:rPr>
          <w:rFonts w:ascii="Arial" w:hAnsi="Arial" w:cs="Arial"/>
          <w:b/>
          <w:u w:val="single"/>
        </w:rPr>
      </w:pPr>
    </w:p>
    <w:p w:rsidR="007907E1" w:rsidRDefault="007907E1" w:rsidP="007907E1">
      <w:pPr>
        <w:spacing w:after="0" w:line="360" w:lineRule="auto"/>
        <w:jc w:val="both"/>
        <w:rPr>
          <w:rFonts w:ascii="Arial" w:hAnsi="Arial" w:cs="Arial"/>
          <w:b/>
          <w:u w:val="single"/>
        </w:rPr>
      </w:pPr>
      <w:r>
        <w:rPr>
          <w:rFonts w:ascii="Arial" w:hAnsi="Arial" w:cs="Arial"/>
          <w:b/>
          <w:u w:val="single"/>
        </w:rPr>
        <w:t xml:space="preserve">What Provisions Should a Treaty on Business and Human Rights Contain Governing </w:t>
      </w:r>
      <w:r w:rsidRPr="00076B42">
        <w:rPr>
          <w:rFonts w:ascii="Arial" w:hAnsi="Arial" w:cs="Arial"/>
          <w:b/>
          <w:u w:val="single"/>
        </w:rPr>
        <w:t>Corporate Obligations</w:t>
      </w:r>
      <w:r>
        <w:rPr>
          <w:rFonts w:ascii="Arial" w:hAnsi="Arial" w:cs="Arial"/>
          <w:b/>
          <w:u w:val="single"/>
        </w:rPr>
        <w:t xml:space="preserve">? </w:t>
      </w:r>
      <w:r w:rsidRPr="00076B42">
        <w:rPr>
          <w:rFonts w:ascii="Arial" w:hAnsi="Arial" w:cs="Arial"/>
          <w:b/>
          <w:u w:val="single"/>
        </w:rPr>
        <w:t xml:space="preserve"> </w:t>
      </w:r>
    </w:p>
    <w:p w:rsidR="007907E1" w:rsidRDefault="007907E1" w:rsidP="00E92129">
      <w:pPr>
        <w:spacing w:after="0" w:line="360" w:lineRule="auto"/>
        <w:jc w:val="both"/>
        <w:rPr>
          <w:rFonts w:ascii="Arial" w:hAnsi="Arial" w:cs="Arial"/>
          <w:b/>
          <w:u w:val="single"/>
        </w:rPr>
      </w:pPr>
    </w:p>
    <w:p w:rsidR="007907E1" w:rsidRDefault="007907E1" w:rsidP="00E92129">
      <w:pPr>
        <w:spacing w:after="0" w:line="360" w:lineRule="auto"/>
        <w:jc w:val="both"/>
        <w:rPr>
          <w:rFonts w:ascii="Arial" w:hAnsi="Arial" w:cs="Arial"/>
          <w:b/>
          <w:u w:val="single"/>
        </w:rPr>
      </w:pPr>
    </w:p>
    <w:p w:rsidR="007907E1" w:rsidRDefault="007907E1" w:rsidP="00E92129">
      <w:pPr>
        <w:spacing w:after="0" w:line="360" w:lineRule="auto"/>
        <w:jc w:val="both"/>
        <w:rPr>
          <w:rFonts w:ascii="Arial" w:hAnsi="Arial" w:cs="Arial"/>
          <w:b/>
        </w:rPr>
      </w:pPr>
    </w:p>
    <w:p w:rsidR="007907E1" w:rsidRDefault="007907E1" w:rsidP="00E92129">
      <w:pPr>
        <w:spacing w:after="0" w:line="360" w:lineRule="auto"/>
        <w:jc w:val="both"/>
        <w:rPr>
          <w:rFonts w:ascii="Arial" w:hAnsi="Arial" w:cs="Arial"/>
          <w:b/>
        </w:rPr>
      </w:pPr>
    </w:p>
    <w:p w:rsidR="007907E1" w:rsidRPr="007907E1" w:rsidRDefault="007907E1" w:rsidP="00E92129">
      <w:pPr>
        <w:spacing w:after="0" w:line="360" w:lineRule="auto"/>
        <w:jc w:val="both"/>
        <w:rPr>
          <w:rFonts w:ascii="Arial" w:hAnsi="Arial" w:cs="Arial"/>
          <w:b/>
        </w:rPr>
      </w:pPr>
      <w:r w:rsidRPr="007907E1">
        <w:rPr>
          <w:rFonts w:ascii="Arial" w:hAnsi="Arial" w:cs="Arial"/>
          <w:b/>
        </w:rPr>
        <w:t>Submission by the South African Institute for Advanced Constitutional, Public, Human Rights and International Law, a Centre of the University of Johannesburg</w:t>
      </w:r>
    </w:p>
    <w:p w:rsidR="007907E1" w:rsidRPr="007907E1" w:rsidRDefault="007907E1" w:rsidP="00E92129">
      <w:pPr>
        <w:spacing w:after="0" w:line="360" w:lineRule="auto"/>
        <w:jc w:val="both"/>
        <w:rPr>
          <w:rFonts w:ascii="Arial" w:hAnsi="Arial" w:cs="Arial"/>
          <w:b/>
        </w:rPr>
      </w:pPr>
    </w:p>
    <w:p w:rsidR="007907E1" w:rsidRPr="007907E1" w:rsidRDefault="008C7E90" w:rsidP="007907E1">
      <w:pPr>
        <w:spacing w:after="0" w:line="360" w:lineRule="auto"/>
        <w:jc w:val="both"/>
        <w:rPr>
          <w:rFonts w:ascii="Arial" w:hAnsi="Arial" w:cs="Arial"/>
        </w:rPr>
      </w:pPr>
      <w:r>
        <w:rPr>
          <w:rFonts w:ascii="Arial" w:hAnsi="Arial" w:cs="Arial"/>
        </w:rPr>
        <w:t>P</w:t>
      </w:r>
      <w:r w:rsidR="007907E1" w:rsidRPr="007907E1">
        <w:rPr>
          <w:rFonts w:ascii="Arial" w:hAnsi="Arial" w:cs="Arial"/>
        </w:rPr>
        <w:t xml:space="preserve">repared by Prof David Bilchitz (Professor of Fundamental Rights and Constitutional Law, Director of SAIFAC and Secretary-General of the International Association of Constitutional Law) </w:t>
      </w:r>
      <w:r w:rsidR="00F541D7">
        <w:rPr>
          <w:rStyle w:val="FootnoteReference"/>
          <w:rFonts w:ascii="Arial" w:hAnsi="Arial" w:cs="Arial"/>
        </w:rPr>
        <w:footnoteReference w:id="1"/>
      </w:r>
    </w:p>
    <w:p w:rsidR="007907E1" w:rsidRDefault="007907E1" w:rsidP="00E92129">
      <w:pPr>
        <w:spacing w:after="0" w:line="360" w:lineRule="auto"/>
        <w:jc w:val="both"/>
        <w:rPr>
          <w:rFonts w:ascii="Arial" w:hAnsi="Arial" w:cs="Arial"/>
          <w:b/>
          <w:u w:val="single"/>
        </w:rPr>
      </w:pPr>
    </w:p>
    <w:p w:rsidR="007907E1" w:rsidRDefault="007907E1" w:rsidP="00E92129">
      <w:pPr>
        <w:spacing w:after="0" w:line="360" w:lineRule="auto"/>
        <w:jc w:val="both"/>
        <w:rPr>
          <w:rFonts w:ascii="Arial" w:hAnsi="Arial" w:cs="Arial"/>
          <w:b/>
          <w:u w:val="single"/>
        </w:rPr>
      </w:pPr>
    </w:p>
    <w:p w:rsidR="007907E1" w:rsidRDefault="007907E1" w:rsidP="007907E1">
      <w:pPr>
        <w:spacing w:line="360" w:lineRule="auto"/>
        <w:rPr>
          <w:rFonts w:cs="Arial"/>
        </w:rPr>
      </w:pPr>
    </w:p>
    <w:p w:rsidR="007907E1" w:rsidRDefault="007907E1" w:rsidP="007907E1">
      <w:pPr>
        <w:spacing w:line="360" w:lineRule="auto"/>
        <w:rPr>
          <w:rFonts w:cs="Arial"/>
        </w:rPr>
      </w:pPr>
    </w:p>
    <w:p w:rsidR="007907E1" w:rsidRPr="00C724BC" w:rsidRDefault="007907E1" w:rsidP="007907E1">
      <w:pPr>
        <w:spacing w:line="360" w:lineRule="auto"/>
        <w:rPr>
          <w:rFonts w:cs="Arial"/>
        </w:rPr>
      </w:pPr>
    </w:p>
    <w:p w:rsidR="007907E1" w:rsidRDefault="007907E1" w:rsidP="007907E1">
      <w:pPr>
        <w:spacing w:line="360" w:lineRule="auto"/>
        <w:rPr>
          <w:rFonts w:cs="Arial"/>
        </w:rPr>
      </w:pPr>
      <w:r w:rsidRPr="00C724BC">
        <w:rPr>
          <w:rFonts w:cs="Arial"/>
        </w:rPr>
        <w:tab/>
      </w:r>
      <w:r w:rsidRPr="00C724BC">
        <w:rPr>
          <w:rFonts w:cs="Arial"/>
        </w:rPr>
        <w:tab/>
      </w:r>
      <w:r w:rsidRPr="00C724BC">
        <w:rPr>
          <w:rFonts w:cs="Arial"/>
        </w:rPr>
        <w:tab/>
      </w:r>
      <w:r w:rsidRPr="00C724BC">
        <w:rPr>
          <w:rFonts w:cs="Arial"/>
        </w:rPr>
        <w:tab/>
      </w:r>
      <w:r w:rsidRPr="00772C4D">
        <w:rPr>
          <w:rFonts w:cs="Arial"/>
          <w:noProof/>
          <w:lang w:val="en-ZA" w:eastAsia="en-ZA"/>
        </w:rPr>
        <w:drawing>
          <wp:inline distT="0" distB="0" distL="0" distR="0" wp14:anchorId="22A7995C" wp14:editId="120353DD">
            <wp:extent cx="162877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r>
        <w:rPr>
          <w:rFonts w:cs="Arial"/>
        </w:rPr>
        <w:t xml:space="preserve"> </w:t>
      </w:r>
    </w:p>
    <w:p w:rsidR="007907E1" w:rsidRDefault="007907E1" w:rsidP="007907E1">
      <w:pPr>
        <w:spacing w:line="360" w:lineRule="auto"/>
        <w:rPr>
          <w:rFonts w:cs="Arial"/>
        </w:rPr>
      </w:pPr>
    </w:p>
    <w:p w:rsidR="007907E1" w:rsidRPr="007907E1" w:rsidRDefault="007907E1" w:rsidP="007907E1">
      <w:pPr>
        <w:spacing w:line="360" w:lineRule="auto"/>
        <w:rPr>
          <w:rFonts w:cs="Arial"/>
        </w:rPr>
      </w:pPr>
      <w:r>
        <w:rPr>
          <w:rFonts w:cs="Arial"/>
        </w:rPr>
        <w:tab/>
      </w:r>
      <w:r>
        <w:rPr>
          <w:rFonts w:cs="Arial"/>
        </w:rPr>
        <w:tab/>
      </w:r>
      <w:r>
        <w:rPr>
          <w:rFonts w:cs="Arial"/>
        </w:rPr>
        <w:tab/>
      </w:r>
      <w:r>
        <w:rPr>
          <w:rFonts w:cs="Arial"/>
        </w:rPr>
        <w:tab/>
      </w:r>
      <w:r w:rsidRPr="00772C4D">
        <w:rPr>
          <w:rFonts w:cs="Arial"/>
          <w:noProof/>
          <w:lang w:val="en-ZA" w:eastAsia="en-ZA"/>
        </w:rPr>
        <w:drawing>
          <wp:inline distT="0" distB="0" distL="0" distR="0" wp14:anchorId="55177D13" wp14:editId="01261B72">
            <wp:extent cx="2190750" cy="628650"/>
            <wp:effectExtent l="0" t="0" r="0" b="0"/>
            <wp:docPr id="2" name="Picture 2" descr="New UJ 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J smal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628650"/>
                    </a:xfrm>
                    <a:prstGeom prst="rect">
                      <a:avLst/>
                    </a:prstGeom>
                    <a:noFill/>
                    <a:ln>
                      <a:noFill/>
                    </a:ln>
                  </pic:spPr>
                </pic:pic>
              </a:graphicData>
            </a:graphic>
          </wp:inline>
        </w:drawing>
      </w:r>
    </w:p>
    <w:p w:rsidR="007907E1" w:rsidRDefault="007907E1" w:rsidP="00E92129">
      <w:pPr>
        <w:spacing w:after="0" w:line="360" w:lineRule="auto"/>
        <w:jc w:val="both"/>
        <w:rPr>
          <w:rFonts w:ascii="Arial" w:hAnsi="Arial" w:cs="Arial"/>
          <w:b/>
          <w:u w:val="single"/>
        </w:rPr>
      </w:pPr>
    </w:p>
    <w:p w:rsidR="007907E1" w:rsidRDefault="007907E1" w:rsidP="00E92129">
      <w:pPr>
        <w:spacing w:after="0" w:line="360" w:lineRule="auto"/>
        <w:jc w:val="both"/>
        <w:rPr>
          <w:rFonts w:ascii="Arial" w:hAnsi="Arial" w:cs="Arial"/>
          <w:b/>
          <w:u w:val="single"/>
        </w:rPr>
      </w:pPr>
    </w:p>
    <w:p w:rsidR="007907E1" w:rsidRDefault="007907E1" w:rsidP="00E92129">
      <w:pPr>
        <w:spacing w:after="0" w:line="360" w:lineRule="auto"/>
        <w:jc w:val="both"/>
        <w:rPr>
          <w:rFonts w:ascii="Arial" w:hAnsi="Arial" w:cs="Arial"/>
          <w:b/>
          <w:u w:val="single"/>
        </w:rPr>
      </w:pPr>
    </w:p>
    <w:p w:rsidR="007907E1" w:rsidRDefault="007907E1" w:rsidP="00E92129">
      <w:pPr>
        <w:spacing w:after="0" w:line="360" w:lineRule="auto"/>
        <w:jc w:val="both"/>
        <w:rPr>
          <w:rFonts w:ascii="Arial" w:hAnsi="Arial" w:cs="Arial"/>
          <w:b/>
          <w:u w:val="single"/>
        </w:rPr>
      </w:pPr>
    </w:p>
    <w:p w:rsidR="00D4298A" w:rsidRPr="006B569A" w:rsidRDefault="006B569A" w:rsidP="006B569A">
      <w:pPr>
        <w:pStyle w:val="ListParagraph"/>
        <w:numPr>
          <w:ilvl w:val="0"/>
          <w:numId w:val="5"/>
        </w:numPr>
        <w:spacing w:line="360" w:lineRule="auto"/>
        <w:rPr>
          <w:rFonts w:ascii="Arial" w:hAnsi="Arial" w:cs="Arial"/>
          <w:b/>
        </w:rPr>
      </w:pPr>
      <w:r>
        <w:rPr>
          <w:rFonts w:ascii="Arial" w:hAnsi="Arial" w:cs="Arial"/>
          <w:b/>
        </w:rPr>
        <w:t xml:space="preserve">Building </w:t>
      </w:r>
      <w:r w:rsidR="007907E1" w:rsidRPr="006B569A">
        <w:rPr>
          <w:rFonts w:ascii="Arial" w:hAnsi="Arial" w:cs="Arial"/>
          <w:b/>
        </w:rPr>
        <w:t>A</w:t>
      </w:r>
      <w:r w:rsidR="003126BE" w:rsidRPr="006B569A">
        <w:rPr>
          <w:rFonts w:ascii="Arial" w:hAnsi="Arial" w:cs="Arial"/>
          <w:b/>
        </w:rPr>
        <w:t>n Analytical Framework for Determining Corporate Obligations</w:t>
      </w:r>
      <w:r w:rsidR="00D4298A" w:rsidRPr="006B569A">
        <w:rPr>
          <w:rFonts w:ascii="Arial" w:hAnsi="Arial" w:cs="Arial"/>
          <w:b/>
        </w:rPr>
        <w:t xml:space="preserve"> </w:t>
      </w:r>
    </w:p>
    <w:p w:rsidR="007907E1" w:rsidRDefault="00F541D7" w:rsidP="00E92129">
      <w:pPr>
        <w:spacing w:line="360" w:lineRule="auto"/>
        <w:rPr>
          <w:rFonts w:ascii="Arial" w:hAnsi="Arial" w:cs="Arial"/>
        </w:rPr>
      </w:pPr>
      <w:r>
        <w:rPr>
          <w:rFonts w:ascii="Arial" w:hAnsi="Arial" w:cs="Arial"/>
        </w:rPr>
        <w:t>One of the key reasons for establishing a business and human rights treaty would be to address the gaps in law that exist surrounding corporate activity that has an impact on fundamental rights.</w:t>
      </w:r>
      <w:r>
        <w:rPr>
          <w:rStyle w:val="FootnoteReference"/>
          <w:rFonts w:ascii="Arial" w:hAnsi="Arial" w:cs="Arial"/>
        </w:rPr>
        <w:footnoteReference w:id="2"/>
      </w:r>
      <w:r>
        <w:rPr>
          <w:rFonts w:ascii="Arial" w:hAnsi="Arial" w:cs="Arial"/>
        </w:rPr>
        <w:t xml:space="preserve"> One of the central lacunae that exists concerns the lack of clarity concerning the nature and extent of the legal obligations corporations have in relation to fundamental rights. </w:t>
      </w:r>
    </w:p>
    <w:p w:rsidR="008C7E90" w:rsidRDefault="00F541D7" w:rsidP="00E92129">
      <w:pPr>
        <w:spacing w:line="360" w:lineRule="auto"/>
        <w:rPr>
          <w:rFonts w:ascii="Arial" w:hAnsi="Arial" w:cs="Arial"/>
        </w:rPr>
      </w:pPr>
      <w:r>
        <w:rPr>
          <w:rFonts w:ascii="Arial" w:hAnsi="Arial" w:cs="Arial"/>
        </w:rPr>
        <w:t xml:space="preserve">A treaty on business and human rights could adopt one of two approaches in this regard. </w:t>
      </w:r>
    </w:p>
    <w:p w:rsidR="00E26802" w:rsidRDefault="00F541D7" w:rsidP="00E92129">
      <w:pPr>
        <w:spacing w:line="360" w:lineRule="auto"/>
        <w:rPr>
          <w:rFonts w:ascii="Arial" w:hAnsi="Arial" w:cs="Arial"/>
        </w:rPr>
      </w:pPr>
      <w:r>
        <w:rPr>
          <w:rFonts w:ascii="Arial" w:hAnsi="Arial" w:cs="Arial"/>
        </w:rPr>
        <w:t xml:space="preserve">The indirect model </w:t>
      </w:r>
      <w:r w:rsidR="00035A7C" w:rsidRPr="00076B42">
        <w:rPr>
          <w:rFonts w:ascii="Arial" w:hAnsi="Arial" w:cs="Arial"/>
        </w:rPr>
        <w:t xml:space="preserve">retains a focus on the obligation of the state to protect individuals against </w:t>
      </w:r>
      <w:r w:rsidR="0071735D">
        <w:rPr>
          <w:rFonts w:ascii="Arial" w:hAnsi="Arial" w:cs="Arial"/>
        </w:rPr>
        <w:t xml:space="preserve">the </w:t>
      </w:r>
      <w:r w:rsidR="00035A7C" w:rsidRPr="00076B42">
        <w:rPr>
          <w:rFonts w:ascii="Arial" w:hAnsi="Arial" w:cs="Arial"/>
        </w:rPr>
        <w:t xml:space="preserve">violation of their rights by </w:t>
      </w:r>
      <w:r w:rsidR="0071735D">
        <w:rPr>
          <w:rFonts w:ascii="Arial" w:hAnsi="Arial" w:cs="Arial"/>
        </w:rPr>
        <w:t xml:space="preserve">third parties such as </w:t>
      </w:r>
      <w:r w:rsidR="00035A7C" w:rsidRPr="00076B42">
        <w:rPr>
          <w:rFonts w:ascii="Arial" w:hAnsi="Arial" w:cs="Arial"/>
        </w:rPr>
        <w:t>corporations (or to require certain actions of corporations</w:t>
      </w:r>
      <w:r w:rsidR="0071735D">
        <w:rPr>
          <w:rFonts w:ascii="Arial" w:hAnsi="Arial" w:cs="Arial"/>
        </w:rPr>
        <w:t xml:space="preserve"> to facilitate the realisation of rights</w:t>
      </w:r>
      <w:r w:rsidR="00035A7C" w:rsidRPr="00076B42">
        <w:rPr>
          <w:rFonts w:ascii="Arial" w:hAnsi="Arial" w:cs="Arial"/>
        </w:rPr>
        <w:t>).</w:t>
      </w:r>
      <w:r w:rsidR="0071735D">
        <w:rPr>
          <w:rStyle w:val="FootnoteReference"/>
          <w:rFonts w:ascii="Arial" w:hAnsi="Arial" w:cs="Arial"/>
        </w:rPr>
        <w:footnoteReference w:id="3"/>
      </w:r>
      <w:r w:rsidR="00035A7C" w:rsidRPr="00076B42">
        <w:rPr>
          <w:rFonts w:ascii="Arial" w:hAnsi="Arial" w:cs="Arial"/>
        </w:rPr>
        <w:t xml:space="preserve"> This ‘indirect’ model would basically </w:t>
      </w:r>
      <w:r w:rsidR="005F339A">
        <w:rPr>
          <w:rFonts w:ascii="Arial" w:hAnsi="Arial" w:cs="Arial"/>
        </w:rPr>
        <w:t xml:space="preserve">place an international legal obligation </w:t>
      </w:r>
      <w:r w:rsidR="00132FCE" w:rsidRPr="00076B42">
        <w:rPr>
          <w:rFonts w:ascii="Arial" w:hAnsi="Arial" w:cs="Arial"/>
        </w:rPr>
        <w:t xml:space="preserve">on the state </w:t>
      </w:r>
      <w:r w:rsidR="000B76CF">
        <w:rPr>
          <w:rFonts w:ascii="Arial" w:hAnsi="Arial" w:cs="Arial"/>
        </w:rPr>
        <w:t>to ensure that corporations do not violate the human rights of individuals</w:t>
      </w:r>
      <w:r w:rsidR="00132FCE" w:rsidRPr="00076B42">
        <w:rPr>
          <w:rFonts w:ascii="Arial" w:hAnsi="Arial" w:cs="Arial"/>
        </w:rPr>
        <w:t xml:space="preserve">; </w:t>
      </w:r>
      <w:r w:rsidR="005F339A">
        <w:rPr>
          <w:rFonts w:ascii="Arial" w:hAnsi="Arial" w:cs="Arial"/>
        </w:rPr>
        <w:t xml:space="preserve">however, corporations </w:t>
      </w:r>
      <w:r w:rsidR="00132FCE" w:rsidRPr="00076B42">
        <w:rPr>
          <w:rFonts w:ascii="Arial" w:hAnsi="Arial" w:cs="Arial"/>
        </w:rPr>
        <w:t xml:space="preserve">would lack any obligations </w:t>
      </w:r>
      <w:r w:rsidR="005F339A">
        <w:rPr>
          <w:rFonts w:ascii="Arial" w:hAnsi="Arial" w:cs="Arial"/>
        </w:rPr>
        <w:t xml:space="preserve">flowing directly from </w:t>
      </w:r>
      <w:r w:rsidR="00132FCE" w:rsidRPr="00076B42">
        <w:rPr>
          <w:rFonts w:ascii="Arial" w:hAnsi="Arial" w:cs="Arial"/>
        </w:rPr>
        <w:t>international human rights law.</w:t>
      </w:r>
      <w:r w:rsidR="00AF4250">
        <w:rPr>
          <w:rStyle w:val="FootnoteReference"/>
          <w:rFonts w:ascii="Arial" w:hAnsi="Arial" w:cs="Arial"/>
        </w:rPr>
        <w:footnoteReference w:id="4"/>
      </w:r>
      <w:r w:rsidR="008C7E90">
        <w:rPr>
          <w:rFonts w:ascii="Arial" w:hAnsi="Arial" w:cs="Arial"/>
        </w:rPr>
        <w:t xml:space="preserve"> </w:t>
      </w:r>
      <w:r w:rsidR="00E26802" w:rsidRPr="00076B42">
        <w:rPr>
          <w:rFonts w:ascii="Arial" w:hAnsi="Arial" w:cs="Arial"/>
        </w:rPr>
        <w:t>The ‘direct’ model</w:t>
      </w:r>
      <w:r w:rsidR="00E26802">
        <w:rPr>
          <w:rFonts w:ascii="Arial" w:hAnsi="Arial" w:cs="Arial"/>
        </w:rPr>
        <w:t>, on the other hand,</w:t>
      </w:r>
      <w:r w:rsidR="00E26802" w:rsidRPr="00076B42">
        <w:rPr>
          <w:rFonts w:ascii="Arial" w:hAnsi="Arial" w:cs="Arial"/>
        </w:rPr>
        <w:t xml:space="preserve"> would involve the recognition that there are in fact direct obligations imposed upon corporations by international human rights law</w:t>
      </w:r>
      <w:r w:rsidR="00E26802">
        <w:rPr>
          <w:rFonts w:ascii="Arial" w:hAnsi="Arial" w:cs="Arial"/>
        </w:rPr>
        <w:t xml:space="preserve"> or that such obligations should be created by states</w:t>
      </w:r>
      <w:r w:rsidR="00E26802" w:rsidRPr="00076B42">
        <w:rPr>
          <w:rFonts w:ascii="Arial" w:hAnsi="Arial" w:cs="Arial"/>
        </w:rPr>
        <w:t>.</w:t>
      </w:r>
      <w:r w:rsidR="00E26802" w:rsidRPr="00076B42">
        <w:rPr>
          <w:rStyle w:val="FootnoteReference"/>
          <w:rFonts w:ascii="Arial" w:hAnsi="Arial" w:cs="Arial"/>
        </w:rPr>
        <w:footnoteReference w:id="5"/>
      </w:r>
      <w:r w:rsidR="00E26802" w:rsidRPr="00076B42">
        <w:rPr>
          <w:rFonts w:ascii="Arial" w:hAnsi="Arial" w:cs="Arial"/>
        </w:rPr>
        <w:t xml:space="preserve"> </w:t>
      </w:r>
    </w:p>
    <w:p w:rsidR="00132FCE" w:rsidRPr="00076B42" w:rsidRDefault="005B20ED" w:rsidP="00E92129">
      <w:pPr>
        <w:spacing w:line="360" w:lineRule="auto"/>
        <w:rPr>
          <w:rFonts w:ascii="Arial" w:hAnsi="Arial" w:cs="Arial"/>
        </w:rPr>
      </w:pPr>
      <w:r>
        <w:rPr>
          <w:rFonts w:ascii="Arial" w:hAnsi="Arial" w:cs="Arial"/>
        </w:rPr>
        <w:t>B</w:t>
      </w:r>
      <w:r w:rsidR="00132FCE" w:rsidRPr="00076B42">
        <w:rPr>
          <w:rFonts w:ascii="Arial" w:hAnsi="Arial" w:cs="Arial"/>
        </w:rPr>
        <w:t xml:space="preserve">oth the direct and indirect </w:t>
      </w:r>
      <w:r w:rsidR="005D0779">
        <w:rPr>
          <w:rFonts w:ascii="Arial" w:hAnsi="Arial" w:cs="Arial"/>
        </w:rPr>
        <w:t>models</w:t>
      </w:r>
      <w:r w:rsidR="005D0779" w:rsidRPr="00076B42">
        <w:rPr>
          <w:rFonts w:ascii="Arial" w:hAnsi="Arial" w:cs="Arial"/>
        </w:rPr>
        <w:t xml:space="preserve"> </w:t>
      </w:r>
      <w:r w:rsidR="00D74A78">
        <w:rPr>
          <w:rFonts w:ascii="Arial" w:hAnsi="Arial" w:cs="Arial"/>
        </w:rPr>
        <w:t xml:space="preserve">of </w:t>
      </w:r>
      <w:r w:rsidR="00036EE0">
        <w:rPr>
          <w:rFonts w:ascii="Arial" w:hAnsi="Arial" w:cs="Arial"/>
        </w:rPr>
        <w:t xml:space="preserve">regulating corporations </w:t>
      </w:r>
      <w:r w:rsidR="00E26802">
        <w:rPr>
          <w:rFonts w:ascii="Arial" w:hAnsi="Arial" w:cs="Arial"/>
        </w:rPr>
        <w:t xml:space="preserve">are likely to </w:t>
      </w:r>
      <w:r w:rsidR="00132FCE" w:rsidRPr="00076B42">
        <w:rPr>
          <w:rFonts w:ascii="Arial" w:hAnsi="Arial" w:cs="Arial"/>
        </w:rPr>
        <w:t xml:space="preserve"> require some </w:t>
      </w:r>
      <w:r w:rsidR="00036EE0">
        <w:rPr>
          <w:rFonts w:ascii="Arial" w:hAnsi="Arial" w:cs="Arial"/>
        </w:rPr>
        <w:t xml:space="preserve">approach to be adopted in the text of a treaty towards determining </w:t>
      </w:r>
      <w:r w:rsidR="00132FCE" w:rsidRPr="00076B42">
        <w:rPr>
          <w:rFonts w:ascii="Arial" w:hAnsi="Arial" w:cs="Arial"/>
        </w:rPr>
        <w:t>the</w:t>
      </w:r>
      <w:r w:rsidR="008C7E90">
        <w:rPr>
          <w:rFonts w:ascii="Arial" w:hAnsi="Arial" w:cs="Arial"/>
        </w:rPr>
        <w:t xml:space="preserve"> nature and extent of the</w:t>
      </w:r>
      <w:r w:rsidR="00132FCE" w:rsidRPr="00076B42">
        <w:rPr>
          <w:rFonts w:ascii="Arial" w:hAnsi="Arial" w:cs="Arial"/>
        </w:rPr>
        <w:t xml:space="preserve"> obligations of corporations in relation to </w:t>
      </w:r>
      <w:r w:rsidR="00D74A78">
        <w:rPr>
          <w:rFonts w:ascii="Arial" w:hAnsi="Arial" w:cs="Arial"/>
        </w:rPr>
        <w:t>human</w:t>
      </w:r>
      <w:r w:rsidR="00D74A78" w:rsidRPr="00076B42">
        <w:rPr>
          <w:rFonts w:ascii="Arial" w:hAnsi="Arial" w:cs="Arial"/>
        </w:rPr>
        <w:t xml:space="preserve"> </w:t>
      </w:r>
      <w:r w:rsidR="00132FCE" w:rsidRPr="00076B42">
        <w:rPr>
          <w:rFonts w:ascii="Arial" w:hAnsi="Arial" w:cs="Arial"/>
        </w:rPr>
        <w:t>rights</w:t>
      </w:r>
      <w:r w:rsidR="00E26802">
        <w:rPr>
          <w:rFonts w:ascii="Arial" w:hAnsi="Arial" w:cs="Arial"/>
        </w:rPr>
        <w:t xml:space="preserve"> (whether flowing from international law or domestic legislation)</w:t>
      </w:r>
      <w:r w:rsidR="00132FCE" w:rsidRPr="00076B42">
        <w:rPr>
          <w:rFonts w:ascii="Arial" w:hAnsi="Arial" w:cs="Arial"/>
        </w:rPr>
        <w:t>.</w:t>
      </w:r>
      <w:r w:rsidR="00E26802">
        <w:rPr>
          <w:rFonts w:ascii="Arial" w:hAnsi="Arial" w:cs="Arial"/>
        </w:rPr>
        <w:t xml:space="preserve"> </w:t>
      </w:r>
      <w:r w:rsidR="00C87C90">
        <w:rPr>
          <w:rFonts w:ascii="Arial" w:hAnsi="Arial" w:cs="Arial"/>
        </w:rPr>
        <w:t>In</w:t>
      </w:r>
      <w:r w:rsidR="00132FCE" w:rsidRPr="00076B42">
        <w:rPr>
          <w:rFonts w:ascii="Arial" w:hAnsi="Arial" w:cs="Arial"/>
        </w:rPr>
        <w:t xml:space="preserve"> </w:t>
      </w:r>
      <w:r w:rsidR="00036EE0">
        <w:rPr>
          <w:rFonts w:ascii="Arial" w:hAnsi="Arial" w:cs="Arial"/>
        </w:rPr>
        <w:t xml:space="preserve">this </w:t>
      </w:r>
      <w:r w:rsidR="00694BB5">
        <w:rPr>
          <w:rFonts w:ascii="Arial" w:hAnsi="Arial" w:cs="Arial"/>
        </w:rPr>
        <w:t>submission</w:t>
      </w:r>
      <w:r w:rsidR="00036EE0">
        <w:rPr>
          <w:rFonts w:ascii="Arial" w:hAnsi="Arial" w:cs="Arial"/>
        </w:rPr>
        <w:t>, I</w:t>
      </w:r>
      <w:r w:rsidR="00132FCE" w:rsidRPr="00076B42">
        <w:rPr>
          <w:rFonts w:ascii="Arial" w:hAnsi="Arial" w:cs="Arial"/>
        </w:rPr>
        <w:t xml:space="preserve"> will </w:t>
      </w:r>
      <w:r w:rsidR="00036EE0">
        <w:rPr>
          <w:rFonts w:ascii="Arial" w:hAnsi="Arial" w:cs="Arial"/>
        </w:rPr>
        <w:t xml:space="preserve">focus on </w:t>
      </w:r>
      <w:r w:rsidR="00132FCE" w:rsidRPr="00076B42">
        <w:rPr>
          <w:rFonts w:ascii="Arial" w:hAnsi="Arial" w:cs="Arial"/>
        </w:rPr>
        <w:t xml:space="preserve">the direct </w:t>
      </w:r>
      <w:r w:rsidR="00036EE0">
        <w:rPr>
          <w:rFonts w:ascii="Arial" w:hAnsi="Arial" w:cs="Arial"/>
        </w:rPr>
        <w:t xml:space="preserve">model </w:t>
      </w:r>
      <w:r w:rsidR="00C87C90">
        <w:rPr>
          <w:rFonts w:ascii="Arial" w:hAnsi="Arial" w:cs="Arial"/>
        </w:rPr>
        <w:t>and explore</w:t>
      </w:r>
      <w:r w:rsidR="00132FCE" w:rsidRPr="00076B42">
        <w:rPr>
          <w:rFonts w:ascii="Arial" w:hAnsi="Arial" w:cs="Arial"/>
        </w:rPr>
        <w:t xml:space="preserve"> how a treaty should approach determining the obligations of </w:t>
      </w:r>
      <w:r w:rsidR="00036EE0">
        <w:rPr>
          <w:rFonts w:ascii="Arial" w:hAnsi="Arial" w:cs="Arial"/>
        </w:rPr>
        <w:t>corporations</w:t>
      </w:r>
      <w:r w:rsidR="00132FCE" w:rsidRPr="00076B42">
        <w:rPr>
          <w:rFonts w:ascii="Arial" w:hAnsi="Arial" w:cs="Arial"/>
        </w:rPr>
        <w:t xml:space="preserve">. </w:t>
      </w:r>
    </w:p>
    <w:p w:rsidR="00AA4CED" w:rsidRDefault="00132FCE" w:rsidP="00E92129">
      <w:pPr>
        <w:spacing w:line="360" w:lineRule="auto"/>
        <w:rPr>
          <w:rFonts w:ascii="Arial" w:hAnsi="Arial" w:cs="Arial"/>
        </w:rPr>
      </w:pPr>
      <w:r w:rsidRPr="00076B42">
        <w:rPr>
          <w:rFonts w:ascii="Arial" w:hAnsi="Arial" w:cs="Arial"/>
        </w:rPr>
        <w:t xml:space="preserve">In addressing this question, </w:t>
      </w:r>
      <w:r w:rsidR="00E92129">
        <w:rPr>
          <w:rFonts w:ascii="Arial" w:hAnsi="Arial" w:cs="Arial"/>
        </w:rPr>
        <w:t xml:space="preserve">it is important to recognise that what </w:t>
      </w:r>
      <w:r w:rsidR="004D4FF5">
        <w:rPr>
          <w:rFonts w:ascii="Arial" w:hAnsi="Arial" w:cs="Arial"/>
        </w:rPr>
        <w:t xml:space="preserve">is being sought </w:t>
      </w:r>
      <w:r w:rsidR="00E92129">
        <w:rPr>
          <w:rFonts w:ascii="Arial" w:hAnsi="Arial" w:cs="Arial"/>
        </w:rPr>
        <w:t xml:space="preserve">is not a full specification in the treaty of the obligations of corporations in relation to every specific </w:t>
      </w:r>
      <w:r w:rsidR="00C87C90">
        <w:rPr>
          <w:rFonts w:ascii="Arial" w:hAnsi="Arial" w:cs="Arial"/>
        </w:rPr>
        <w:t xml:space="preserve">human </w:t>
      </w:r>
      <w:r w:rsidR="00E92129">
        <w:rPr>
          <w:rFonts w:ascii="Arial" w:hAnsi="Arial" w:cs="Arial"/>
        </w:rPr>
        <w:t>right</w:t>
      </w:r>
      <w:r w:rsidR="00036EE0">
        <w:rPr>
          <w:rFonts w:ascii="Arial" w:hAnsi="Arial" w:cs="Arial"/>
        </w:rPr>
        <w:t>.</w:t>
      </w:r>
      <w:r w:rsidR="00CB64D1">
        <w:rPr>
          <w:rStyle w:val="FootnoteReference"/>
          <w:rFonts w:ascii="Arial" w:hAnsi="Arial" w:cs="Arial"/>
        </w:rPr>
        <w:footnoteReference w:id="6"/>
      </w:r>
      <w:r w:rsidR="00036EE0">
        <w:rPr>
          <w:rFonts w:ascii="Arial" w:hAnsi="Arial" w:cs="Arial"/>
        </w:rPr>
        <w:t xml:space="preserve"> Such a goal would be impossible to achieve within a framework instrument such as a treaty. Instead, </w:t>
      </w:r>
      <w:r w:rsidR="00E92129">
        <w:rPr>
          <w:rFonts w:ascii="Arial" w:hAnsi="Arial" w:cs="Arial"/>
        </w:rPr>
        <w:t xml:space="preserve">the goal </w:t>
      </w:r>
      <w:r w:rsidR="00794210">
        <w:rPr>
          <w:rFonts w:ascii="Arial" w:hAnsi="Arial" w:cs="Arial"/>
        </w:rPr>
        <w:t xml:space="preserve">for </w:t>
      </w:r>
      <w:r w:rsidR="00EB4B43">
        <w:rPr>
          <w:rFonts w:ascii="Arial" w:hAnsi="Arial" w:cs="Arial"/>
        </w:rPr>
        <w:t>the rele</w:t>
      </w:r>
      <w:r w:rsidR="004D4FF5">
        <w:rPr>
          <w:rFonts w:ascii="Arial" w:hAnsi="Arial" w:cs="Arial"/>
        </w:rPr>
        <w:t>vant</w:t>
      </w:r>
      <w:r w:rsidR="00794210">
        <w:rPr>
          <w:rFonts w:ascii="Arial" w:hAnsi="Arial" w:cs="Arial"/>
        </w:rPr>
        <w:t xml:space="preserve"> treaty provision </w:t>
      </w:r>
      <w:r w:rsidR="00EB4B43">
        <w:rPr>
          <w:rFonts w:ascii="Arial" w:hAnsi="Arial" w:cs="Arial"/>
        </w:rPr>
        <w:t xml:space="preserve">should </w:t>
      </w:r>
      <w:r w:rsidR="00036EE0">
        <w:rPr>
          <w:rFonts w:ascii="Arial" w:hAnsi="Arial" w:cs="Arial"/>
        </w:rPr>
        <w:t xml:space="preserve">be </w:t>
      </w:r>
      <w:r w:rsidR="00E92129">
        <w:rPr>
          <w:rFonts w:ascii="Arial" w:hAnsi="Arial" w:cs="Arial"/>
        </w:rPr>
        <w:t>to provide an analytical framework that</w:t>
      </w:r>
      <w:r w:rsidR="009B32FA">
        <w:rPr>
          <w:rFonts w:ascii="Arial" w:hAnsi="Arial" w:cs="Arial"/>
        </w:rPr>
        <w:t xml:space="preserve"> </w:t>
      </w:r>
      <w:r w:rsidR="00E92129">
        <w:rPr>
          <w:rFonts w:ascii="Arial" w:hAnsi="Arial" w:cs="Arial"/>
        </w:rPr>
        <w:t>provide</w:t>
      </w:r>
      <w:r w:rsidR="009B32FA">
        <w:rPr>
          <w:rFonts w:ascii="Arial" w:hAnsi="Arial" w:cs="Arial"/>
        </w:rPr>
        <w:t>s</w:t>
      </w:r>
      <w:r w:rsidR="00E92129">
        <w:rPr>
          <w:rFonts w:ascii="Arial" w:hAnsi="Arial" w:cs="Arial"/>
        </w:rPr>
        <w:t xml:space="preserve"> </w:t>
      </w:r>
      <w:r w:rsidR="00794210">
        <w:rPr>
          <w:rFonts w:ascii="Arial" w:hAnsi="Arial" w:cs="Arial"/>
        </w:rPr>
        <w:t xml:space="preserve">some </w:t>
      </w:r>
      <w:r w:rsidR="00E92129">
        <w:rPr>
          <w:rFonts w:ascii="Arial" w:hAnsi="Arial" w:cs="Arial"/>
        </w:rPr>
        <w:t>guidance as to how these obligations can be determined</w:t>
      </w:r>
      <w:r w:rsidR="00EB4B43">
        <w:rPr>
          <w:rFonts w:ascii="Arial" w:hAnsi="Arial" w:cs="Arial"/>
        </w:rPr>
        <w:t xml:space="preserve"> in a </w:t>
      </w:r>
      <w:r w:rsidR="004D4FF5">
        <w:rPr>
          <w:rFonts w:ascii="Arial" w:hAnsi="Arial" w:cs="Arial"/>
        </w:rPr>
        <w:t>particular context</w:t>
      </w:r>
      <w:r w:rsidR="00E92129">
        <w:rPr>
          <w:rFonts w:ascii="Arial" w:hAnsi="Arial" w:cs="Arial"/>
        </w:rPr>
        <w:t>.</w:t>
      </w:r>
      <w:r w:rsidR="00B87ECE">
        <w:rPr>
          <w:rFonts w:ascii="Arial" w:hAnsi="Arial" w:cs="Arial"/>
        </w:rPr>
        <w:t xml:space="preserve"> Concrete obligations can later be specified in more detail by treaty bodies or domestic courts</w:t>
      </w:r>
      <w:r w:rsidR="00EB4B43">
        <w:rPr>
          <w:rFonts w:ascii="Arial" w:hAnsi="Arial" w:cs="Arial"/>
        </w:rPr>
        <w:t xml:space="preserve"> on a case by case basis</w:t>
      </w:r>
      <w:r w:rsidR="00B87ECE">
        <w:rPr>
          <w:rFonts w:ascii="Arial" w:hAnsi="Arial" w:cs="Arial"/>
        </w:rPr>
        <w:t xml:space="preserve">. </w:t>
      </w:r>
    </w:p>
    <w:p w:rsidR="00D4298A" w:rsidRDefault="00B87ECE" w:rsidP="00E92129">
      <w:pPr>
        <w:spacing w:line="360" w:lineRule="auto"/>
        <w:rPr>
          <w:rFonts w:ascii="Arial" w:hAnsi="Arial" w:cs="Arial"/>
        </w:rPr>
      </w:pPr>
      <w:r w:rsidRPr="00076B42">
        <w:rPr>
          <w:rFonts w:ascii="Arial" w:hAnsi="Arial" w:cs="Arial"/>
        </w:rPr>
        <w:t>Within domestic constitutional contexts</w:t>
      </w:r>
      <w:r w:rsidR="00EB4B43">
        <w:rPr>
          <w:rFonts w:ascii="Arial" w:hAnsi="Arial" w:cs="Arial"/>
        </w:rPr>
        <w:t xml:space="preserve"> too</w:t>
      </w:r>
      <w:r w:rsidRPr="00076B42">
        <w:rPr>
          <w:rFonts w:ascii="Arial" w:hAnsi="Arial" w:cs="Arial"/>
        </w:rPr>
        <w:t xml:space="preserve">, </w:t>
      </w:r>
      <w:r>
        <w:rPr>
          <w:rFonts w:ascii="Arial" w:hAnsi="Arial" w:cs="Arial"/>
        </w:rPr>
        <w:t xml:space="preserve">a similar problem arises in constitutional design as to how to create an analytical framework for determining corporate obligations which can later be utilised by courts (and other actors) rather </w:t>
      </w:r>
      <w:r w:rsidR="004D4FF5">
        <w:rPr>
          <w:rFonts w:ascii="Arial" w:hAnsi="Arial" w:cs="Arial"/>
        </w:rPr>
        <w:t xml:space="preserve">than </w:t>
      </w:r>
      <w:r>
        <w:rPr>
          <w:rFonts w:ascii="Arial" w:hAnsi="Arial" w:cs="Arial"/>
        </w:rPr>
        <w:t>providing a full specification of concrete obligations.</w:t>
      </w:r>
      <w:r w:rsidR="00AA4CED">
        <w:rPr>
          <w:rFonts w:ascii="Arial" w:hAnsi="Arial" w:cs="Arial"/>
        </w:rPr>
        <w:t xml:space="preserve"> </w:t>
      </w:r>
      <w:r w:rsidR="004D4FF5">
        <w:rPr>
          <w:rFonts w:ascii="Arial" w:hAnsi="Arial" w:cs="Arial"/>
        </w:rPr>
        <w:t>I</w:t>
      </w:r>
      <w:r w:rsidR="00794210">
        <w:rPr>
          <w:rFonts w:ascii="Arial" w:hAnsi="Arial" w:cs="Arial"/>
        </w:rPr>
        <w:t xml:space="preserve">n this </w:t>
      </w:r>
      <w:r w:rsidR="00694BB5">
        <w:rPr>
          <w:rFonts w:ascii="Arial" w:hAnsi="Arial" w:cs="Arial"/>
        </w:rPr>
        <w:t xml:space="preserve">submission, I consider the possibility of adopting a constitutional law model to determining corporate obligations. </w:t>
      </w:r>
      <w:r w:rsidR="00AA4CED">
        <w:rPr>
          <w:rFonts w:ascii="Arial" w:hAnsi="Arial" w:cs="Arial"/>
        </w:rPr>
        <w:t xml:space="preserve">The </w:t>
      </w:r>
      <w:r w:rsidR="00694BB5">
        <w:rPr>
          <w:rFonts w:ascii="Arial" w:hAnsi="Arial" w:cs="Arial"/>
        </w:rPr>
        <w:t>word-limit</w:t>
      </w:r>
      <w:r w:rsidR="00AA4CED">
        <w:rPr>
          <w:rFonts w:ascii="Arial" w:hAnsi="Arial" w:cs="Arial"/>
        </w:rPr>
        <w:t xml:space="preserve"> imposed</w:t>
      </w:r>
      <w:r w:rsidR="00694BB5">
        <w:rPr>
          <w:rFonts w:ascii="Arial" w:hAnsi="Arial" w:cs="Arial"/>
        </w:rPr>
        <w:t xml:space="preserve"> on the submission</w:t>
      </w:r>
      <w:r w:rsidR="00AA4CED">
        <w:rPr>
          <w:rFonts w:ascii="Arial" w:hAnsi="Arial" w:cs="Arial"/>
        </w:rPr>
        <w:t xml:space="preserve"> severely limits </w:t>
      </w:r>
      <w:r w:rsidR="008C7E90">
        <w:rPr>
          <w:rFonts w:ascii="Arial" w:hAnsi="Arial" w:cs="Arial"/>
        </w:rPr>
        <w:t xml:space="preserve">what can be achieved </w:t>
      </w:r>
      <w:r w:rsidR="00442266">
        <w:rPr>
          <w:rFonts w:ascii="Arial" w:hAnsi="Arial" w:cs="Arial"/>
        </w:rPr>
        <w:t xml:space="preserve">and </w:t>
      </w:r>
      <w:r w:rsidR="00AA4CED">
        <w:rPr>
          <w:rFonts w:ascii="Arial" w:hAnsi="Arial" w:cs="Arial"/>
        </w:rPr>
        <w:t xml:space="preserve">the possibility of a detailed engagement with </w:t>
      </w:r>
      <w:r w:rsidR="00694BB5">
        <w:rPr>
          <w:rFonts w:ascii="Arial" w:hAnsi="Arial" w:cs="Arial"/>
        </w:rPr>
        <w:t>alternative</w:t>
      </w:r>
      <w:r w:rsidR="006B569A">
        <w:rPr>
          <w:rFonts w:ascii="Arial" w:hAnsi="Arial" w:cs="Arial"/>
        </w:rPr>
        <w:t xml:space="preserve"> approaches which are contained in the chapter on which this submission is based. </w:t>
      </w:r>
      <w:r w:rsidR="00AA4CED">
        <w:rPr>
          <w:rFonts w:ascii="Arial" w:hAnsi="Arial" w:cs="Arial"/>
        </w:rPr>
        <w:t xml:space="preserve">I thus outline in broad terms the approach that I favour which embraces </w:t>
      </w:r>
      <w:proofErr w:type="gramStart"/>
      <w:r w:rsidR="00AA4CED">
        <w:rPr>
          <w:rFonts w:ascii="Arial" w:hAnsi="Arial" w:cs="Arial"/>
        </w:rPr>
        <w:t xml:space="preserve">both </w:t>
      </w:r>
      <w:r w:rsidR="006B569A">
        <w:rPr>
          <w:rFonts w:ascii="Arial" w:hAnsi="Arial" w:cs="Arial"/>
        </w:rPr>
        <w:t xml:space="preserve"> beneficiary</w:t>
      </w:r>
      <w:proofErr w:type="gramEnd"/>
      <w:r w:rsidR="006B569A">
        <w:rPr>
          <w:rFonts w:ascii="Arial" w:hAnsi="Arial" w:cs="Arial"/>
        </w:rPr>
        <w:t>-related consideration</w:t>
      </w:r>
      <w:r w:rsidR="00AA4CED">
        <w:rPr>
          <w:rFonts w:ascii="Arial" w:hAnsi="Arial" w:cs="Arial"/>
        </w:rPr>
        <w:t xml:space="preserve">s </w:t>
      </w:r>
      <w:r w:rsidR="006B569A">
        <w:rPr>
          <w:rFonts w:ascii="Arial" w:hAnsi="Arial" w:cs="Arial"/>
        </w:rPr>
        <w:t xml:space="preserve"> and </w:t>
      </w:r>
      <w:r w:rsidR="00382C74">
        <w:rPr>
          <w:rFonts w:ascii="Arial" w:hAnsi="Arial" w:cs="Arial"/>
        </w:rPr>
        <w:t>agent-relative consideration</w:t>
      </w:r>
      <w:r w:rsidR="00AA4CED">
        <w:rPr>
          <w:rFonts w:ascii="Arial" w:hAnsi="Arial" w:cs="Arial"/>
        </w:rPr>
        <w:t>s</w:t>
      </w:r>
      <w:r w:rsidR="006B569A">
        <w:rPr>
          <w:rFonts w:ascii="Arial" w:hAnsi="Arial" w:cs="Arial"/>
        </w:rPr>
        <w:t>.</w:t>
      </w:r>
      <w:r w:rsidR="00D4298A" w:rsidRPr="00076B42">
        <w:rPr>
          <w:rFonts w:ascii="Arial" w:hAnsi="Arial" w:cs="Arial"/>
        </w:rPr>
        <w:t xml:space="preserve"> </w:t>
      </w:r>
    </w:p>
    <w:p w:rsidR="00D4298A" w:rsidRPr="006B569A" w:rsidRDefault="006B569A" w:rsidP="006B569A">
      <w:pPr>
        <w:pStyle w:val="ListParagraph"/>
        <w:numPr>
          <w:ilvl w:val="0"/>
          <w:numId w:val="5"/>
        </w:numPr>
        <w:spacing w:line="360" w:lineRule="auto"/>
        <w:rPr>
          <w:rFonts w:ascii="Arial" w:hAnsi="Arial" w:cs="Arial"/>
          <w:b/>
        </w:rPr>
      </w:pPr>
      <w:r w:rsidRPr="006B569A">
        <w:rPr>
          <w:rFonts w:ascii="Arial" w:hAnsi="Arial" w:cs="Arial"/>
          <w:b/>
        </w:rPr>
        <w:t>C</w:t>
      </w:r>
      <w:r>
        <w:rPr>
          <w:rFonts w:ascii="Arial" w:hAnsi="Arial" w:cs="Arial"/>
          <w:b/>
        </w:rPr>
        <w:t xml:space="preserve">onstitutional Law Provisions </w:t>
      </w:r>
      <w:r w:rsidR="003126BE" w:rsidRPr="006B569A">
        <w:rPr>
          <w:rFonts w:ascii="Arial" w:hAnsi="Arial" w:cs="Arial"/>
          <w:b/>
        </w:rPr>
        <w:t xml:space="preserve">  </w:t>
      </w:r>
    </w:p>
    <w:p w:rsidR="006B569A" w:rsidRPr="00076B42" w:rsidRDefault="006B569A" w:rsidP="006B569A">
      <w:pPr>
        <w:spacing w:line="360" w:lineRule="auto"/>
        <w:rPr>
          <w:rFonts w:ascii="Arial" w:hAnsi="Arial" w:cs="Arial"/>
        </w:rPr>
      </w:pPr>
      <w:r w:rsidRPr="00076B42">
        <w:rPr>
          <w:rFonts w:ascii="Arial" w:hAnsi="Arial" w:cs="Arial"/>
        </w:rPr>
        <w:t>An analogue of the debate being conducted at the international level</w:t>
      </w:r>
      <w:r>
        <w:rPr>
          <w:rFonts w:ascii="Arial" w:hAnsi="Arial" w:cs="Arial"/>
        </w:rPr>
        <w:t xml:space="preserve"> has occurred in the realm of domestic constitutional law where, in the drafting of recent constitutions, the question has arisen as to whether </w:t>
      </w:r>
      <w:r w:rsidR="005B20ED">
        <w:rPr>
          <w:rFonts w:ascii="Arial" w:hAnsi="Arial" w:cs="Arial"/>
        </w:rPr>
        <w:t xml:space="preserve">and how </w:t>
      </w:r>
      <w:r>
        <w:rPr>
          <w:rFonts w:ascii="Arial" w:hAnsi="Arial" w:cs="Arial"/>
        </w:rPr>
        <w:t xml:space="preserve">to impose obligations upon non-state actors. </w:t>
      </w:r>
      <w:r w:rsidR="00AA4CED">
        <w:rPr>
          <w:rFonts w:ascii="Arial" w:hAnsi="Arial" w:cs="Arial"/>
        </w:rPr>
        <w:t xml:space="preserve"> </w:t>
      </w:r>
      <w:r>
        <w:rPr>
          <w:rFonts w:ascii="Arial" w:hAnsi="Arial" w:cs="Arial"/>
        </w:rPr>
        <w:t>South Africa’s C</w:t>
      </w:r>
      <w:r w:rsidR="00AA4CED">
        <w:rPr>
          <w:rFonts w:ascii="Arial" w:hAnsi="Arial" w:cs="Arial"/>
        </w:rPr>
        <w:t xml:space="preserve">onstitution, for instance, </w:t>
      </w:r>
      <w:r w:rsidRPr="00076B42">
        <w:rPr>
          <w:rFonts w:ascii="Arial" w:hAnsi="Arial" w:cs="Arial"/>
        </w:rPr>
        <w:t>include</w:t>
      </w:r>
      <w:r>
        <w:rPr>
          <w:rFonts w:ascii="Arial" w:hAnsi="Arial" w:cs="Arial"/>
        </w:rPr>
        <w:t>s</w:t>
      </w:r>
      <w:r w:rsidRPr="00076B42">
        <w:rPr>
          <w:rFonts w:ascii="Arial" w:hAnsi="Arial" w:cs="Arial"/>
        </w:rPr>
        <w:t xml:space="preserve"> a provision which envisage</w:t>
      </w:r>
      <w:r>
        <w:rPr>
          <w:rFonts w:ascii="Arial" w:hAnsi="Arial" w:cs="Arial"/>
        </w:rPr>
        <w:t>s</w:t>
      </w:r>
      <w:r w:rsidRPr="00076B42">
        <w:rPr>
          <w:rFonts w:ascii="Arial" w:hAnsi="Arial" w:cs="Arial"/>
        </w:rPr>
        <w:t xml:space="preserve"> the direct application of constitutional rights to private bodies. </w:t>
      </w:r>
      <w:r>
        <w:rPr>
          <w:rFonts w:ascii="Arial" w:hAnsi="Arial" w:cs="Arial"/>
        </w:rPr>
        <w:t>S</w:t>
      </w:r>
      <w:r w:rsidRPr="00076B42">
        <w:rPr>
          <w:rFonts w:ascii="Arial" w:hAnsi="Arial" w:cs="Arial"/>
        </w:rPr>
        <w:t>ection 8(2) of the Constitution reads as follows:</w:t>
      </w:r>
      <w:r>
        <w:rPr>
          <w:rFonts w:ascii="Arial" w:hAnsi="Arial" w:cs="Arial"/>
        </w:rPr>
        <w:t xml:space="preserve"> </w:t>
      </w:r>
      <w:r w:rsidRPr="00076B42">
        <w:rPr>
          <w:rFonts w:ascii="Arial" w:hAnsi="Arial" w:cs="Arial"/>
        </w:rPr>
        <w:t>‘A provision of the Bill of Rights binds a natural or a juristic person if, and to the extent that, it is applicable, taking into account the nature of the right and the nature of</w:t>
      </w:r>
      <w:r w:rsidR="00AA4CED">
        <w:rPr>
          <w:rFonts w:ascii="Arial" w:hAnsi="Arial" w:cs="Arial"/>
        </w:rPr>
        <w:t xml:space="preserve"> any duty imposed by the right’.</w:t>
      </w:r>
    </w:p>
    <w:p w:rsidR="006B569A" w:rsidRDefault="00AA4CED" w:rsidP="00C4719A">
      <w:pPr>
        <w:spacing w:after="160" w:line="360" w:lineRule="auto"/>
        <w:rPr>
          <w:rFonts w:ascii="Arial" w:hAnsi="Arial" w:cs="Arial"/>
        </w:rPr>
      </w:pPr>
      <w:r>
        <w:rPr>
          <w:rFonts w:ascii="Arial" w:hAnsi="Arial" w:cs="Arial"/>
        </w:rPr>
        <w:t xml:space="preserve">This provision identifies two criteria for determining the obligations of private actors: </w:t>
      </w:r>
      <w:r w:rsidR="006B569A" w:rsidRPr="00076B42">
        <w:rPr>
          <w:rFonts w:ascii="Arial" w:hAnsi="Arial" w:cs="Arial"/>
        </w:rPr>
        <w:t xml:space="preserve">the nature of the right </w:t>
      </w:r>
      <w:r>
        <w:rPr>
          <w:rFonts w:ascii="Arial" w:hAnsi="Arial" w:cs="Arial"/>
        </w:rPr>
        <w:t xml:space="preserve">and </w:t>
      </w:r>
      <w:r w:rsidR="006B569A" w:rsidRPr="00076B42">
        <w:rPr>
          <w:rFonts w:ascii="Arial" w:hAnsi="Arial" w:cs="Arial"/>
        </w:rPr>
        <w:t xml:space="preserve">the nature of any duty imposed by the right. </w:t>
      </w:r>
      <w:r w:rsidR="00C4719A">
        <w:rPr>
          <w:rFonts w:ascii="Arial" w:hAnsi="Arial" w:cs="Arial"/>
        </w:rPr>
        <w:t>I</w:t>
      </w:r>
      <w:r w:rsidR="006B569A">
        <w:rPr>
          <w:rFonts w:ascii="Arial" w:hAnsi="Arial" w:cs="Arial"/>
        </w:rPr>
        <w:t xml:space="preserve">n this </w:t>
      </w:r>
      <w:r w:rsidR="00C4719A">
        <w:rPr>
          <w:rFonts w:ascii="Arial" w:hAnsi="Arial" w:cs="Arial"/>
        </w:rPr>
        <w:t xml:space="preserve">submission, I </w:t>
      </w:r>
      <w:r>
        <w:rPr>
          <w:rFonts w:ascii="Arial" w:hAnsi="Arial" w:cs="Arial"/>
        </w:rPr>
        <w:t>focus on the former criterion as I have in several other publications discussed the second criterion and its shortcomings as an approach to determining corporate obligations.</w:t>
      </w:r>
      <w:r w:rsidR="00C4719A">
        <w:rPr>
          <w:rStyle w:val="FootnoteReference"/>
          <w:rFonts w:ascii="Arial" w:hAnsi="Arial" w:cs="Arial"/>
        </w:rPr>
        <w:footnoteReference w:id="7"/>
      </w:r>
      <w:r w:rsidR="006B569A">
        <w:rPr>
          <w:rFonts w:ascii="Arial" w:hAnsi="Arial" w:cs="Arial"/>
        </w:rPr>
        <w:t xml:space="preserve"> </w:t>
      </w:r>
    </w:p>
    <w:p w:rsidR="006B569A" w:rsidRPr="00076B42" w:rsidRDefault="006B569A" w:rsidP="00E92129">
      <w:pPr>
        <w:spacing w:after="0" w:line="360" w:lineRule="auto"/>
        <w:jc w:val="both"/>
        <w:rPr>
          <w:rFonts w:ascii="Arial" w:hAnsi="Arial" w:cs="Arial"/>
        </w:rPr>
      </w:pPr>
    </w:p>
    <w:p w:rsidR="00A2798C" w:rsidRPr="00C4719A" w:rsidRDefault="00243DA3" w:rsidP="00C4719A">
      <w:pPr>
        <w:pStyle w:val="ListParagraph"/>
        <w:numPr>
          <w:ilvl w:val="1"/>
          <w:numId w:val="5"/>
        </w:numPr>
        <w:spacing w:line="360" w:lineRule="auto"/>
        <w:rPr>
          <w:rFonts w:ascii="Arial" w:hAnsi="Arial" w:cs="Arial"/>
          <w:i/>
          <w:lang w:val="en-US"/>
        </w:rPr>
      </w:pPr>
      <w:r w:rsidRPr="00C4719A">
        <w:rPr>
          <w:rFonts w:ascii="Arial" w:hAnsi="Arial" w:cs="Arial"/>
          <w:i/>
        </w:rPr>
        <w:t xml:space="preserve">An Approach Focused on </w:t>
      </w:r>
      <w:r w:rsidRPr="00C4719A">
        <w:rPr>
          <w:rFonts w:ascii="Arial" w:hAnsi="Arial" w:cs="Arial"/>
          <w:i/>
          <w:lang w:val="en-US"/>
        </w:rPr>
        <w:t>T</w:t>
      </w:r>
      <w:r w:rsidR="00A2798C" w:rsidRPr="00C4719A">
        <w:rPr>
          <w:rFonts w:ascii="Arial" w:hAnsi="Arial" w:cs="Arial"/>
          <w:i/>
          <w:lang w:val="en-US"/>
        </w:rPr>
        <w:t>he ‘Nature of the Right</w:t>
      </w:r>
      <w:r w:rsidRPr="00C4719A">
        <w:rPr>
          <w:rFonts w:ascii="Arial" w:hAnsi="Arial" w:cs="Arial"/>
          <w:i/>
          <w:lang w:val="en-US"/>
        </w:rPr>
        <w:t>s</w:t>
      </w:r>
      <w:r w:rsidR="00A2798C" w:rsidRPr="00C4719A">
        <w:rPr>
          <w:rFonts w:ascii="Arial" w:hAnsi="Arial" w:cs="Arial"/>
          <w:i/>
          <w:lang w:val="en-US"/>
        </w:rPr>
        <w:t xml:space="preserve">’  </w:t>
      </w:r>
    </w:p>
    <w:p w:rsidR="00087DD9" w:rsidRPr="00076B42" w:rsidRDefault="00AA4CED" w:rsidP="00E92129">
      <w:pPr>
        <w:spacing w:line="360" w:lineRule="auto"/>
        <w:rPr>
          <w:rFonts w:ascii="Arial" w:hAnsi="Arial" w:cs="Arial"/>
          <w:lang w:val="en-US"/>
        </w:rPr>
      </w:pPr>
      <w:r>
        <w:rPr>
          <w:rFonts w:ascii="Arial" w:hAnsi="Arial" w:cs="Arial"/>
          <w:lang w:val="en-US"/>
        </w:rPr>
        <w:t xml:space="preserve">In the case of </w:t>
      </w:r>
      <w:proofErr w:type="spellStart"/>
      <w:r w:rsidR="00024B3D" w:rsidRPr="00076B42">
        <w:rPr>
          <w:rFonts w:ascii="Arial" w:hAnsi="Arial" w:cs="Arial"/>
          <w:i/>
          <w:lang w:val="en-US"/>
        </w:rPr>
        <w:t>Khumalo</w:t>
      </w:r>
      <w:proofErr w:type="spellEnd"/>
      <w:r w:rsidR="00024B3D" w:rsidRPr="00076B42">
        <w:rPr>
          <w:rFonts w:ascii="Arial" w:hAnsi="Arial" w:cs="Arial"/>
          <w:i/>
          <w:lang w:val="en-US"/>
        </w:rPr>
        <w:t xml:space="preserve"> v </w:t>
      </w:r>
      <w:proofErr w:type="spellStart"/>
      <w:r w:rsidR="00024B3D" w:rsidRPr="00076B42">
        <w:rPr>
          <w:rFonts w:ascii="Arial" w:hAnsi="Arial" w:cs="Arial"/>
          <w:i/>
          <w:lang w:val="en-US"/>
        </w:rPr>
        <w:t>Holomisa</w:t>
      </w:r>
      <w:proofErr w:type="spellEnd"/>
      <w:r w:rsidR="001A1DD8">
        <w:rPr>
          <w:rFonts w:ascii="Arial" w:hAnsi="Arial" w:cs="Arial"/>
          <w:i/>
          <w:lang w:val="en-US"/>
        </w:rPr>
        <w:t>.</w:t>
      </w:r>
      <w:r w:rsidR="00024B3D" w:rsidRPr="00076B42">
        <w:rPr>
          <w:rStyle w:val="FootnoteReference"/>
          <w:rFonts w:ascii="Arial" w:hAnsi="Arial" w:cs="Arial"/>
          <w:lang w:val="en-US"/>
        </w:rPr>
        <w:footnoteReference w:id="8"/>
      </w:r>
      <w:r>
        <w:rPr>
          <w:rFonts w:ascii="Arial" w:hAnsi="Arial" w:cs="Arial"/>
          <w:lang w:val="en-US"/>
        </w:rPr>
        <w:t xml:space="preserve">, the Constitutional Court </w:t>
      </w:r>
      <w:r w:rsidR="005B20ED">
        <w:rPr>
          <w:rFonts w:ascii="Arial" w:hAnsi="Arial" w:cs="Arial"/>
          <w:lang w:val="en-US"/>
        </w:rPr>
        <w:t xml:space="preserve">of South Africa </w:t>
      </w:r>
      <w:r>
        <w:rPr>
          <w:rFonts w:ascii="Arial" w:hAnsi="Arial" w:cs="Arial"/>
          <w:lang w:val="en-US"/>
        </w:rPr>
        <w:t xml:space="preserve">has outlined three factors which are of importance in determining whether the nature of the rights render them applicable to private parties. </w:t>
      </w:r>
      <w:r w:rsidR="006742E1">
        <w:rPr>
          <w:rFonts w:ascii="Arial" w:hAnsi="Arial" w:cs="Arial"/>
          <w:lang w:val="en-US"/>
        </w:rPr>
        <w:t>In that case,</w:t>
      </w:r>
      <w:r w:rsidR="00395E52" w:rsidRPr="00076B42">
        <w:rPr>
          <w:rFonts w:ascii="Arial" w:hAnsi="Arial" w:cs="Arial"/>
          <w:lang w:val="en-US"/>
        </w:rPr>
        <w:t xml:space="preserve"> </w:t>
      </w:r>
      <w:r w:rsidR="00024B3D" w:rsidRPr="00076B42">
        <w:rPr>
          <w:rFonts w:ascii="Arial" w:hAnsi="Arial" w:cs="Arial"/>
          <w:lang w:val="en-US"/>
        </w:rPr>
        <w:t xml:space="preserve">the </w:t>
      </w:r>
      <w:r w:rsidR="005C6837">
        <w:rPr>
          <w:rFonts w:ascii="Arial" w:hAnsi="Arial" w:cs="Arial"/>
          <w:lang w:val="en-US"/>
        </w:rPr>
        <w:t>C</w:t>
      </w:r>
      <w:r w:rsidR="00024B3D" w:rsidRPr="00076B42">
        <w:rPr>
          <w:rFonts w:ascii="Arial" w:hAnsi="Arial" w:cs="Arial"/>
          <w:lang w:val="en-US"/>
        </w:rPr>
        <w:t xml:space="preserve">onstitutional </w:t>
      </w:r>
      <w:r w:rsidR="005C6837">
        <w:rPr>
          <w:rFonts w:ascii="Arial" w:hAnsi="Arial" w:cs="Arial"/>
          <w:lang w:val="en-US"/>
        </w:rPr>
        <w:t>C</w:t>
      </w:r>
      <w:r w:rsidR="00024B3D" w:rsidRPr="00076B42">
        <w:rPr>
          <w:rFonts w:ascii="Arial" w:hAnsi="Arial" w:cs="Arial"/>
          <w:lang w:val="en-US"/>
        </w:rPr>
        <w:t>ourt was faced with a defamation claim between two sets of private parties (one of which was a major media publishing house)</w:t>
      </w:r>
      <w:r w:rsidR="00395E52" w:rsidRPr="00076B42">
        <w:rPr>
          <w:rFonts w:ascii="Arial" w:hAnsi="Arial" w:cs="Arial"/>
          <w:lang w:val="en-US"/>
        </w:rPr>
        <w:t>: it</w:t>
      </w:r>
      <w:r w:rsidR="00024B3D" w:rsidRPr="00076B42">
        <w:rPr>
          <w:rFonts w:ascii="Arial" w:hAnsi="Arial" w:cs="Arial"/>
          <w:lang w:val="en-US"/>
        </w:rPr>
        <w:t xml:space="preserve"> was </w:t>
      </w:r>
      <w:r w:rsidR="001A1DD8">
        <w:rPr>
          <w:rFonts w:ascii="Arial" w:hAnsi="Arial" w:cs="Arial"/>
          <w:lang w:val="en-US"/>
        </w:rPr>
        <w:t xml:space="preserve">thus </w:t>
      </w:r>
      <w:r w:rsidR="00024B3D" w:rsidRPr="00076B42">
        <w:rPr>
          <w:rFonts w:ascii="Arial" w:hAnsi="Arial" w:cs="Arial"/>
          <w:lang w:val="en-US"/>
        </w:rPr>
        <w:t>required to consider whether the right to freedom of expression could be applied directly between two private parties. First, it mentioned that a court need</w:t>
      </w:r>
      <w:r w:rsidR="001A1DD8">
        <w:rPr>
          <w:rFonts w:ascii="Arial" w:hAnsi="Arial" w:cs="Arial"/>
          <w:lang w:val="en-US"/>
        </w:rPr>
        <w:t>s</w:t>
      </w:r>
      <w:r w:rsidR="00024B3D" w:rsidRPr="00076B42">
        <w:rPr>
          <w:rFonts w:ascii="Arial" w:hAnsi="Arial" w:cs="Arial"/>
          <w:lang w:val="en-US"/>
        </w:rPr>
        <w:t xml:space="preserve"> to consider </w:t>
      </w:r>
      <w:r w:rsidR="005C6837">
        <w:rPr>
          <w:rFonts w:ascii="Arial" w:hAnsi="Arial" w:cs="Arial"/>
          <w:lang w:val="en-US"/>
        </w:rPr>
        <w:t>‘</w:t>
      </w:r>
      <w:r w:rsidR="00024B3D" w:rsidRPr="00076B42">
        <w:rPr>
          <w:rFonts w:ascii="Arial" w:hAnsi="Arial" w:cs="Arial"/>
          <w:lang w:val="en-US"/>
        </w:rPr>
        <w:t>the intensity of the right</w:t>
      </w:r>
      <w:r w:rsidR="005C6837">
        <w:rPr>
          <w:rFonts w:ascii="Arial" w:hAnsi="Arial" w:cs="Arial"/>
          <w:lang w:val="en-US"/>
        </w:rPr>
        <w:t>’.</w:t>
      </w:r>
      <w:r w:rsidR="00024B3D" w:rsidRPr="00076B42">
        <w:rPr>
          <w:rStyle w:val="FootnoteReference"/>
          <w:rFonts w:ascii="Arial" w:hAnsi="Arial" w:cs="Arial"/>
          <w:lang w:val="en-US"/>
        </w:rPr>
        <w:footnoteReference w:id="9"/>
      </w:r>
      <w:r w:rsidR="005B406F">
        <w:rPr>
          <w:rFonts w:ascii="Arial" w:hAnsi="Arial" w:cs="Arial"/>
          <w:lang w:val="en-US"/>
        </w:rPr>
        <w:t xml:space="preserve"> T</w:t>
      </w:r>
      <w:r w:rsidR="001A1DD8">
        <w:rPr>
          <w:rFonts w:ascii="Arial" w:hAnsi="Arial" w:cs="Arial"/>
          <w:lang w:val="en-US"/>
        </w:rPr>
        <w:t xml:space="preserve">his factor would seem to require </w:t>
      </w:r>
      <w:r w:rsidR="00087DD9" w:rsidRPr="00076B42">
        <w:rPr>
          <w:rFonts w:ascii="Arial" w:hAnsi="Arial" w:cs="Arial"/>
          <w:lang w:val="en-US"/>
        </w:rPr>
        <w:t xml:space="preserve">an understanding of </w:t>
      </w:r>
      <w:r w:rsidR="001A1DD8">
        <w:rPr>
          <w:rFonts w:ascii="Arial" w:hAnsi="Arial" w:cs="Arial"/>
          <w:lang w:val="en-US"/>
        </w:rPr>
        <w:t>the right’s</w:t>
      </w:r>
      <w:r w:rsidR="00087DD9" w:rsidRPr="00076B42">
        <w:rPr>
          <w:rFonts w:ascii="Arial" w:hAnsi="Arial" w:cs="Arial"/>
          <w:lang w:val="en-US"/>
        </w:rPr>
        <w:t xml:space="preserve"> importance within the wider constitutional order as well as the reasons </w:t>
      </w:r>
      <w:r w:rsidR="006D42B5">
        <w:rPr>
          <w:rFonts w:ascii="Arial" w:hAnsi="Arial" w:cs="Arial"/>
          <w:lang w:val="en-US"/>
        </w:rPr>
        <w:t xml:space="preserve">lying behind </w:t>
      </w:r>
      <w:r w:rsidR="00087DD9" w:rsidRPr="00076B42">
        <w:rPr>
          <w:rFonts w:ascii="Arial" w:hAnsi="Arial" w:cs="Arial"/>
          <w:lang w:val="en-US"/>
        </w:rPr>
        <w:t xml:space="preserve">its protection. </w:t>
      </w:r>
      <w:r w:rsidR="00024B3D" w:rsidRPr="00076B42">
        <w:rPr>
          <w:rFonts w:ascii="Arial" w:hAnsi="Arial" w:cs="Arial"/>
          <w:lang w:val="en-US"/>
        </w:rPr>
        <w:t xml:space="preserve">Second, the court </w:t>
      </w:r>
      <w:r w:rsidR="001A1DD8">
        <w:rPr>
          <w:rFonts w:ascii="Arial" w:hAnsi="Arial" w:cs="Arial"/>
          <w:lang w:val="en-US"/>
        </w:rPr>
        <w:t xml:space="preserve">needs to consider </w:t>
      </w:r>
      <w:r w:rsidR="00024B3D" w:rsidRPr="00076B42">
        <w:rPr>
          <w:rFonts w:ascii="Arial" w:hAnsi="Arial" w:cs="Arial"/>
          <w:lang w:val="en-US"/>
        </w:rPr>
        <w:t xml:space="preserve">the potential invasion of the right by persons other than the state. </w:t>
      </w:r>
      <w:r w:rsidR="00087DD9" w:rsidRPr="00076B42">
        <w:rPr>
          <w:rFonts w:ascii="Arial" w:hAnsi="Arial" w:cs="Arial"/>
          <w:lang w:val="en-US"/>
        </w:rPr>
        <w:t xml:space="preserve">This seems to place the impact of a corporation on a </w:t>
      </w:r>
      <w:r w:rsidR="00FE412F">
        <w:rPr>
          <w:rFonts w:ascii="Arial" w:hAnsi="Arial" w:cs="Arial"/>
          <w:lang w:val="en-US"/>
        </w:rPr>
        <w:t>human</w:t>
      </w:r>
      <w:r w:rsidR="00FE412F" w:rsidRPr="00076B42">
        <w:rPr>
          <w:rFonts w:ascii="Arial" w:hAnsi="Arial" w:cs="Arial"/>
          <w:lang w:val="en-US"/>
        </w:rPr>
        <w:t xml:space="preserve"> </w:t>
      </w:r>
      <w:r w:rsidR="00087DD9" w:rsidRPr="00076B42">
        <w:rPr>
          <w:rFonts w:ascii="Arial" w:hAnsi="Arial" w:cs="Arial"/>
          <w:lang w:val="en-US"/>
        </w:rPr>
        <w:t xml:space="preserve">right squarely in focus.  </w:t>
      </w:r>
      <w:r w:rsidR="00024B3D" w:rsidRPr="00076B42">
        <w:rPr>
          <w:rFonts w:ascii="Arial" w:hAnsi="Arial" w:cs="Arial"/>
          <w:lang w:val="en-US"/>
        </w:rPr>
        <w:t xml:space="preserve">Finally, the court considered the nature of the parties before it and whether the right has a </w:t>
      </w:r>
      <w:r w:rsidR="001A1DD8">
        <w:rPr>
          <w:rFonts w:ascii="Arial" w:hAnsi="Arial" w:cs="Arial"/>
          <w:lang w:val="en-US"/>
        </w:rPr>
        <w:t xml:space="preserve">particular significance in relation to their role within the </w:t>
      </w:r>
      <w:r w:rsidR="00024B3D" w:rsidRPr="00076B42">
        <w:rPr>
          <w:rFonts w:ascii="Arial" w:hAnsi="Arial" w:cs="Arial"/>
          <w:lang w:val="en-US"/>
        </w:rPr>
        <w:t xml:space="preserve">broader society. Since the case </w:t>
      </w:r>
      <w:r w:rsidR="00087DD9" w:rsidRPr="00076B42">
        <w:rPr>
          <w:rFonts w:ascii="Arial" w:hAnsi="Arial" w:cs="Arial"/>
          <w:lang w:val="en-US"/>
        </w:rPr>
        <w:t xml:space="preserve">itself </w:t>
      </w:r>
      <w:r w:rsidR="00024B3D" w:rsidRPr="00076B42">
        <w:rPr>
          <w:rFonts w:ascii="Arial" w:hAnsi="Arial" w:cs="Arial"/>
          <w:lang w:val="en-US"/>
        </w:rPr>
        <w:t>concerned the media</w:t>
      </w:r>
      <w:r w:rsidR="00087DD9" w:rsidRPr="00076B42">
        <w:rPr>
          <w:rFonts w:ascii="Arial" w:hAnsi="Arial" w:cs="Arial"/>
          <w:lang w:val="en-US"/>
        </w:rPr>
        <w:t>,</w:t>
      </w:r>
      <w:r w:rsidR="00024B3D" w:rsidRPr="00076B42">
        <w:rPr>
          <w:rFonts w:ascii="Arial" w:hAnsi="Arial" w:cs="Arial"/>
          <w:lang w:val="en-US"/>
        </w:rPr>
        <w:t xml:space="preserve"> and freedom of expression</w:t>
      </w:r>
      <w:r w:rsidR="00087DD9" w:rsidRPr="00076B42">
        <w:rPr>
          <w:rFonts w:ascii="Arial" w:hAnsi="Arial" w:cs="Arial"/>
          <w:lang w:val="en-US"/>
        </w:rPr>
        <w:t xml:space="preserve"> is central</w:t>
      </w:r>
      <w:r w:rsidR="00024B3D" w:rsidRPr="00076B42">
        <w:rPr>
          <w:rFonts w:ascii="Arial" w:hAnsi="Arial" w:cs="Arial"/>
          <w:lang w:val="en-US"/>
        </w:rPr>
        <w:t xml:space="preserve"> to its operation, the right was held to be directly applicable to the private parties in that case. </w:t>
      </w:r>
      <w:r w:rsidR="00087DD9" w:rsidRPr="00076B42">
        <w:rPr>
          <w:rFonts w:ascii="Arial" w:hAnsi="Arial" w:cs="Arial"/>
          <w:lang w:val="en-US"/>
        </w:rPr>
        <w:t xml:space="preserve">This factor thus involves what may be termed ‘agent-relative’ considerations and </w:t>
      </w:r>
      <w:r w:rsidR="001A1DD8">
        <w:rPr>
          <w:rFonts w:ascii="Arial" w:hAnsi="Arial" w:cs="Arial"/>
          <w:lang w:val="en-US"/>
        </w:rPr>
        <w:t>the effect they have on</w:t>
      </w:r>
      <w:r w:rsidR="00087DD9" w:rsidRPr="00076B42">
        <w:rPr>
          <w:rFonts w:ascii="Arial" w:hAnsi="Arial" w:cs="Arial"/>
          <w:lang w:val="en-US"/>
        </w:rPr>
        <w:t xml:space="preserve"> the obligations </w:t>
      </w:r>
      <w:r w:rsidR="001A1DD8">
        <w:rPr>
          <w:rFonts w:ascii="Arial" w:hAnsi="Arial" w:cs="Arial"/>
          <w:lang w:val="en-US"/>
        </w:rPr>
        <w:t>of particular agents</w:t>
      </w:r>
      <w:r w:rsidR="00087DD9" w:rsidRPr="00076B42">
        <w:rPr>
          <w:rFonts w:ascii="Arial" w:hAnsi="Arial" w:cs="Arial"/>
          <w:lang w:val="en-US"/>
        </w:rPr>
        <w:t xml:space="preserve">. </w:t>
      </w:r>
      <w:r w:rsidR="00087DD9" w:rsidRPr="00076B42">
        <w:rPr>
          <w:rStyle w:val="FootnoteReference"/>
          <w:rFonts w:ascii="Arial" w:hAnsi="Arial" w:cs="Arial"/>
          <w:lang w:val="en-US"/>
        </w:rPr>
        <w:footnoteReference w:id="10"/>
      </w:r>
      <w:r w:rsidR="00087DD9" w:rsidRPr="00076B42">
        <w:rPr>
          <w:rFonts w:ascii="Arial" w:hAnsi="Arial" w:cs="Arial"/>
          <w:lang w:val="en-US"/>
        </w:rPr>
        <w:t xml:space="preserve"> </w:t>
      </w:r>
    </w:p>
    <w:p w:rsidR="00087DD9" w:rsidRPr="00076B42" w:rsidRDefault="00087DD9" w:rsidP="00E92129">
      <w:pPr>
        <w:spacing w:line="360" w:lineRule="auto"/>
        <w:rPr>
          <w:rFonts w:ascii="Arial" w:hAnsi="Arial" w:cs="Arial"/>
          <w:lang w:val="en-US"/>
        </w:rPr>
      </w:pPr>
      <w:r w:rsidRPr="00076B42">
        <w:rPr>
          <w:rFonts w:ascii="Arial" w:hAnsi="Arial" w:cs="Arial"/>
          <w:lang w:val="en-US"/>
        </w:rPr>
        <w:t>All these elements seem to be normatively relevant and provide an attractive rubric for determining corporate obligations.</w:t>
      </w:r>
      <w:r w:rsidR="005B406F">
        <w:rPr>
          <w:rFonts w:ascii="Arial" w:hAnsi="Arial" w:cs="Arial"/>
          <w:lang w:val="en-US"/>
        </w:rPr>
        <w:t xml:space="preserve"> Yet, one of the problems that arises in this regard is that the factors </w:t>
      </w:r>
      <w:r w:rsidRPr="00076B42">
        <w:rPr>
          <w:rFonts w:ascii="Arial" w:hAnsi="Arial" w:cs="Arial"/>
          <w:lang w:val="en-US"/>
        </w:rPr>
        <w:t>pull in differing directions. The</w:t>
      </w:r>
      <w:r w:rsidR="00ED6A96" w:rsidRPr="00076B42">
        <w:rPr>
          <w:rFonts w:ascii="Arial" w:hAnsi="Arial" w:cs="Arial"/>
          <w:lang w:val="en-US"/>
        </w:rPr>
        <w:t xml:space="preserve"> </w:t>
      </w:r>
      <w:r w:rsidRPr="00076B42">
        <w:rPr>
          <w:rFonts w:ascii="Arial" w:hAnsi="Arial" w:cs="Arial"/>
          <w:lang w:val="en-US"/>
        </w:rPr>
        <w:t xml:space="preserve">potential impact upon </w:t>
      </w:r>
      <w:r w:rsidR="00296103">
        <w:rPr>
          <w:rFonts w:ascii="Arial" w:hAnsi="Arial" w:cs="Arial"/>
          <w:lang w:val="en-US"/>
        </w:rPr>
        <w:t>the</w:t>
      </w:r>
      <w:r w:rsidR="00915ECB">
        <w:rPr>
          <w:rFonts w:ascii="Arial" w:hAnsi="Arial" w:cs="Arial"/>
          <w:lang w:val="en-US"/>
        </w:rPr>
        <w:t xml:space="preserve"> beneficiary of a right may support </w:t>
      </w:r>
      <w:r w:rsidRPr="00076B42">
        <w:rPr>
          <w:rFonts w:ascii="Arial" w:hAnsi="Arial" w:cs="Arial"/>
          <w:lang w:val="en-US"/>
        </w:rPr>
        <w:t>the imposition of a</w:t>
      </w:r>
      <w:r w:rsidR="00915ECB">
        <w:rPr>
          <w:rFonts w:ascii="Arial" w:hAnsi="Arial" w:cs="Arial"/>
          <w:lang w:val="en-US"/>
        </w:rPr>
        <w:t xml:space="preserve"> strong</w:t>
      </w:r>
      <w:r w:rsidRPr="00076B42">
        <w:rPr>
          <w:rFonts w:ascii="Arial" w:hAnsi="Arial" w:cs="Arial"/>
          <w:lang w:val="en-US"/>
        </w:rPr>
        <w:t xml:space="preserve"> obligation; </w:t>
      </w:r>
      <w:r w:rsidR="00915ECB">
        <w:rPr>
          <w:rFonts w:ascii="Arial" w:hAnsi="Arial" w:cs="Arial"/>
          <w:lang w:val="en-US"/>
        </w:rPr>
        <w:t xml:space="preserve">on the other hand, </w:t>
      </w:r>
      <w:r w:rsidRPr="00076B42">
        <w:rPr>
          <w:rFonts w:ascii="Arial" w:hAnsi="Arial" w:cs="Arial"/>
          <w:lang w:val="en-US"/>
        </w:rPr>
        <w:t xml:space="preserve">the particular nature of an entity, may push towards no obligation </w:t>
      </w:r>
      <w:r w:rsidR="00057CA7">
        <w:rPr>
          <w:rFonts w:ascii="Arial" w:hAnsi="Arial" w:cs="Arial"/>
          <w:lang w:val="en-US"/>
        </w:rPr>
        <w:t xml:space="preserve">being recognized </w:t>
      </w:r>
      <w:r w:rsidRPr="00076B42">
        <w:rPr>
          <w:rFonts w:ascii="Arial" w:hAnsi="Arial" w:cs="Arial"/>
          <w:lang w:val="en-US"/>
        </w:rPr>
        <w:t xml:space="preserve">or the attenuation thereof. </w:t>
      </w:r>
      <w:r w:rsidR="004C4BDA">
        <w:rPr>
          <w:rFonts w:ascii="Arial" w:hAnsi="Arial" w:cs="Arial"/>
          <w:lang w:val="en-US"/>
        </w:rPr>
        <w:t>Whilst t</w:t>
      </w:r>
      <w:r w:rsidR="00AA53BA" w:rsidRPr="00076B42">
        <w:rPr>
          <w:rFonts w:ascii="Arial" w:hAnsi="Arial" w:cs="Arial"/>
          <w:lang w:val="en-US"/>
        </w:rPr>
        <w:t xml:space="preserve">he identification of these factors is important analytically: there remains though still a need for some kind of rubric within which to determine </w:t>
      </w:r>
      <w:r w:rsidR="00440594">
        <w:rPr>
          <w:rFonts w:ascii="Arial" w:hAnsi="Arial" w:cs="Arial"/>
          <w:lang w:val="en-US"/>
        </w:rPr>
        <w:t xml:space="preserve">how to resolve </w:t>
      </w:r>
      <w:r w:rsidR="00AA53BA" w:rsidRPr="00076B42">
        <w:rPr>
          <w:rFonts w:ascii="Arial" w:hAnsi="Arial" w:cs="Arial"/>
          <w:lang w:val="en-US"/>
        </w:rPr>
        <w:t xml:space="preserve">the </w:t>
      </w:r>
      <w:r w:rsidR="00440594">
        <w:rPr>
          <w:rFonts w:ascii="Arial" w:hAnsi="Arial" w:cs="Arial"/>
          <w:lang w:val="en-US"/>
        </w:rPr>
        <w:t xml:space="preserve">normative </w:t>
      </w:r>
      <w:r w:rsidR="00AA53BA" w:rsidRPr="00076B42">
        <w:rPr>
          <w:rFonts w:ascii="Arial" w:hAnsi="Arial" w:cs="Arial"/>
          <w:lang w:val="en-US"/>
        </w:rPr>
        <w:t xml:space="preserve">conflicts identified. </w:t>
      </w:r>
      <w:r w:rsidR="00F00CA3" w:rsidRPr="00076B42">
        <w:rPr>
          <w:rFonts w:ascii="Arial" w:hAnsi="Arial" w:cs="Arial"/>
          <w:lang w:val="en-US"/>
        </w:rPr>
        <w:t xml:space="preserve">In the next </w:t>
      </w:r>
      <w:r w:rsidR="00765933">
        <w:rPr>
          <w:rFonts w:ascii="Arial" w:hAnsi="Arial" w:cs="Arial"/>
          <w:lang w:val="en-US"/>
        </w:rPr>
        <w:t xml:space="preserve">part of this </w:t>
      </w:r>
      <w:r w:rsidR="00C4719A">
        <w:rPr>
          <w:rFonts w:ascii="Arial" w:hAnsi="Arial" w:cs="Arial"/>
          <w:lang w:val="en-US"/>
        </w:rPr>
        <w:t>submission</w:t>
      </w:r>
      <w:r w:rsidR="00F00CA3" w:rsidRPr="00076B42">
        <w:rPr>
          <w:rFonts w:ascii="Arial" w:hAnsi="Arial" w:cs="Arial"/>
          <w:lang w:val="en-US"/>
        </w:rPr>
        <w:t xml:space="preserve">, I </w:t>
      </w:r>
      <w:r w:rsidR="004C4BDA">
        <w:rPr>
          <w:rFonts w:ascii="Arial" w:hAnsi="Arial" w:cs="Arial"/>
          <w:lang w:val="en-US"/>
        </w:rPr>
        <w:t xml:space="preserve">consider such </w:t>
      </w:r>
      <w:r w:rsidR="00F00CA3" w:rsidRPr="00076B42">
        <w:rPr>
          <w:rFonts w:ascii="Arial" w:hAnsi="Arial" w:cs="Arial"/>
          <w:lang w:val="en-US"/>
        </w:rPr>
        <w:t xml:space="preserve">an analytical framework </w:t>
      </w:r>
      <w:r w:rsidR="004C4BDA">
        <w:rPr>
          <w:rFonts w:ascii="Arial" w:hAnsi="Arial" w:cs="Arial"/>
          <w:lang w:val="en-US"/>
        </w:rPr>
        <w:t>drawn from constitutional law.</w:t>
      </w:r>
      <w:r w:rsidR="00F00CA3" w:rsidRPr="00076B42">
        <w:rPr>
          <w:rFonts w:ascii="Arial" w:hAnsi="Arial" w:cs="Arial"/>
          <w:lang w:val="en-US"/>
        </w:rPr>
        <w:t xml:space="preserve"> </w:t>
      </w:r>
    </w:p>
    <w:p w:rsidR="006742E1" w:rsidRPr="00C4719A" w:rsidRDefault="00243DA3" w:rsidP="00C4719A">
      <w:pPr>
        <w:pStyle w:val="ListParagraph"/>
        <w:numPr>
          <w:ilvl w:val="1"/>
          <w:numId w:val="5"/>
        </w:numPr>
        <w:spacing w:line="360" w:lineRule="auto"/>
        <w:rPr>
          <w:rFonts w:ascii="Arial" w:hAnsi="Arial" w:cs="Arial"/>
          <w:i/>
        </w:rPr>
      </w:pPr>
      <w:r w:rsidRPr="00C4719A">
        <w:rPr>
          <w:rFonts w:ascii="Arial" w:hAnsi="Arial" w:cs="Arial"/>
          <w:i/>
        </w:rPr>
        <w:t>Moving Towards a</w:t>
      </w:r>
      <w:r w:rsidR="006742E1" w:rsidRPr="00C4719A">
        <w:rPr>
          <w:rFonts w:ascii="Arial" w:hAnsi="Arial" w:cs="Arial"/>
          <w:i/>
        </w:rPr>
        <w:t xml:space="preserve"> Two-Stage Enquiry into Corporate Obligations</w:t>
      </w:r>
    </w:p>
    <w:p w:rsidR="00ED6A96" w:rsidRPr="00076B42" w:rsidRDefault="004C4BDA" w:rsidP="00E92129">
      <w:pPr>
        <w:spacing w:after="160" w:line="360" w:lineRule="auto"/>
        <w:rPr>
          <w:rFonts w:ascii="Arial" w:hAnsi="Arial" w:cs="Arial"/>
        </w:rPr>
      </w:pPr>
      <w:r>
        <w:rPr>
          <w:rFonts w:ascii="Arial" w:hAnsi="Arial" w:cs="Arial"/>
        </w:rPr>
        <w:t xml:space="preserve">In determining the scope of the obligations of agents in relation to human rights, </w:t>
      </w:r>
      <w:r w:rsidR="003B34DF">
        <w:rPr>
          <w:rFonts w:ascii="Arial" w:hAnsi="Arial" w:cs="Arial"/>
        </w:rPr>
        <w:t>C</w:t>
      </w:r>
      <w:r w:rsidR="00ED6A96" w:rsidRPr="00076B42">
        <w:rPr>
          <w:rFonts w:ascii="Arial" w:hAnsi="Arial" w:cs="Arial"/>
        </w:rPr>
        <w:t>onstitution</w:t>
      </w:r>
      <w:r w:rsidR="008A632A">
        <w:rPr>
          <w:rFonts w:ascii="Arial" w:hAnsi="Arial" w:cs="Arial"/>
        </w:rPr>
        <w:t>s</w:t>
      </w:r>
      <w:r w:rsidR="00ED6A96" w:rsidRPr="00076B42">
        <w:rPr>
          <w:rFonts w:ascii="Arial" w:hAnsi="Arial" w:cs="Arial"/>
        </w:rPr>
        <w:t xml:space="preserve"> </w:t>
      </w:r>
      <w:r w:rsidR="003B34DF">
        <w:rPr>
          <w:rFonts w:ascii="Arial" w:hAnsi="Arial" w:cs="Arial"/>
        </w:rPr>
        <w:t xml:space="preserve">in </w:t>
      </w:r>
      <w:r>
        <w:rPr>
          <w:rFonts w:ascii="Arial" w:hAnsi="Arial" w:cs="Arial"/>
        </w:rPr>
        <w:t xml:space="preserve">Canada, South Africa and Kenya </w:t>
      </w:r>
      <w:r w:rsidR="00ED6A96" w:rsidRPr="00076B42">
        <w:rPr>
          <w:rFonts w:ascii="Arial" w:hAnsi="Arial" w:cs="Arial"/>
        </w:rPr>
        <w:t xml:space="preserve">outline a two-stage enquiry. The first stage involves interpreting the rights </w:t>
      </w:r>
      <w:r w:rsidR="003B34DF">
        <w:rPr>
          <w:rFonts w:ascii="Arial" w:hAnsi="Arial" w:cs="Arial"/>
        </w:rPr>
        <w:t>which requires understanding t</w:t>
      </w:r>
      <w:r w:rsidR="00ED6A96" w:rsidRPr="00076B42">
        <w:rPr>
          <w:rFonts w:ascii="Arial" w:hAnsi="Arial" w:cs="Arial"/>
        </w:rPr>
        <w:t xml:space="preserve">heir underlying justification and the interests they protect.  A determination is then made as to whether certain conduct (or an omission) is a prima facie infringement of that right. </w:t>
      </w:r>
    </w:p>
    <w:p w:rsidR="003B34DF" w:rsidRDefault="00ED6A96" w:rsidP="00E92129">
      <w:pPr>
        <w:spacing w:after="160" w:line="360" w:lineRule="auto"/>
        <w:rPr>
          <w:rFonts w:ascii="Arial" w:hAnsi="Arial" w:cs="Arial"/>
        </w:rPr>
      </w:pPr>
      <w:r w:rsidRPr="00076B42">
        <w:rPr>
          <w:rFonts w:ascii="Arial" w:hAnsi="Arial" w:cs="Arial"/>
        </w:rPr>
        <w:t>The second stage then involves considering whether that infringement is justifiable or not. Usually, this involves what may be termed a proportionality enquiry</w:t>
      </w:r>
      <w:r w:rsidR="003B34DF">
        <w:rPr>
          <w:rFonts w:ascii="Arial" w:hAnsi="Arial" w:cs="Arial"/>
        </w:rPr>
        <w:t xml:space="preserve"> which itself has various components which include the following:</w:t>
      </w:r>
      <w:r w:rsidRPr="00076B42">
        <w:rPr>
          <w:rStyle w:val="FootnoteReference"/>
          <w:rFonts w:ascii="Arial" w:hAnsi="Arial" w:cs="Arial"/>
        </w:rPr>
        <w:footnoteReference w:id="11"/>
      </w:r>
      <w:r w:rsidRPr="00076B42">
        <w:rPr>
          <w:rFonts w:ascii="Arial" w:hAnsi="Arial" w:cs="Arial"/>
        </w:rPr>
        <w:t xml:space="preserve"> </w:t>
      </w:r>
    </w:p>
    <w:p w:rsidR="003B34DF" w:rsidRDefault="00ED6A96" w:rsidP="002F6610">
      <w:pPr>
        <w:pStyle w:val="ListParagraph"/>
        <w:numPr>
          <w:ilvl w:val="0"/>
          <w:numId w:val="4"/>
        </w:numPr>
        <w:spacing w:after="160" w:line="360" w:lineRule="auto"/>
        <w:rPr>
          <w:rFonts w:ascii="Arial" w:hAnsi="Arial" w:cs="Arial"/>
        </w:rPr>
      </w:pPr>
      <w:r w:rsidRPr="002F6610">
        <w:rPr>
          <w:rFonts w:ascii="Arial" w:hAnsi="Arial" w:cs="Arial"/>
        </w:rPr>
        <w:t xml:space="preserve">The </w:t>
      </w:r>
      <w:r w:rsidR="003B34DF">
        <w:rPr>
          <w:rFonts w:ascii="Arial" w:hAnsi="Arial" w:cs="Arial"/>
        </w:rPr>
        <w:t xml:space="preserve">first </w:t>
      </w:r>
      <w:r w:rsidRPr="002F6610">
        <w:rPr>
          <w:rFonts w:ascii="Arial" w:hAnsi="Arial" w:cs="Arial"/>
        </w:rPr>
        <w:t xml:space="preserve">step is to determine the purpose </w:t>
      </w:r>
      <w:r w:rsidR="00440594" w:rsidRPr="002F6610">
        <w:rPr>
          <w:rFonts w:ascii="Arial" w:hAnsi="Arial" w:cs="Arial"/>
        </w:rPr>
        <w:t>of</w:t>
      </w:r>
      <w:r w:rsidRPr="002F6610">
        <w:rPr>
          <w:rFonts w:ascii="Arial" w:hAnsi="Arial" w:cs="Arial"/>
        </w:rPr>
        <w:t xml:space="preserve"> any infringement and whether it is legitimate within the constitutional scheme</w:t>
      </w:r>
      <w:r w:rsidR="003B34DF">
        <w:rPr>
          <w:rFonts w:ascii="Arial" w:hAnsi="Arial" w:cs="Arial"/>
        </w:rPr>
        <w:t xml:space="preserve">;  </w:t>
      </w:r>
    </w:p>
    <w:p w:rsidR="003B34DF" w:rsidRDefault="003B34DF" w:rsidP="002F6610">
      <w:pPr>
        <w:pStyle w:val="ListParagraph"/>
        <w:numPr>
          <w:ilvl w:val="0"/>
          <w:numId w:val="4"/>
        </w:numPr>
        <w:spacing w:after="160" w:line="360" w:lineRule="auto"/>
        <w:rPr>
          <w:rFonts w:ascii="Arial" w:hAnsi="Arial" w:cs="Arial"/>
        </w:rPr>
      </w:pPr>
      <w:r>
        <w:rPr>
          <w:rFonts w:ascii="Arial" w:hAnsi="Arial" w:cs="Arial"/>
        </w:rPr>
        <w:t>The second step</w:t>
      </w:r>
      <w:r w:rsidR="00ED6A96" w:rsidRPr="002F6610">
        <w:rPr>
          <w:rFonts w:ascii="Arial" w:hAnsi="Arial" w:cs="Arial"/>
        </w:rPr>
        <w:t xml:space="preserve"> concerns </w:t>
      </w:r>
      <w:r>
        <w:rPr>
          <w:rFonts w:ascii="Arial" w:hAnsi="Arial" w:cs="Arial"/>
        </w:rPr>
        <w:t xml:space="preserve">a determination of </w:t>
      </w:r>
      <w:r w:rsidR="00ED6A96" w:rsidRPr="002F6610">
        <w:rPr>
          <w:rFonts w:ascii="Arial" w:hAnsi="Arial" w:cs="Arial"/>
        </w:rPr>
        <w:t>whether there is a rational connection between the means adopted to limit the right and the purpose of the limitation</w:t>
      </w:r>
      <w:r w:rsidR="008C7E90">
        <w:rPr>
          <w:rFonts w:ascii="Arial" w:hAnsi="Arial" w:cs="Arial"/>
        </w:rPr>
        <w:t xml:space="preserve"> (this step is what may be termed the ‘suitability’ enquiry)</w:t>
      </w:r>
      <w:r>
        <w:rPr>
          <w:rFonts w:ascii="Arial" w:hAnsi="Arial" w:cs="Arial"/>
        </w:rPr>
        <w:t xml:space="preserve">; </w:t>
      </w:r>
    </w:p>
    <w:p w:rsidR="00887457" w:rsidRDefault="00440594" w:rsidP="002F6610">
      <w:pPr>
        <w:pStyle w:val="ListParagraph"/>
        <w:numPr>
          <w:ilvl w:val="0"/>
          <w:numId w:val="4"/>
        </w:numPr>
        <w:spacing w:after="160" w:line="360" w:lineRule="auto"/>
        <w:rPr>
          <w:rFonts w:ascii="Arial" w:hAnsi="Arial" w:cs="Arial"/>
        </w:rPr>
      </w:pPr>
      <w:r w:rsidRPr="002F6610">
        <w:rPr>
          <w:rFonts w:ascii="Arial" w:hAnsi="Arial" w:cs="Arial"/>
        </w:rPr>
        <w:t>T</w:t>
      </w:r>
      <w:r w:rsidR="00ED6A96" w:rsidRPr="002F6610">
        <w:rPr>
          <w:rFonts w:ascii="Arial" w:hAnsi="Arial" w:cs="Arial"/>
        </w:rPr>
        <w:t>he</w:t>
      </w:r>
      <w:r w:rsidR="003B34DF">
        <w:rPr>
          <w:rFonts w:ascii="Arial" w:hAnsi="Arial" w:cs="Arial"/>
        </w:rPr>
        <w:t xml:space="preserve"> third </w:t>
      </w:r>
      <w:r w:rsidRPr="002F6610">
        <w:rPr>
          <w:rFonts w:ascii="Arial" w:hAnsi="Arial" w:cs="Arial"/>
        </w:rPr>
        <w:t xml:space="preserve">enquiry </w:t>
      </w:r>
      <w:r w:rsidR="00ED6A96" w:rsidRPr="002F6610">
        <w:rPr>
          <w:rFonts w:ascii="Arial" w:hAnsi="Arial" w:cs="Arial"/>
        </w:rPr>
        <w:t xml:space="preserve">involves considering whether there is an alternative that </w:t>
      </w:r>
      <w:r w:rsidRPr="002F6610">
        <w:rPr>
          <w:rFonts w:ascii="Arial" w:hAnsi="Arial" w:cs="Arial"/>
        </w:rPr>
        <w:t xml:space="preserve">sufficiently </w:t>
      </w:r>
      <w:r w:rsidR="00ED6A96" w:rsidRPr="002F6610">
        <w:rPr>
          <w:rFonts w:ascii="Arial" w:hAnsi="Arial" w:cs="Arial"/>
        </w:rPr>
        <w:t>realises the purpose but has a lesser impact on the right (this is what may be termed the ‘necessity’ enquiry’</w:t>
      </w:r>
      <w:r w:rsidR="008A632A" w:rsidRPr="002F6610">
        <w:rPr>
          <w:rFonts w:ascii="Arial" w:hAnsi="Arial" w:cs="Arial"/>
        </w:rPr>
        <w:t>)</w:t>
      </w:r>
      <w:r w:rsidR="00ED6A96" w:rsidRPr="002F6610">
        <w:rPr>
          <w:rFonts w:ascii="Arial" w:hAnsi="Arial" w:cs="Arial"/>
        </w:rPr>
        <w:t>.</w:t>
      </w:r>
      <w:r w:rsidR="00887457">
        <w:rPr>
          <w:rFonts w:ascii="Arial" w:hAnsi="Arial" w:cs="Arial"/>
        </w:rPr>
        <w:t xml:space="preserve"> </w:t>
      </w:r>
    </w:p>
    <w:p w:rsidR="00887457" w:rsidRDefault="00887457" w:rsidP="002F6610">
      <w:pPr>
        <w:pStyle w:val="ListParagraph"/>
        <w:numPr>
          <w:ilvl w:val="0"/>
          <w:numId w:val="4"/>
        </w:numPr>
        <w:spacing w:after="160" w:line="360" w:lineRule="auto"/>
        <w:rPr>
          <w:rFonts w:ascii="Arial" w:hAnsi="Arial" w:cs="Arial"/>
        </w:rPr>
      </w:pPr>
      <w:r>
        <w:rPr>
          <w:rFonts w:ascii="Arial" w:hAnsi="Arial" w:cs="Arial"/>
        </w:rPr>
        <w:t xml:space="preserve">Finally, the fourth and final </w:t>
      </w:r>
      <w:r w:rsidR="00ED6A96" w:rsidRPr="002F6610">
        <w:rPr>
          <w:rFonts w:ascii="Arial" w:hAnsi="Arial" w:cs="Arial"/>
        </w:rPr>
        <w:t>enquiry involves considering whether or not the benefits of the limitation are proportional to the harms caused to the right (</w:t>
      </w:r>
      <w:r>
        <w:rPr>
          <w:rFonts w:ascii="Arial" w:hAnsi="Arial" w:cs="Arial"/>
        </w:rPr>
        <w:t>often termed the ‘</w:t>
      </w:r>
      <w:r w:rsidR="00ED6A96" w:rsidRPr="002F6610">
        <w:rPr>
          <w:rFonts w:ascii="Arial" w:hAnsi="Arial" w:cs="Arial"/>
        </w:rPr>
        <w:t>proportionality in the narrow sense</w:t>
      </w:r>
      <w:r>
        <w:rPr>
          <w:rFonts w:ascii="Arial" w:hAnsi="Arial" w:cs="Arial"/>
        </w:rPr>
        <w:t>’</w:t>
      </w:r>
      <w:r w:rsidR="00ED6A96" w:rsidRPr="002F6610">
        <w:rPr>
          <w:rFonts w:ascii="Arial" w:hAnsi="Arial" w:cs="Arial"/>
        </w:rPr>
        <w:t xml:space="preserve"> enquiry).</w:t>
      </w:r>
      <w:r>
        <w:rPr>
          <w:rFonts w:ascii="Arial" w:hAnsi="Arial" w:cs="Arial"/>
        </w:rPr>
        <w:t xml:space="preserve">  </w:t>
      </w:r>
    </w:p>
    <w:p w:rsidR="00610B89" w:rsidRPr="00076B42" w:rsidRDefault="004C4BDA" w:rsidP="00E92129">
      <w:pPr>
        <w:spacing w:after="160" w:line="360" w:lineRule="auto"/>
        <w:rPr>
          <w:rFonts w:ascii="Arial" w:hAnsi="Arial" w:cs="Arial"/>
        </w:rPr>
      </w:pPr>
      <w:r>
        <w:rPr>
          <w:rFonts w:ascii="Arial" w:hAnsi="Arial" w:cs="Arial"/>
        </w:rPr>
        <w:t xml:space="preserve">I contend that this approach offers </w:t>
      </w:r>
      <w:r w:rsidR="00384C5E">
        <w:rPr>
          <w:rFonts w:ascii="Arial" w:hAnsi="Arial" w:cs="Arial"/>
        </w:rPr>
        <w:t xml:space="preserve">a promising analytical framework </w:t>
      </w:r>
      <w:r w:rsidR="00610B89" w:rsidRPr="00076B42">
        <w:rPr>
          <w:rFonts w:ascii="Arial" w:hAnsi="Arial" w:cs="Arial"/>
        </w:rPr>
        <w:t xml:space="preserve">for inclusion </w:t>
      </w:r>
      <w:r>
        <w:rPr>
          <w:rFonts w:ascii="Arial" w:hAnsi="Arial" w:cs="Arial"/>
        </w:rPr>
        <w:t>in a</w:t>
      </w:r>
      <w:r w:rsidR="00610B89" w:rsidRPr="00076B42">
        <w:rPr>
          <w:rFonts w:ascii="Arial" w:hAnsi="Arial" w:cs="Arial"/>
        </w:rPr>
        <w:t xml:space="preserve"> </w:t>
      </w:r>
      <w:r w:rsidR="00384C5E">
        <w:rPr>
          <w:rFonts w:ascii="Arial" w:hAnsi="Arial" w:cs="Arial"/>
        </w:rPr>
        <w:t xml:space="preserve">future </w:t>
      </w:r>
      <w:r w:rsidR="003618A5">
        <w:rPr>
          <w:rFonts w:ascii="Arial" w:hAnsi="Arial" w:cs="Arial"/>
        </w:rPr>
        <w:t xml:space="preserve">BHR </w:t>
      </w:r>
      <w:r w:rsidR="00610B89" w:rsidRPr="00076B42">
        <w:rPr>
          <w:rFonts w:ascii="Arial" w:hAnsi="Arial" w:cs="Arial"/>
        </w:rPr>
        <w:t xml:space="preserve">treaty. </w:t>
      </w:r>
      <w:r>
        <w:rPr>
          <w:rFonts w:ascii="Arial" w:hAnsi="Arial" w:cs="Arial"/>
        </w:rPr>
        <w:t>T</w:t>
      </w:r>
      <w:r w:rsidR="00610B89" w:rsidRPr="00076B42">
        <w:rPr>
          <w:rFonts w:ascii="Arial" w:hAnsi="Arial" w:cs="Arial"/>
        </w:rPr>
        <w:t xml:space="preserve">he first stage of the enquiry requires an understanding of the right and whether </w:t>
      </w:r>
      <w:r w:rsidR="008C7E90">
        <w:rPr>
          <w:rFonts w:ascii="Arial" w:hAnsi="Arial" w:cs="Arial"/>
        </w:rPr>
        <w:t xml:space="preserve">the </w:t>
      </w:r>
      <w:r w:rsidR="00610B89" w:rsidRPr="00076B42">
        <w:rPr>
          <w:rFonts w:ascii="Arial" w:hAnsi="Arial" w:cs="Arial"/>
        </w:rPr>
        <w:t xml:space="preserve">conduct (or omission) </w:t>
      </w:r>
      <w:r>
        <w:rPr>
          <w:rFonts w:ascii="Arial" w:hAnsi="Arial" w:cs="Arial"/>
        </w:rPr>
        <w:t xml:space="preserve">of a corporate actor </w:t>
      </w:r>
      <w:r w:rsidR="00610B89" w:rsidRPr="00076B42">
        <w:rPr>
          <w:rFonts w:ascii="Arial" w:hAnsi="Arial" w:cs="Arial"/>
        </w:rPr>
        <w:t xml:space="preserve">provides </w:t>
      </w:r>
      <w:r w:rsidR="00551651" w:rsidRPr="00076B42">
        <w:rPr>
          <w:rFonts w:ascii="Arial" w:hAnsi="Arial" w:cs="Arial"/>
        </w:rPr>
        <w:t xml:space="preserve">a </w:t>
      </w:r>
      <w:r w:rsidR="00610B89" w:rsidRPr="00076B42">
        <w:rPr>
          <w:rFonts w:ascii="Arial" w:hAnsi="Arial" w:cs="Arial"/>
        </w:rPr>
        <w:t>prima facie</w:t>
      </w:r>
      <w:r w:rsidR="00551651" w:rsidRPr="00076B42">
        <w:rPr>
          <w:rFonts w:ascii="Arial" w:hAnsi="Arial" w:cs="Arial"/>
        </w:rPr>
        <w:t xml:space="preserve"> infringement of the right in question. This </w:t>
      </w:r>
      <w:r w:rsidR="00A64F53">
        <w:rPr>
          <w:rFonts w:ascii="Arial" w:hAnsi="Arial" w:cs="Arial"/>
        </w:rPr>
        <w:t xml:space="preserve">first </w:t>
      </w:r>
      <w:r w:rsidR="00551651" w:rsidRPr="00076B42">
        <w:rPr>
          <w:rFonts w:ascii="Arial" w:hAnsi="Arial" w:cs="Arial"/>
        </w:rPr>
        <w:t>stage</w:t>
      </w:r>
      <w:r w:rsidR="00A64F53">
        <w:rPr>
          <w:rFonts w:ascii="Arial" w:hAnsi="Arial" w:cs="Arial"/>
        </w:rPr>
        <w:t xml:space="preserve"> of the enquiry </w:t>
      </w:r>
      <w:r w:rsidR="00551651" w:rsidRPr="00076B42">
        <w:rPr>
          <w:rFonts w:ascii="Arial" w:hAnsi="Arial" w:cs="Arial"/>
        </w:rPr>
        <w:t xml:space="preserve">is </w:t>
      </w:r>
      <w:r>
        <w:rPr>
          <w:rFonts w:ascii="Arial" w:hAnsi="Arial" w:cs="Arial"/>
        </w:rPr>
        <w:t xml:space="preserve">thus explicitly </w:t>
      </w:r>
      <w:r w:rsidR="00551651" w:rsidRPr="00076B42">
        <w:rPr>
          <w:rFonts w:ascii="Arial" w:hAnsi="Arial" w:cs="Arial"/>
        </w:rPr>
        <w:t>beneficiary-focu</w:t>
      </w:r>
      <w:r>
        <w:rPr>
          <w:rFonts w:ascii="Arial" w:hAnsi="Arial" w:cs="Arial"/>
        </w:rPr>
        <w:t xml:space="preserve">sed. </w:t>
      </w:r>
    </w:p>
    <w:p w:rsidR="00694135" w:rsidRPr="00076B42" w:rsidRDefault="00384C5E" w:rsidP="00E92129">
      <w:pPr>
        <w:spacing w:after="160" w:line="360" w:lineRule="auto"/>
        <w:rPr>
          <w:rFonts w:ascii="Arial" w:hAnsi="Arial" w:cs="Arial"/>
        </w:rPr>
      </w:pPr>
      <w:r>
        <w:rPr>
          <w:rFonts w:ascii="Arial" w:hAnsi="Arial" w:cs="Arial"/>
        </w:rPr>
        <w:t>However, t</w:t>
      </w:r>
      <w:r w:rsidR="00827188" w:rsidRPr="00076B42">
        <w:rPr>
          <w:rFonts w:ascii="Arial" w:hAnsi="Arial" w:cs="Arial"/>
        </w:rPr>
        <w:t xml:space="preserve">he fact that there may be a prima facie infringement of an interest of a beneficiary is not determinative. There may be good reasons why that interest cannot be realised; moreover, there may be reasons why a particular agent may lack the obligation to protect that interest in question. </w:t>
      </w:r>
      <w:r w:rsidR="007A569C">
        <w:rPr>
          <w:rFonts w:ascii="Arial" w:hAnsi="Arial" w:cs="Arial"/>
        </w:rPr>
        <w:t>T</w:t>
      </w:r>
      <w:r w:rsidR="00827188" w:rsidRPr="00076B42">
        <w:rPr>
          <w:rFonts w:ascii="Arial" w:hAnsi="Arial" w:cs="Arial"/>
        </w:rPr>
        <w:t xml:space="preserve">he second-stage of the enquiry may well be helpful, particularly, in determining when a particular agent such as a corporation has an obligation or not. The first step </w:t>
      </w:r>
      <w:r w:rsidR="008A632A">
        <w:rPr>
          <w:rFonts w:ascii="Arial" w:hAnsi="Arial" w:cs="Arial"/>
        </w:rPr>
        <w:t xml:space="preserve">in this regard </w:t>
      </w:r>
      <w:r w:rsidR="00827188" w:rsidRPr="00076B42">
        <w:rPr>
          <w:rFonts w:ascii="Arial" w:hAnsi="Arial" w:cs="Arial"/>
        </w:rPr>
        <w:t>would be to determine whether or not there is a legitimate purpose for any infringement. The legitimacy of any purpose should, of course, be linked to the nature of the particular agent</w:t>
      </w:r>
      <w:r w:rsidR="00BE1C0E">
        <w:rPr>
          <w:rFonts w:ascii="Arial" w:hAnsi="Arial" w:cs="Arial"/>
        </w:rPr>
        <w:t>.</w:t>
      </w:r>
      <w:r w:rsidR="00827188" w:rsidRPr="00076B42">
        <w:rPr>
          <w:rFonts w:ascii="Arial" w:hAnsi="Arial" w:cs="Arial"/>
        </w:rPr>
        <w:t xml:space="preserve"> </w:t>
      </w:r>
      <w:r w:rsidR="003D658F">
        <w:rPr>
          <w:rFonts w:ascii="Arial" w:hAnsi="Arial" w:cs="Arial"/>
        </w:rPr>
        <w:t>T</w:t>
      </w:r>
      <w:r w:rsidR="00827188" w:rsidRPr="00076B42">
        <w:rPr>
          <w:rFonts w:ascii="Arial" w:hAnsi="Arial" w:cs="Arial"/>
        </w:rPr>
        <w:t xml:space="preserve">hat would not, however, end the matter. A measure may not be designed well to realise a purpose and be overly intrusive in relation to rights. This is where the suitability and necessity enquiries would be of importance. </w:t>
      </w:r>
      <w:r w:rsidR="00694135" w:rsidRPr="00076B42">
        <w:rPr>
          <w:rFonts w:ascii="Arial" w:hAnsi="Arial" w:cs="Arial"/>
        </w:rPr>
        <w:t xml:space="preserve"> </w:t>
      </w:r>
      <w:r w:rsidR="00827188" w:rsidRPr="00076B42">
        <w:rPr>
          <w:rFonts w:ascii="Arial" w:hAnsi="Arial" w:cs="Arial"/>
        </w:rPr>
        <w:t xml:space="preserve">Finally, an overarching assessment of proportionality </w:t>
      </w:r>
      <w:r w:rsidR="003D658F">
        <w:rPr>
          <w:rFonts w:ascii="Arial" w:hAnsi="Arial" w:cs="Arial"/>
        </w:rPr>
        <w:t xml:space="preserve">would allow for a balancing between the interests at stake and allow </w:t>
      </w:r>
      <w:r w:rsidR="00694135" w:rsidRPr="00076B42">
        <w:rPr>
          <w:rFonts w:ascii="Arial" w:hAnsi="Arial" w:cs="Arial"/>
        </w:rPr>
        <w:t xml:space="preserve">for wider considerations of fairness to enter into the picture in terms of determining corporate obligations. </w:t>
      </w:r>
    </w:p>
    <w:p w:rsidR="007A569C" w:rsidRPr="002F6610" w:rsidRDefault="007A569C" w:rsidP="007A569C">
      <w:pPr>
        <w:pStyle w:val="ListParagraph"/>
        <w:numPr>
          <w:ilvl w:val="0"/>
          <w:numId w:val="5"/>
        </w:numPr>
        <w:spacing w:line="360" w:lineRule="auto"/>
        <w:rPr>
          <w:rFonts w:ascii="Arial" w:hAnsi="Arial" w:cs="Arial"/>
          <w:b/>
        </w:rPr>
      </w:pPr>
      <w:r w:rsidRPr="002F6610">
        <w:rPr>
          <w:rFonts w:ascii="Arial" w:hAnsi="Arial" w:cs="Arial"/>
          <w:b/>
        </w:rPr>
        <w:t xml:space="preserve">Conclusion   </w:t>
      </w:r>
    </w:p>
    <w:p w:rsidR="003B1820" w:rsidRPr="00076B42" w:rsidRDefault="00694135" w:rsidP="003D658F">
      <w:pPr>
        <w:spacing w:after="160" w:line="360" w:lineRule="auto"/>
        <w:rPr>
          <w:rFonts w:ascii="Arial" w:hAnsi="Arial" w:cs="Arial"/>
          <w:b/>
        </w:rPr>
      </w:pPr>
      <w:r w:rsidRPr="00076B42">
        <w:rPr>
          <w:rFonts w:ascii="Arial" w:hAnsi="Arial" w:cs="Arial"/>
        </w:rPr>
        <w:t xml:space="preserve">The approach adopted here would thus </w:t>
      </w:r>
      <w:r w:rsidR="000A727B">
        <w:rPr>
          <w:rFonts w:ascii="Arial" w:hAnsi="Arial" w:cs="Arial"/>
        </w:rPr>
        <w:t>commence with</w:t>
      </w:r>
      <w:r w:rsidRPr="00076B42">
        <w:rPr>
          <w:rFonts w:ascii="Arial" w:hAnsi="Arial" w:cs="Arial"/>
        </w:rPr>
        <w:t xml:space="preserve"> an evaluation whether particular conduct or omissions </w:t>
      </w:r>
      <w:r w:rsidR="003D658F">
        <w:rPr>
          <w:rFonts w:ascii="Arial" w:hAnsi="Arial" w:cs="Arial"/>
        </w:rPr>
        <w:t xml:space="preserve">of corporations </w:t>
      </w:r>
      <w:r w:rsidR="008C7E90">
        <w:rPr>
          <w:rFonts w:ascii="Arial" w:hAnsi="Arial" w:cs="Arial"/>
        </w:rPr>
        <w:t xml:space="preserve">have an effect on the interests protected by a fundamental right. </w:t>
      </w:r>
      <w:r w:rsidRPr="00076B42">
        <w:rPr>
          <w:rFonts w:ascii="Arial" w:hAnsi="Arial" w:cs="Arial"/>
        </w:rPr>
        <w:t xml:space="preserve">It is likely at the first stage that the net of corporate obligations will be cast widely. The starting point is thus beneficiary or victim-orientated. The second stage </w:t>
      </w:r>
      <w:r w:rsidR="00D11969" w:rsidRPr="00076B42">
        <w:rPr>
          <w:rFonts w:ascii="Arial" w:hAnsi="Arial" w:cs="Arial"/>
        </w:rPr>
        <w:t xml:space="preserve">would involve considering reasons to limit the obligations of corporations in these circumstances either for reasons relating to their nature or for reasons relating to the nature of the normative considerations underlying any potential limitation. The two-stage enquiry thus </w:t>
      </w:r>
      <w:r w:rsidR="008C7E90">
        <w:rPr>
          <w:rFonts w:ascii="Arial" w:hAnsi="Arial" w:cs="Arial"/>
        </w:rPr>
        <w:t xml:space="preserve">has the attraction of </w:t>
      </w:r>
      <w:r w:rsidR="00D11969" w:rsidRPr="00076B42">
        <w:rPr>
          <w:rFonts w:ascii="Arial" w:hAnsi="Arial" w:cs="Arial"/>
        </w:rPr>
        <w:t>ensur</w:t>
      </w:r>
      <w:r w:rsidR="008C7E90">
        <w:rPr>
          <w:rFonts w:ascii="Arial" w:hAnsi="Arial" w:cs="Arial"/>
        </w:rPr>
        <w:t>ing</w:t>
      </w:r>
      <w:r w:rsidR="00D11969" w:rsidRPr="00076B42">
        <w:rPr>
          <w:rFonts w:ascii="Arial" w:hAnsi="Arial" w:cs="Arial"/>
        </w:rPr>
        <w:t xml:space="preserve"> normative clarity about both beneficiary-orientated and agent-relative cons</w:t>
      </w:r>
      <w:r w:rsidR="008C7E90">
        <w:rPr>
          <w:rFonts w:ascii="Arial" w:hAnsi="Arial" w:cs="Arial"/>
        </w:rPr>
        <w:t>iderations without mixing them</w:t>
      </w:r>
      <w:r w:rsidR="0027395F">
        <w:rPr>
          <w:rFonts w:ascii="Arial" w:hAnsi="Arial" w:cs="Arial"/>
        </w:rPr>
        <w:t xml:space="preserve">: </w:t>
      </w:r>
      <w:r w:rsidR="008C7E90">
        <w:rPr>
          <w:rFonts w:ascii="Arial" w:hAnsi="Arial" w:cs="Arial"/>
        </w:rPr>
        <w:t>and</w:t>
      </w:r>
      <w:r w:rsidR="0027395F">
        <w:rPr>
          <w:rFonts w:ascii="Arial" w:hAnsi="Arial" w:cs="Arial"/>
        </w:rPr>
        <w:t xml:space="preserve"> it</w:t>
      </w:r>
      <w:r w:rsidR="00D11969" w:rsidRPr="00076B42">
        <w:rPr>
          <w:rFonts w:ascii="Arial" w:hAnsi="Arial" w:cs="Arial"/>
        </w:rPr>
        <w:t xml:space="preserve"> offers an overarching framewo</w:t>
      </w:r>
      <w:r w:rsidR="008C7E90">
        <w:rPr>
          <w:rFonts w:ascii="Arial" w:hAnsi="Arial" w:cs="Arial"/>
        </w:rPr>
        <w:t>rk within which to evaluate these dimensions</w:t>
      </w:r>
      <w:r w:rsidR="00D11969" w:rsidRPr="00076B42">
        <w:rPr>
          <w:rFonts w:ascii="Arial" w:hAnsi="Arial" w:cs="Arial"/>
        </w:rPr>
        <w:t xml:space="preserve"> in relation to one another.</w:t>
      </w:r>
      <w:r w:rsidR="00382C74">
        <w:rPr>
          <w:rFonts w:ascii="Arial" w:hAnsi="Arial" w:cs="Arial"/>
        </w:rPr>
        <w:t xml:space="preserve"> </w:t>
      </w:r>
    </w:p>
    <w:p w:rsidR="003B1820" w:rsidRPr="00076B42" w:rsidRDefault="003B1820" w:rsidP="00E92129">
      <w:pPr>
        <w:spacing w:line="360" w:lineRule="auto"/>
        <w:rPr>
          <w:rFonts w:ascii="Arial" w:hAnsi="Arial" w:cs="Arial"/>
        </w:rPr>
      </w:pPr>
    </w:p>
    <w:sectPr w:rsidR="003B1820" w:rsidRPr="00076B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9E" w:rsidRDefault="0013319E" w:rsidP="00697DF8">
      <w:pPr>
        <w:spacing w:after="0" w:line="240" w:lineRule="auto"/>
      </w:pPr>
      <w:r>
        <w:separator/>
      </w:r>
    </w:p>
  </w:endnote>
  <w:endnote w:type="continuationSeparator" w:id="0">
    <w:p w:rsidR="0013319E" w:rsidRDefault="0013319E" w:rsidP="0069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9E" w:rsidRDefault="0013319E" w:rsidP="00697DF8">
      <w:pPr>
        <w:spacing w:after="0" w:line="240" w:lineRule="auto"/>
      </w:pPr>
      <w:r>
        <w:separator/>
      </w:r>
    </w:p>
  </w:footnote>
  <w:footnote w:type="continuationSeparator" w:id="0">
    <w:p w:rsidR="0013319E" w:rsidRDefault="0013319E" w:rsidP="00697DF8">
      <w:pPr>
        <w:spacing w:after="0" w:line="240" w:lineRule="auto"/>
      </w:pPr>
      <w:r>
        <w:continuationSeparator/>
      </w:r>
    </w:p>
  </w:footnote>
  <w:footnote w:id="1">
    <w:p w:rsidR="00F541D7" w:rsidRPr="00694BB5" w:rsidRDefault="00F541D7">
      <w:pPr>
        <w:pStyle w:val="FootnoteText"/>
      </w:pPr>
      <w:r>
        <w:rPr>
          <w:rStyle w:val="FootnoteReference"/>
        </w:rPr>
        <w:footnoteRef/>
      </w:r>
      <w:r>
        <w:t xml:space="preserve"> This submission is based on certain elements from my chapter titled ‘Corporate Obligations and a Treaty on Business and Human Rights: a Constitutional Law Model?’ in a</w:t>
      </w:r>
      <w:r w:rsidR="00694BB5">
        <w:t xml:space="preserve">n edited collection </w:t>
      </w:r>
      <w:r w:rsidR="008C7E90">
        <w:t>b</w:t>
      </w:r>
      <w:r w:rsidR="00694BB5">
        <w:t xml:space="preserve">y Surya Deva and David Bilchitz </w:t>
      </w:r>
      <w:r>
        <w:t xml:space="preserve">titled </w:t>
      </w:r>
      <w:r w:rsidR="00694BB5" w:rsidRPr="00694BB5">
        <w:rPr>
          <w:i/>
        </w:rPr>
        <w:t>Building a Treaty on Business and Human Rights: Context and Contours</w:t>
      </w:r>
      <w:r w:rsidR="00694BB5">
        <w:rPr>
          <w:i/>
        </w:rPr>
        <w:t xml:space="preserve"> </w:t>
      </w:r>
      <w:r w:rsidR="00694BB5">
        <w:t xml:space="preserve">(Cambridge University Press, forthcoming 2017). </w:t>
      </w:r>
    </w:p>
  </w:footnote>
  <w:footnote w:id="2">
    <w:p w:rsidR="00F541D7" w:rsidRPr="00F541D7" w:rsidRDefault="00F541D7">
      <w:pPr>
        <w:pStyle w:val="FootnoteText"/>
      </w:pPr>
      <w:r>
        <w:rPr>
          <w:rStyle w:val="FootnoteReference"/>
        </w:rPr>
        <w:footnoteRef/>
      </w:r>
      <w:r>
        <w:t xml:space="preserve"> I have provided four arguments surrounding such lacunae in </w:t>
      </w:r>
      <w:r w:rsidRPr="00F541D7">
        <w:rPr>
          <w:rFonts w:asciiTheme="minorHAnsi" w:hAnsiTheme="minorHAnsi"/>
        </w:rPr>
        <w:t xml:space="preserve">D Bilchitz ‘The Necessity for a Business and Human Rights Treaty’ (2016) 1 </w:t>
      </w:r>
      <w:r w:rsidRPr="00F541D7">
        <w:rPr>
          <w:rFonts w:asciiTheme="minorHAnsi" w:hAnsiTheme="minorHAnsi"/>
          <w:i/>
        </w:rPr>
        <w:t>Business and Human Rights Journal</w:t>
      </w:r>
      <w:r w:rsidRPr="00F541D7">
        <w:rPr>
          <w:rFonts w:asciiTheme="minorHAnsi" w:hAnsiTheme="minorHAnsi"/>
        </w:rPr>
        <w:t xml:space="preserve"> 203</w:t>
      </w:r>
      <w:r>
        <w:rPr>
          <w:rFonts w:asciiTheme="minorHAnsi" w:hAnsiTheme="minorHAnsi"/>
        </w:rPr>
        <w:t>.</w:t>
      </w:r>
      <w:r w:rsidRPr="00F541D7">
        <w:rPr>
          <w:rFonts w:asciiTheme="minorHAnsi" w:hAnsiTheme="minorHAnsi"/>
        </w:rPr>
        <w:t xml:space="preserve"> </w:t>
      </w:r>
    </w:p>
  </w:footnote>
  <w:footnote w:id="3">
    <w:p w:rsidR="009E7AAD" w:rsidRPr="0071735D" w:rsidRDefault="009E7AAD">
      <w:pPr>
        <w:pStyle w:val="FootnoteText"/>
      </w:pPr>
      <w:r>
        <w:rPr>
          <w:rStyle w:val="FootnoteReference"/>
        </w:rPr>
        <w:footnoteRef/>
      </w:r>
      <w:r>
        <w:t xml:space="preserve"> Such an obligation was first persuasively articulated in the case </w:t>
      </w:r>
      <w:r w:rsidRPr="0071735D">
        <w:rPr>
          <w:i/>
        </w:rPr>
        <w:t>Velasquez Rodriguez v Honduras</w:t>
      </w:r>
      <w:r>
        <w:t xml:space="preserve"> (1989) 23 I.L.M. 291; (1988) Inter-A.C.H.R. (Ser. C) No.4, paras 166-77. </w:t>
      </w:r>
    </w:p>
  </w:footnote>
  <w:footnote w:id="4">
    <w:p w:rsidR="009E7AAD" w:rsidRPr="00AF4250" w:rsidRDefault="009E7AAD">
      <w:pPr>
        <w:pStyle w:val="FootnoteText"/>
        <w:rPr>
          <w:lang w:val="en-US"/>
        </w:rPr>
      </w:pPr>
      <w:r>
        <w:rPr>
          <w:rStyle w:val="FootnoteReference"/>
        </w:rPr>
        <w:footnoteRef/>
      </w:r>
      <w:r>
        <w:t xml:space="preserve"> </w:t>
      </w:r>
      <w:r w:rsidR="005B20ED">
        <w:t xml:space="preserve">The shortcomings of </w:t>
      </w:r>
      <w:r>
        <w:rPr>
          <w:lang w:val="en-US"/>
        </w:rPr>
        <w:t xml:space="preserve">the indirect </w:t>
      </w:r>
      <w:r w:rsidR="005B20ED">
        <w:rPr>
          <w:lang w:val="en-US"/>
        </w:rPr>
        <w:t xml:space="preserve">model are examined </w:t>
      </w:r>
      <w:r>
        <w:rPr>
          <w:lang w:val="en-US"/>
        </w:rPr>
        <w:t xml:space="preserve">in D. Bilchitz, ‘Corporations and the Limits of State-based Models for Protecting Fundamental Rights in International Law’ (2016) 23 </w:t>
      </w:r>
      <w:r w:rsidRPr="00AF4250">
        <w:rPr>
          <w:i/>
          <w:lang w:val="en-US"/>
        </w:rPr>
        <w:t>Indiana Journal of Global Legal Studies</w:t>
      </w:r>
      <w:r>
        <w:rPr>
          <w:i/>
          <w:lang w:val="en-US"/>
        </w:rPr>
        <w:t xml:space="preserve"> </w:t>
      </w:r>
      <w:r>
        <w:rPr>
          <w:lang w:val="en-US"/>
        </w:rPr>
        <w:t xml:space="preserve">143, at 149-157. </w:t>
      </w:r>
    </w:p>
  </w:footnote>
  <w:footnote w:id="5">
    <w:p w:rsidR="009E7AAD" w:rsidRPr="00132FCE" w:rsidRDefault="009E7AAD" w:rsidP="00E26802">
      <w:pPr>
        <w:pStyle w:val="FootnoteText"/>
        <w:rPr>
          <w:lang w:val="en-US"/>
        </w:rPr>
      </w:pPr>
      <w:r>
        <w:rPr>
          <w:rStyle w:val="FootnoteReference"/>
        </w:rPr>
        <w:footnoteRef/>
      </w:r>
      <w:r>
        <w:t xml:space="preserve"> See D. Bilchitz ‘A c</w:t>
      </w:r>
      <w:proofErr w:type="spellStart"/>
      <w:r>
        <w:rPr>
          <w:lang w:val="en-US"/>
        </w:rPr>
        <w:t>hasm</w:t>
      </w:r>
      <w:proofErr w:type="spellEnd"/>
      <w:r>
        <w:rPr>
          <w:lang w:val="en-US"/>
        </w:rPr>
        <w:t xml:space="preserve"> between ‘is’ and ‘ought’? A critique of the normative foundations of the SRSG’s Framework and the Guiding Principles’ in </w:t>
      </w:r>
      <w:proofErr w:type="spellStart"/>
      <w:r>
        <w:rPr>
          <w:lang w:val="en-US"/>
        </w:rPr>
        <w:t>S.Deva</w:t>
      </w:r>
      <w:proofErr w:type="spellEnd"/>
      <w:r>
        <w:rPr>
          <w:lang w:val="en-US"/>
        </w:rPr>
        <w:t xml:space="preserve"> and D. Bilchitz (eds.), </w:t>
      </w:r>
      <w:r w:rsidRPr="00036EE0">
        <w:rPr>
          <w:i/>
          <w:lang w:val="en-US"/>
        </w:rPr>
        <w:t>Human rights obligations of business: Beyond the corporate responsibility to respect?</w:t>
      </w:r>
      <w:r>
        <w:rPr>
          <w:lang w:val="en-US"/>
        </w:rPr>
        <w:t xml:space="preserve"> (Cambridge: Cambridge University Press 2013) 111-114. </w:t>
      </w:r>
    </w:p>
  </w:footnote>
  <w:footnote w:id="6">
    <w:p w:rsidR="009E7AAD" w:rsidRPr="00CB64D1" w:rsidRDefault="009E7AAD">
      <w:pPr>
        <w:pStyle w:val="FootnoteText"/>
        <w:rPr>
          <w:lang w:val="en-US"/>
        </w:rPr>
      </w:pPr>
      <w:r>
        <w:rPr>
          <w:rStyle w:val="FootnoteReference"/>
        </w:rPr>
        <w:footnoteRef/>
      </w:r>
      <w:r>
        <w:t xml:space="preserve"> </w:t>
      </w:r>
      <w:r>
        <w:rPr>
          <w:lang w:val="en-US"/>
        </w:rPr>
        <w:t>There is also an important question that arises as to which rights are the subject of obligations for corporations</w:t>
      </w:r>
      <w:r w:rsidR="005B20ED">
        <w:rPr>
          <w:lang w:val="en-US"/>
        </w:rPr>
        <w:t xml:space="preserve"> which cannot be addressed here</w:t>
      </w:r>
      <w:r w:rsidR="005B406F">
        <w:rPr>
          <w:lang w:val="en-US"/>
        </w:rPr>
        <w:t>.</w:t>
      </w:r>
    </w:p>
  </w:footnote>
  <w:footnote w:id="7">
    <w:p w:rsidR="00C4719A" w:rsidRPr="00C4719A" w:rsidRDefault="00C4719A">
      <w:pPr>
        <w:pStyle w:val="FootnoteText"/>
        <w:rPr>
          <w:rFonts w:asciiTheme="minorHAnsi" w:hAnsiTheme="minorHAnsi"/>
          <w:lang w:val="en-US"/>
        </w:rPr>
      </w:pPr>
      <w:r>
        <w:rPr>
          <w:rStyle w:val="FootnoteReference"/>
        </w:rPr>
        <w:footnoteRef/>
      </w:r>
      <w:r>
        <w:t xml:space="preserve"> See Bilchitz, n. </w:t>
      </w:r>
      <w:r w:rsidRPr="00C4719A">
        <w:rPr>
          <w:rFonts w:asciiTheme="minorHAnsi" w:hAnsiTheme="minorHAnsi"/>
        </w:rPr>
        <w:t xml:space="preserve">6 above and D. Bilchitz ‘Do Corporations Have Positive Fundamental Rights Obligations?’ (2010) 125 </w:t>
      </w:r>
      <w:proofErr w:type="spellStart"/>
      <w:r w:rsidRPr="00C4719A">
        <w:rPr>
          <w:rFonts w:asciiTheme="minorHAnsi" w:hAnsiTheme="minorHAnsi"/>
          <w:i/>
        </w:rPr>
        <w:t>Theoria</w:t>
      </w:r>
      <w:proofErr w:type="spellEnd"/>
      <w:r w:rsidRPr="00C4719A">
        <w:rPr>
          <w:rFonts w:asciiTheme="minorHAnsi" w:hAnsiTheme="minorHAnsi"/>
        </w:rPr>
        <w:t xml:space="preserve"> 11–26</w:t>
      </w:r>
      <w:r w:rsidR="005B406F">
        <w:rPr>
          <w:rFonts w:asciiTheme="minorHAnsi" w:hAnsiTheme="minorHAnsi"/>
        </w:rPr>
        <w:t xml:space="preserve">. </w:t>
      </w:r>
    </w:p>
  </w:footnote>
  <w:footnote w:id="8">
    <w:p w:rsidR="009E7AAD" w:rsidRPr="004F68FC" w:rsidRDefault="009E7AAD" w:rsidP="00024B3D">
      <w:pPr>
        <w:pStyle w:val="FootnoteText"/>
      </w:pPr>
      <w:r>
        <w:rPr>
          <w:rStyle w:val="FootnoteReference"/>
        </w:rPr>
        <w:footnoteRef/>
      </w:r>
      <w:r>
        <w:t xml:space="preserve"> 2002 (5) SA 401 (CC).</w:t>
      </w:r>
    </w:p>
  </w:footnote>
  <w:footnote w:id="9">
    <w:p w:rsidR="009E7AAD" w:rsidRPr="004F68FC" w:rsidRDefault="009E7AAD" w:rsidP="00024B3D">
      <w:pPr>
        <w:pStyle w:val="FootnoteText"/>
      </w:pPr>
      <w:r>
        <w:rPr>
          <w:rStyle w:val="FootnoteReference"/>
        </w:rPr>
        <w:footnoteRef/>
      </w:r>
      <w:r>
        <w:t xml:space="preserve"> </w:t>
      </w:r>
      <w:proofErr w:type="gramStart"/>
      <w:r w:rsidRPr="001A1DD8">
        <w:rPr>
          <w:i/>
        </w:rPr>
        <w:t>Ibid</w:t>
      </w:r>
      <w:r>
        <w:t>.,</w:t>
      </w:r>
      <w:proofErr w:type="gramEnd"/>
      <w:r>
        <w:t xml:space="preserve"> para 33.  </w:t>
      </w:r>
    </w:p>
  </w:footnote>
  <w:footnote w:id="10">
    <w:p w:rsidR="009E7AAD" w:rsidRPr="00087DD9" w:rsidRDefault="009E7AAD">
      <w:pPr>
        <w:pStyle w:val="FootnoteText"/>
      </w:pPr>
      <w:r>
        <w:rPr>
          <w:rStyle w:val="FootnoteReference"/>
        </w:rPr>
        <w:footnoteRef/>
      </w:r>
      <w:r>
        <w:t xml:space="preserve"> </w:t>
      </w:r>
      <w:r w:rsidR="005B406F">
        <w:t xml:space="preserve">See </w:t>
      </w:r>
      <w:r w:rsidR="005B20ED">
        <w:rPr>
          <w:lang w:val="en-US"/>
        </w:rPr>
        <w:t xml:space="preserve">K. Macdonald ‘Rethinking ‘Spheres of Responsibility’: Business Responsibility for Indirect Harm’ (2011) 99 </w:t>
      </w:r>
      <w:r w:rsidR="005B20ED" w:rsidRPr="00CF2B5D">
        <w:rPr>
          <w:i/>
          <w:lang w:val="en-US"/>
        </w:rPr>
        <w:t>Journal of Business Ethics</w:t>
      </w:r>
      <w:r w:rsidR="005B20ED">
        <w:rPr>
          <w:lang w:val="en-US"/>
        </w:rPr>
        <w:t xml:space="preserve"> 549</w:t>
      </w:r>
      <w:r w:rsidR="005B20ED">
        <w:rPr>
          <w:lang w:val="en-US"/>
        </w:rPr>
        <w:t xml:space="preserve"> at 550</w:t>
      </w:r>
      <w:r>
        <w:t xml:space="preserve"> explains that agent-relative accounts of responsibility concur on the central proposition that ‘attributions of responsibility rest solely or at least primarily on facts about agents and their relations to certain harmful or favourable events or states’.</w:t>
      </w:r>
    </w:p>
  </w:footnote>
  <w:footnote w:id="11">
    <w:p w:rsidR="009E7AAD" w:rsidRPr="00ED6A96" w:rsidRDefault="009E7AAD">
      <w:pPr>
        <w:pStyle w:val="FootnoteText"/>
        <w:rPr>
          <w:lang w:val="en-US"/>
        </w:rPr>
      </w:pPr>
      <w:r>
        <w:rPr>
          <w:rStyle w:val="FootnoteReference"/>
        </w:rPr>
        <w:footnoteRef/>
      </w:r>
      <w:r>
        <w:t xml:space="preserve"> </w:t>
      </w:r>
      <w:r w:rsidR="005B406F">
        <w:t xml:space="preserve">See </w:t>
      </w:r>
      <w:r>
        <w:rPr>
          <w:lang w:val="en-US"/>
        </w:rPr>
        <w:t xml:space="preserve">Robert </w:t>
      </w:r>
      <w:proofErr w:type="spellStart"/>
      <w:r>
        <w:rPr>
          <w:lang w:val="en-US"/>
        </w:rPr>
        <w:t>Alexy</w:t>
      </w:r>
      <w:proofErr w:type="spellEnd"/>
      <w:r>
        <w:rPr>
          <w:lang w:val="en-US"/>
        </w:rPr>
        <w:t xml:space="preserve"> </w:t>
      </w:r>
      <w:r w:rsidRPr="00772152">
        <w:rPr>
          <w:i/>
          <w:lang w:val="en-US"/>
        </w:rPr>
        <w:t>A Theory of Constitutional Rights</w:t>
      </w:r>
      <w:r>
        <w:rPr>
          <w:lang w:val="en-US"/>
        </w:rPr>
        <w:t xml:space="preserve"> trans. J. Rivers (Oxford University Press 2002).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92A6A"/>
    <w:multiLevelType w:val="hybridMultilevel"/>
    <w:tmpl w:val="539E2F50"/>
    <w:lvl w:ilvl="0" w:tplc="BF302750">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6467698"/>
    <w:multiLevelType w:val="hybridMultilevel"/>
    <w:tmpl w:val="06FEB44A"/>
    <w:lvl w:ilvl="0" w:tplc="9460C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1F76D6"/>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AE3F52"/>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59053F"/>
    <w:multiLevelType w:val="hybridMultilevel"/>
    <w:tmpl w:val="CCEAB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06"/>
    <w:rsid w:val="00001893"/>
    <w:rsid w:val="00006FCC"/>
    <w:rsid w:val="00024B3D"/>
    <w:rsid w:val="00027F6D"/>
    <w:rsid w:val="00031A9F"/>
    <w:rsid w:val="00033FE4"/>
    <w:rsid w:val="000343BA"/>
    <w:rsid w:val="00035A7C"/>
    <w:rsid w:val="00036EE0"/>
    <w:rsid w:val="00057CA7"/>
    <w:rsid w:val="000707C2"/>
    <w:rsid w:val="000725C6"/>
    <w:rsid w:val="00076B42"/>
    <w:rsid w:val="000837E8"/>
    <w:rsid w:val="0008577E"/>
    <w:rsid w:val="00087DD9"/>
    <w:rsid w:val="00091844"/>
    <w:rsid w:val="00092C66"/>
    <w:rsid w:val="000947B2"/>
    <w:rsid w:val="000A043D"/>
    <w:rsid w:val="000A2E3D"/>
    <w:rsid w:val="000A727B"/>
    <w:rsid w:val="000B5A73"/>
    <w:rsid w:val="000B76CF"/>
    <w:rsid w:val="000C4786"/>
    <w:rsid w:val="000D2B4E"/>
    <w:rsid w:val="000D2FC4"/>
    <w:rsid w:val="000D4012"/>
    <w:rsid w:val="000D57A3"/>
    <w:rsid w:val="000E0C66"/>
    <w:rsid w:val="000E478C"/>
    <w:rsid w:val="00113FB8"/>
    <w:rsid w:val="00123063"/>
    <w:rsid w:val="001260C1"/>
    <w:rsid w:val="00131A1F"/>
    <w:rsid w:val="00132FCE"/>
    <w:rsid w:val="0013319E"/>
    <w:rsid w:val="00137E29"/>
    <w:rsid w:val="00152BB1"/>
    <w:rsid w:val="001637B7"/>
    <w:rsid w:val="00183BC6"/>
    <w:rsid w:val="00194974"/>
    <w:rsid w:val="00196F65"/>
    <w:rsid w:val="001A1DD8"/>
    <w:rsid w:val="001A75E8"/>
    <w:rsid w:val="001B6DA4"/>
    <w:rsid w:val="001C1E1F"/>
    <w:rsid w:val="001C26AF"/>
    <w:rsid w:val="001E1A77"/>
    <w:rsid w:val="001E3522"/>
    <w:rsid w:val="001F631E"/>
    <w:rsid w:val="0020210F"/>
    <w:rsid w:val="0022123F"/>
    <w:rsid w:val="00224BBB"/>
    <w:rsid w:val="00232BFB"/>
    <w:rsid w:val="00243DA3"/>
    <w:rsid w:val="0024617B"/>
    <w:rsid w:val="00250858"/>
    <w:rsid w:val="002556E4"/>
    <w:rsid w:val="00257E35"/>
    <w:rsid w:val="00262BFC"/>
    <w:rsid w:val="0027395F"/>
    <w:rsid w:val="002929A7"/>
    <w:rsid w:val="00293B5D"/>
    <w:rsid w:val="00294272"/>
    <w:rsid w:val="00296103"/>
    <w:rsid w:val="002C48AB"/>
    <w:rsid w:val="002C4E97"/>
    <w:rsid w:val="002D0AA1"/>
    <w:rsid w:val="002D36E7"/>
    <w:rsid w:val="002D5DC0"/>
    <w:rsid w:val="002E2A8F"/>
    <w:rsid w:val="002E3CF2"/>
    <w:rsid w:val="002F1636"/>
    <w:rsid w:val="002F6610"/>
    <w:rsid w:val="00303F8E"/>
    <w:rsid w:val="003126BE"/>
    <w:rsid w:val="0034336F"/>
    <w:rsid w:val="003618A5"/>
    <w:rsid w:val="00382C74"/>
    <w:rsid w:val="00384C5E"/>
    <w:rsid w:val="00385782"/>
    <w:rsid w:val="003859AA"/>
    <w:rsid w:val="00392D78"/>
    <w:rsid w:val="00395E52"/>
    <w:rsid w:val="003B1820"/>
    <w:rsid w:val="003B34DF"/>
    <w:rsid w:val="003C339A"/>
    <w:rsid w:val="003C47D1"/>
    <w:rsid w:val="003D658F"/>
    <w:rsid w:val="003E5FD3"/>
    <w:rsid w:val="00414D33"/>
    <w:rsid w:val="00425051"/>
    <w:rsid w:val="00434868"/>
    <w:rsid w:val="00436215"/>
    <w:rsid w:val="00440594"/>
    <w:rsid w:val="00442266"/>
    <w:rsid w:val="00454F3F"/>
    <w:rsid w:val="0047047E"/>
    <w:rsid w:val="004764E3"/>
    <w:rsid w:val="004A0B0A"/>
    <w:rsid w:val="004A1884"/>
    <w:rsid w:val="004A3D54"/>
    <w:rsid w:val="004A42C0"/>
    <w:rsid w:val="004C4BDA"/>
    <w:rsid w:val="004D0DB7"/>
    <w:rsid w:val="004D1E35"/>
    <w:rsid w:val="004D40FA"/>
    <w:rsid w:val="004D4FF5"/>
    <w:rsid w:val="004D6A41"/>
    <w:rsid w:val="004F687B"/>
    <w:rsid w:val="005159F1"/>
    <w:rsid w:val="00521E89"/>
    <w:rsid w:val="00522621"/>
    <w:rsid w:val="00532B34"/>
    <w:rsid w:val="00546C21"/>
    <w:rsid w:val="00550C42"/>
    <w:rsid w:val="00551651"/>
    <w:rsid w:val="005555A5"/>
    <w:rsid w:val="00560950"/>
    <w:rsid w:val="00591FE4"/>
    <w:rsid w:val="005B20ED"/>
    <w:rsid w:val="005B406F"/>
    <w:rsid w:val="005C6837"/>
    <w:rsid w:val="005D0779"/>
    <w:rsid w:val="005D1BDE"/>
    <w:rsid w:val="005D4AA3"/>
    <w:rsid w:val="005E2076"/>
    <w:rsid w:val="005E393D"/>
    <w:rsid w:val="005F339A"/>
    <w:rsid w:val="005F33E3"/>
    <w:rsid w:val="00606590"/>
    <w:rsid w:val="00610B89"/>
    <w:rsid w:val="00616C6B"/>
    <w:rsid w:val="00624EB8"/>
    <w:rsid w:val="00631F76"/>
    <w:rsid w:val="00660851"/>
    <w:rsid w:val="006633F3"/>
    <w:rsid w:val="00665321"/>
    <w:rsid w:val="006742D5"/>
    <w:rsid w:val="006742E1"/>
    <w:rsid w:val="0068092F"/>
    <w:rsid w:val="0068168B"/>
    <w:rsid w:val="006834E6"/>
    <w:rsid w:val="00694135"/>
    <w:rsid w:val="00694BB5"/>
    <w:rsid w:val="00697DF8"/>
    <w:rsid w:val="006B569A"/>
    <w:rsid w:val="006C05B2"/>
    <w:rsid w:val="006C17F8"/>
    <w:rsid w:val="006D42B5"/>
    <w:rsid w:val="006E0AE9"/>
    <w:rsid w:val="006E4187"/>
    <w:rsid w:val="006E7887"/>
    <w:rsid w:val="0071735D"/>
    <w:rsid w:val="00746A20"/>
    <w:rsid w:val="007561E6"/>
    <w:rsid w:val="00756F72"/>
    <w:rsid w:val="0076054C"/>
    <w:rsid w:val="00764801"/>
    <w:rsid w:val="00765933"/>
    <w:rsid w:val="00772152"/>
    <w:rsid w:val="00777376"/>
    <w:rsid w:val="007838A5"/>
    <w:rsid w:val="00787B76"/>
    <w:rsid w:val="007907E1"/>
    <w:rsid w:val="00794210"/>
    <w:rsid w:val="007A377F"/>
    <w:rsid w:val="007A43F1"/>
    <w:rsid w:val="007A569C"/>
    <w:rsid w:val="007B3582"/>
    <w:rsid w:val="007C6A76"/>
    <w:rsid w:val="007D517D"/>
    <w:rsid w:val="007D616F"/>
    <w:rsid w:val="007E4102"/>
    <w:rsid w:val="00807123"/>
    <w:rsid w:val="00823530"/>
    <w:rsid w:val="00824E1B"/>
    <w:rsid w:val="00827188"/>
    <w:rsid w:val="00863761"/>
    <w:rsid w:val="00870F80"/>
    <w:rsid w:val="00873AF2"/>
    <w:rsid w:val="008806B6"/>
    <w:rsid w:val="00887457"/>
    <w:rsid w:val="00891003"/>
    <w:rsid w:val="008940EC"/>
    <w:rsid w:val="0089720E"/>
    <w:rsid w:val="008A562B"/>
    <w:rsid w:val="008A5A49"/>
    <w:rsid w:val="008A632A"/>
    <w:rsid w:val="008A7D76"/>
    <w:rsid w:val="008C2866"/>
    <w:rsid w:val="008C3697"/>
    <w:rsid w:val="008C7E90"/>
    <w:rsid w:val="008D76A1"/>
    <w:rsid w:val="008E35E5"/>
    <w:rsid w:val="008F575F"/>
    <w:rsid w:val="00900825"/>
    <w:rsid w:val="00906DEC"/>
    <w:rsid w:val="00915ECB"/>
    <w:rsid w:val="00942EAA"/>
    <w:rsid w:val="009613EB"/>
    <w:rsid w:val="0096230E"/>
    <w:rsid w:val="00963365"/>
    <w:rsid w:val="00972EF4"/>
    <w:rsid w:val="00984715"/>
    <w:rsid w:val="009932E3"/>
    <w:rsid w:val="00993BCC"/>
    <w:rsid w:val="0099633B"/>
    <w:rsid w:val="009A01D8"/>
    <w:rsid w:val="009A4EC8"/>
    <w:rsid w:val="009B0681"/>
    <w:rsid w:val="009B32FA"/>
    <w:rsid w:val="009C6011"/>
    <w:rsid w:val="009E046F"/>
    <w:rsid w:val="009E32FA"/>
    <w:rsid w:val="009E73DC"/>
    <w:rsid w:val="009E7AAD"/>
    <w:rsid w:val="009F2B59"/>
    <w:rsid w:val="009F45AA"/>
    <w:rsid w:val="00A110B2"/>
    <w:rsid w:val="00A217DA"/>
    <w:rsid w:val="00A23E51"/>
    <w:rsid w:val="00A2798C"/>
    <w:rsid w:val="00A503B2"/>
    <w:rsid w:val="00A61716"/>
    <w:rsid w:val="00A64F53"/>
    <w:rsid w:val="00A6647C"/>
    <w:rsid w:val="00A70FF9"/>
    <w:rsid w:val="00A94A62"/>
    <w:rsid w:val="00A97A0F"/>
    <w:rsid w:val="00AA1FBE"/>
    <w:rsid w:val="00AA4CED"/>
    <w:rsid w:val="00AA53BA"/>
    <w:rsid w:val="00AB0A96"/>
    <w:rsid w:val="00AB6C1B"/>
    <w:rsid w:val="00AC1FDB"/>
    <w:rsid w:val="00AF4250"/>
    <w:rsid w:val="00B135C7"/>
    <w:rsid w:val="00B22BE2"/>
    <w:rsid w:val="00B23DF8"/>
    <w:rsid w:val="00B52213"/>
    <w:rsid w:val="00B556EE"/>
    <w:rsid w:val="00B55A7D"/>
    <w:rsid w:val="00B63966"/>
    <w:rsid w:val="00B679DD"/>
    <w:rsid w:val="00B80938"/>
    <w:rsid w:val="00B83CEC"/>
    <w:rsid w:val="00B87ECE"/>
    <w:rsid w:val="00BA1E8A"/>
    <w:rsid w:val="00BA34BA"/>
    <w:rsid w:val="00BB0ADC"/>
    <w:rsid w:val="00BC79E2"/>
    <w:rsid w:val="00BD178F"/>
    <w:rsid w:val="00BE1C0E"/>
    <w:rsid w:val="00BE370F"/>
    <w:rsid w:val="00BE6A16"/>
    <w:rsid w:val="00BE6A58"/>
    <w:rsid w:val="00BF41C2"/>
    <w:rsid w:val="00C00DC1"/>
    <w:rsid w:val="00C0101E"/>
    <w:rsid w:val="00C05602"/>
    <w:rsid w:val="00C104F6"/>
    <w:rsid w:val="00C2208B"/>
    <w:rsid w:val="00C22F8D"/>
    <w:rsid w:val="00C36D97"/>
    <w:rsid w:val="00C36F58"/>
    <w:rsid w:val="00C4719A"/>
    <w:rsid w:val="00C54420"/>
    <w:rsid w:val="00C55E54"/>
    <w:rsid w:val="00C56953"/>
    <w:rsid w:val="00C718AD"/>
    <w:rsid w:val="00C767BF"/>
    <w:rsid w:val="00C87C90"/>
    <w:rsid w:val="00C97D14"/>
    <w:rsid w:val="00CA32DB"/>
    <w:rsid w:val="00CA44A3"/>
    <w:rsid w:val="00CB64D1"/>
    <w:rsid w:val="00CC692D"/>
    <w:rsid w:val="00CC7242"/>
    <w:rsid w:val="00CD3618"/>
    <w:rsid w:val="00CD5AD1"/>
    <w:rsid w:val="00CD795D"/>
    <w:rsid w:val="00CD7F52"/>
    <w:rsid w:val="00CE18AC"/>
    <w:rsid w:val="00CE75E1"/>
    <w:rsid w:val="00CF2B5D"/>
    <w:rsid w:val="00CF6715"/>
    <w:rsid w:val="00CF6759"/>
    <w:rsid w:val="00D0699E"/>
    <w:rsid w:val="00D10E9E"/>
    <w:rsid w:val="00D11969"/>
    <w:rsid w:val="00D11F7C"/>
    <w:rsid w:val="00D23126"/>
    <w:rsid w:val="00D26FB6"/>
    <w:rsid w:val="00D32515"/>
    <w:rsid w:val="00D4298A"/>
    <w:rsid w:val="00D60A56"/>
    <w:rsid w:val="00D6150E"/>
    <w:rsid w:val="00D669A3"/>
    <w:rsid w:val="00D74A78"/>
    <w:rsid w:val="00D8362D"/>
    <w:rsid w:val="00D87E9C"/>
    <w:rsid w:val="00D94222"/>
    <w:rsid w:val="00D96F92"/>
    <w:rsid w:val="00DA5789"/>
    <w:rsid w:val="00DA6C82"/>
    <w:rsid w:val="00DB7A18"/>
    <w:rsid w:val="00DC516E"/>
    <w:rsid w:val="00DC67FB"/>
    <w:rsid w:val="00DD57CD"/>
    <w:rsid w:val="00DE34D0"/>
    <w:rsid w:val="00DE3A99"/>
    <w:rsid w:val="00DE65FB"/>
    <w:rsid w:val="00E12283"/>
    <w:rsid w:val="00E1639A"/>
    <w:rsid w:val="00E2525F"/>
    <w:rsid w:val="00E26802"/>
    <w:rsid w:val="00E34526"/>
    <w:rsid w:val="00E40AEB"/>
    <w:rsid w:val="00E40F48"/>
    <w:rsid w:val="00E4202F"/>
    <w:rsid w:val="00E726CE"/>
    <w:rsid w:val="00E77176"/>
    <w:rsid w:val="00E84933"/>
    <w:rsid w:val="00E874B7"/>
    <w:rsid w:val="00E91B44"/>
    <w:rsid w:val="00E92129"/>
    <w:rsid w:val="00E97820"/>
    <w:rsid w:val="00EA2B60"/>
    <w:rsid w:val="00EA746D"/>
    <w:rsid w:val="00EB4B43"/>
    <w:rsid w:val="00EB75A3"/>
    <w:rsid w:val="00ED1E27"/>
    <w:rsid w:val="00ED6A96"/>
    <w:rsid w:val="00EE7534"/>
    <w:rsid w:val="00F00CA3"/>
    <w:rsid w:val="00F14FA6"/>
    <w:rsid w:val="00F16B94"/>
    <w:rsid w:val="00F24A67"/>
    <w:rsid w:val="00F51FE1"/>
    <w:rsid w:val="00F541D7"/>
    <w:rsid w:val="00F7100B"/>
    <w:rsid w:val="00F73B30"/>
    <w:rsid w:val="00F74D06"/>
    <w:rsid w:val="00F872D1"/>
    <w:rsid w:val="00F906E7"/>
    <w:rsid w:val="00FC61B0"/>
    <w:rsid w:val="00FD0D0F"/>
    <w:rsid w:val="00FD4943"/>
    <w:rsid w:val="00FD657E"/>
    <w:rsid w:val="00FE412F"/>
    <w:rsid w:val="00FF49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E758"/>
  <w15:chartTrackingRefBased/>
  <w15:docId w15:val="{DA1C9EF5-2E43-42A1-9FF5-74759449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887"/>
    <w:pPr>
      <w:spacing w:after="200" w:line="276" w:lineRule="auto"/>
    </w:pPr>
    <w:rPr>
      <w:rFonts w:ascii="Calibri" w:eastAsia="SimSun" w:hAnsi="Calibri"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97DF8"/>
    <w:pPr>
      <w:spacing w:after="0" w:line="240" w:lineRule="auto"/>
    </w:pPr>
    <w:rPr>
      <w:sz w:val="20"/>
      <w:szCs w:val="20"/>
    </w:rPr>
  </w:style>
  <w:style w:type="character" w:customStyle="1" w:styleId="FootnoteTextChar">
    <w:name w:val="Footnote Text Char"/>
    <w:basedOn w:val="DefaultParagraphFont"/>
    <w:link w:val="FootnoteText"/>
    <w:semiHidden/>
    <w:rsid w:val="00697DF8"/>
    <w:rPr>
      <w:rFonts w:ascii="Calibri" w:eastAsia="SimSun" w:hAnsi="Calibri" w:cs="Times New Roman"/>
      <w:sz w:val="20"/>
      <w:szCs w:val="20"/>
      <w:lang w:val="en-GB" w:eastAsia="zh-CN"/>
    </w:rPr>
  </w:style>
  <w:style w:type="character" w:styleId="FootnoteReference">
    <w:name w:val="footnote reference"/>
    <w:basedOn w:val="DefaultParagraphFont"/>
    <w:semiHidden/>
    <w:unhideWhenUsed/>
    <w:rsid w:val="00697DF8"/>
    <w:rPr>
      <w:vertAlign w:val="superscript"/>
    </w:rPr>
  </w:style>
  <w:style w:type="paragraph" w:styleId="ListParagraph">
    <w:name w:val="List Paragraph"/>
    <w:basedOn w:val="Normal"/>
    <w:uiPriority w:val="34"/>
    <w:qFormat/>
    <w:rsid w:val="00D4298A"/>
    <w:pPr>
      <w:ind w:left="720"/>
      <w:contextualSpacing/>
    </w:pPr>
  </w:style>
  <w:style w:type="character" w:customStyle="1" w:styleId="apple-converted-space">
    <w:name w:val="apple-converted-space"/>
    <w:basedOn w:val="DefaultParagraphFont"/>
    <w:rsid w:val="00A94A62"/>
  </w:style>
  <w:style w:type="character" w:styleId="CommentReference">
    <w:name w:val="annotation reference"/>
    <w:basedOn w:val="DefaultParagraphFont"/>
    <w:uiPriority w:val="99"/>
    <w:semiHidden/>
    <w:unhideWhenUsed/>
    <w:rsid w:val="00CF2B5D"/>
    <w:rPr>
      <w:sz w:val="16"/>
      <w:szCs w:val="16"/>
    </w:rPr>
  </w:style>
  <w:style w:type="paragraph" w:styleId="CommentText">
    <w:name w:val="annotation text"/>
    <w:basedOn w:val="Normal"/>
    <w:link w:val="CommentTextChar"/>
    <w:uiPriority w:val="99"/>
    <w:semiHidden/>
    <w:unhideWhenUsed/>
    <w:rsid w:val="00CF2B5D"/>
    <w:pPr>
      <w:spacing w:line="240" w:lineRule="auto"/>
    </w:pPr>
    <w:rPr>
      <w:sz w:val="20"/>
      <w:szCs w:val="20"/>
    </w:rPr>
  </w:style>
  <w:style w:type="character" w:customStyle="1" w:styleId="CommentTextChar">
    <w:name w:val="Comment Text Char"/>
    <w:basedOn w:val="DefaultParagraphFont"/>
    <w:link w:val="CommentText"/>
    <w:uiPriority w:val="99"/>
    <w:semiHidden/>
    <w:rsid w:val="00CF2B5D"/>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CF2B5D"/>
    <w:rPr>
      <w:b/>
      <w:bCs/>
    </w:rPr>
  </w:style>
  <w:style w:type="character" w:customStyle="1" w:styleId="CommentSubjectChar">
    <w:name w:val="Comment Subject Char"/>
    <w:basedOn w:val="CommentTextChar"/>
    <w:link w:val="CommentSubject"/>
    <w:uiPriority w:val="99"/>
    <w:semiHidden/>
    <w:rsid w:val="00CF2B5D"/>
    <w:rPr>
      <w:rFonts w:ascii="Calibri" w:eastAsia="SimSun" w:hAnsi="Calibri" w:cs="Times New Roman"/>
      <w:b/>
      <w:bCs/>
      <w:sz w:val="20"/>
      <w:szCs w:val="20"/>
      <w:lang w:val="en-GB" w:eastAsia="zh-CN"/>
    </w:rPr>
  </w:style>
  <w:style w:type="paragraph" w:styleId="BalloonText">
    <w:name w:val="Balloon Text"/>
    <w:basedOn w:val="Normal"/>
    <w:link w:val="BalloonTextChar"/>
    <w:uiPriority w:val="99"/>
    <w:semiHidden/>
    <w:unhideWhenUsed/>
    <w:rsid w:val="00CF2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B5D"/>
    <w:rPr>
      <w:rFonts w:ascii="Segoe UI" w:eastAsia="SimSun" w:hAnsi="Segoe UI" w:cs="Segoe UI"/>
      <w:sz w:val="18"/>
      <w:szCs w:val="18"/>
      <w:lang w:val="en-GB" w:eastAsia="zh-CN"/>
    </w:rPr>
  </w:style>
  <w:style w:type="character" w:styleId="Hyperlink">
    <w:name w:val="Hyperlink"/>
    <w:basedOn w:val="DefaultParagraphFont"/>
    <w:uiPriority w:val="99"/>
    <w:unhideWhenUsed/>
    <w:rsid w:val="00F24A67"/>
    <w:rPr>
      <w:color w:val="0000FF"/>
      <w:u w:val="single"/>
    </w:rPr>
  </w:style>
  <w:style w:type="paragraph" w:styleId="Revision">
    <w:name w:val="Revision"/>
    <w:hidden/>
    <w:uiPriority w:val="99"/>
    <w:semiHidden/>
    <w:rsid w:val="000343BA"/>
    <w:pPr>
      <w:spacing w:after="0" w:line="240" w:lineRule="auto"/>
    </w:pPr>
    <w:rPr>
      <w:rFonts w:ascii="Calibri" w:eastAsia="SimSun" w:hAnsi="Calibri" w:cs="Times New Roman"/>
      <w:lang w:val="en-GB" w:eastAsia="zh-CN"/>
    </w:rPr>
  </w:style>
  <w:style w:type="character" w:styleId="FollowedHyperlink">
    <w:name w:val="FollowedHyperlink"/>
    <w:basedOn w:val="DefaultParagraphFont"/>
    <w:uiPriority w:val="99"/>
    <w:semiHidden/>
    <w:unhideWhenUsed/>
    <w:rsid w:val="00436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85CAB-0964-40CF-AF07-D86C2275EEA7}"/>
</file>

<file path=customXml/itemProps2.xml><?xml version="1.0" encoding="utf-8"?>
<ds:datastoreItem xmlns:ds="http://schemas.openxmlformats.org/officeDocument/2006/customXml" ds:itemID="{017E1B52-EF06-45CF-A4BE-9F5DF26098C3}"/>
</file>

<file path=customXml/itemProps3.xml><?xml version="1.0" encoding="utf-8"?>
<ds:datastoreItem xmlns:ds="http://schemas.openxmlformats.org/officeDocument/2006/customXml" ds:itemID="{CDF940A6-DC93-411B-ABB0-80A8F224FE15}"/>
</file>

<file path=customXml/itemProps4.xml><?xml version="1.0" encoding="utf-8"?>
<ds:datastoreItem xmlns:ds="http://schemas.openxmlformats.org/officeDocument/2006/customXml" ds:itemID="{F1D336E9-474F-449E-BC9E-7960BB7929D3}"/>
</file>

<file path=docProps/app.xml><?xml version="1.0" encoding="utf-8"?>
<Properties xmlns="http://schemas.openxmlformats.org/officeDocument/2006/extended-properties" xmlns:vt="http://schemas.openxmlformats.org/officeDocument/2006/docPropsVTypes">
  <Template>Normal</Template>
  <TotalTime>4</TotalTime>
  <Pages>1</Pages>
  <Words>1742</Words>
  <Characters>9114</Characters>
  <Application>Microsoft Office Word</Application>
  <DocSecurity>0</DocSecurity>
  <Lines>126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Bilchitz, David</dc:creator>
  <cp:keywords/>
  <dc:description/>
  <cp:lastModifiedBy>Bilchitz, David</cp:lastModifiedBy>
  <cp:revision>3</cp:revision>
  <cp:lastPrinted>2016-08-30T10:48:00Z</cp:lastPrinted>
  <dcterms:created xsi:type="dcterms:W3CDTF">2016-08-30T10:45:00Z</dcterms:created>
  <dcterms:modified xsi:type="dcterms:W3CDTF">2016-08-30T10:48:00Z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