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E20" w:rsidRPr="000B7EA8" w:rsidRDefault="00551E20" w:rsidP="00551E20">
      <w:pPr>
        <w:pStyle w:val="ListParagraph"/>
        <w:ind w:left="0"/>
        <w:jc w:val="center"/>
        <w:rPr>
          <w:rFonts w:ascii="Times New Roman" w:hAnsi="Times New Roman" w:cs="Times New Roman"/>
          <w:bCs/>
          <w:sz w:val="20"/>
          <w:szCs w:val="20"/>
          <w:lang w:val="en-GB"/>
        </w:rPr>
      </w:pPr>
      <w:r w:rsidRPr="000B7EA8">
        <w:rPr>
          <w:rFonts w:ascii="Times New Roman" w:hAnsi="Times New Roman" w:cs="Times New Roman"/>
          <w:bCs/>
          <w:sz w:val="20"/>
          <w:szCs w:val="20"/>
          <w:lang w:val="en-GB"/>
        </w:rPr>
        <w:t>Written Submission by FIAN International</w:t>
      </w:r>
      <w:r>
        <w:rPr>
          <w:rFonts w:ascii="Times New Roman" w:hAnsi="Times New Roman" w:cs="Times New Roman"/>
          <w:bCs/>
          <w:sz w:val="20"/>
          <w:szCs w:val="20"/>
          <w:lang w:val="en-GB"/>
        </w:rPr>
        <w:t>, FI, CCFD, CCJ and SID</w:t>
      </w:r>
      <w:r w:rsidRPr="000B7EA8">
        <w:rPr>
          <w:rFonts w:ascii="Times New Roman" w:hAnsi="Times New Roman" w:cs="Times New Roman"/>
          <w:bCs/>
          <w:sz w:val="20"/>
          <w:szCs w:val="20"/>
          <w:lang w:val="en-GB"/>
        </w:rPr>
        <w:t xml:space="preserve"> for the second session of the Open-ended intergovernmental working group (OEIGWG) on transnational corporations and other business enterprises with respect to human rights (24-28 October 2016)</w:t>
      </w:r>
    </w:p>
    <w:p w:rsidR="00551E20" w:rsidRPr="000B7EA8" w:rsidRDefault="00551E20" w:rsidP="00551E20">
      <w:pPr>
        <w:jc w:val="center"/>
        <w:rPr>
          <w:rFonts w:ascii="Times New Roman" w:hAnsi="Times New Roman" w:cs="Times New Roman"/>
          <w:sz w:val="20"/>
          <w:szCs w:val="20"/>
          <w:lang w:val="en-GB"/>
        </w:rPr>
      </w:pPr>
      <w:r>
        <w:rPr>
          <w:rFonts w:ascii="Times New Roman" w:hAnsi="Times New Roman" w:cs="Times New Roman"/>
          <w:sz w:val="20"/>
          <w:szCs w:val="20"/>
          <w:lang w:val="en-GB"/>
        </w:rPr>
        <w:t>Part 5</w:t>
      </w:r>
      <w:bookmarkStart w:id="0" w:name="_GoBack"/>
      <w:bookmarkEnd w:id="0"/>
    </w:p>
    <w:p w:rsidR="00551E20" w:rsidRDefault="00551E20" w:rsidP="00551E20">
      <w:pPr>
        <w:jc w:val="right"/>
        <w:rPr>
          <w:rFonts w:ascii="Times New Roman" w:hAnsi="Times New Roman" w:cs="Times New Roman"/>
          <w:sz w:val="20"/>
          <w:szCs w:val="20"/>
          <w:lang w:val="en-GB"/>
        </w:rPr>
      </w:pPr>
      <w:r>
        <w:rPr>
          <w:rFonts w:ascii="Times New Roman" w:hAnsi="Times New Roman" w:cs="Times New Roman"/>
          <w:sz w:val="20"/>
          <w:szCs w:val="20"/>
          <w:lang w:val="en-GB"/>
        </w:rPr>
        <w:t>September 2016</w:t>
      </w:r>
    </w:p>
    <w:p w:rsidR="00551E20" w:rsidRPr="000B7EA8" w:rsidRDefault="00551E20" w:rsidP="00551E20">
      <w:pPr>
        <w:rPr>
          <w:rFonts w:ascii="Times New Roman" w:hAnsi="Times New Roman" w:cs="Times New Roman"/>
          <w:sz w:val="20"/>
          <w:szCs w:val="20"/>
          <w:lang w:val="en-GB"/>
        </w:rPr>
      </w:pPr>
      <w:r w:rsidRPr="000B7EA8">
        <w:rPr>
          <w:rFonts w:ascii="Times New Roman" w:hAnsi="Times New Roman" w:cs="Times New Roman"/>
          <w:sz w:val="20"/>
          <w:szCs w:val="20"/>
          <w:lang w:val="en-GB"/>
        </w:rPr>
        <w:t>10. Remedy mechanisms</w:t>
      </w:r>
    </w:p>
    <w:p w:rsidR="00551E20" w:rsidRPr="000B7EA8" w:rsidRDefault="00551E20" w:rsidP="00551E20">
      <w:pPr>
        <w:ind w:firstLine="720"/>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10.1 Right to effective remedy and reparation </w:t>
      </w:r>
    </w:p>
    <w:p w:rsidR="00551E20" w:rsidRPr="000B7EA8" w:rsidRDefault="00551E20" w:rsidP="00551E20">
      <w:pPr>
        <w:pStyle w:val="Corps"/>
        <w:jc w:val="both"/>
        <w:rPr>
          <w:rFonts w:ascii="Times New Roman" w:eastAsia="Verdana" w:hAnsi="Times New Roman" w:cs="Times New Roman"/>
          <w:sz w:val="20"/>
          <w:szCs w:val="20"/>
          <w:lang w:val="en-GB"/>
        </w:rPr>
      </w:pPr>
      <w:r w:rsidRPr="000B7EA8">
        <w:rPr>
          <w:rFonts w:ascii="Times New Roman" w:eastAsia="Verdana" w:hAnsi="Times New Roman" w:cs="Times New Roman"/>
          <w:sz w:val="20"/>
          <w:szCs w:val="20"/>
          <w:lang w:val="en-GB"/>
        </w:rPr>
        <w:t xml:space="preserve">Remedying abuses by business actors often poses important challenges to States, especially when transnational business entities are involved and when the so-called corporate veil allow business actors to escape liability. Specific difficulties may arise in cases in which there is a large group of (alleged) affected individuals or communities. More generally, “transnational” litigation is even more time and resource consuming than litigation in a purely domestic setting. </w:t>
      </w:r>
    </w:p>
    <w:p w:rsidR="00551E20" w:rsidRPr="000B7EA8" w:rsidRDefault="00551E20" w:rsidP="00551E20">
      <w:pPr>
        <w:pStyle w:val="Corps"/>
        <w:jc w:val="both"/>
        <w:rPr>
          <w:rFonts w:ascii="Times New Roman" w:eastAsia="Verdana" w:hAnsi="Times New Roman" w:cs="Times New Roman"/>
          <w:sz w:val="20"/>
          <w:szCs w:val="20"/>
          <w:lang w:val="en-GB"/>
        </w:rPr>
      </w:pPr>
    </w:p>
    <w:p w:rsidR="00551E20" w:rsidRPr="000B7EA8" w:rsidRDefault="00551E20" w:rsidP="00551E20">
      <w:pPr>
        <w:pStyle w:val="Corps"/>
        <w:jc w:val="both"/>
        <w:rPr>
          <w:rFonts w:ascii="Times New Roman" w:eastAsia="Verdana" w:hAnsi="Times New Roman" w:cs="Times New Roman"/>
          <w:sz w:val="20"/>
          <w:szCs w:val="20"/>
          <w:lang w:val="en-GB"/>
        </w:rPr>
      </w:pPr>
      <w:r w:rsidRPr="000B7EA8">
        <w:rPr>
          <w:rFonts w:ascii="Times New Roman" w:eastAsia="Verdana" w:hAnsi="Times New Roman" w:cs="Times New Roman"/>
          <w:sz w:val="20"/>
          <w:szCs w:val="20"/>
          <w:lang w:val="en-GB"/>
        </w:rPr>
        <w:t>The future legally binding instrument shall therefore require States to take necessary steps to address these challenges and difficulties, prevent denial of justice and ensure the right of victims of abuses and violations to effective remedy</w:t>
      </w:r>
      <w:r w:rsidRPr="000B7EA8">
        <w:rPr>
          <w:rStyle w:val="FootnoteReference"/>
          <w:rFonts w:ascii="Times New Roman" w:hAnsi="Times New Roman" w:cs="Times New Roman"/>
          <w:sz w:val="20"/>
          <w:szCs w:val="20"/>
          <w:lang w:val="en-GB"/>
        </w:rPr>
        <w:footnoteReference w:id="1"/>
      </w:r>
      <w:r w:rsidRPr="000B7EA8">
        <w:rPr>
          <w:rFonts w:ascii="Times New Roman" w:eastAsia="Verdana" w:hAnsi="Times New Roman" w:cs="Times New Roman"/>
          <w:sz w:val="20"/>
          <w:szCs w:val="20"/>
          <w:lang w:val="en-GB"/>
        </w:rPr>
        <w:t xml:space="preserve"> and reparation. Remedies shall thus be available and effective. For a remedy to be effective, those seeking it must have prompt access to an independent authority, which has the power to determine whether a violation has taken place and to order cessation of the violation and reparation to redress harm. Under the right to an effective remedy, victims must be ensured of the cessation of the violation and of “full and effective reparation…which include the following forms: restitution, compensation, rehabilitation, satisfaction and guarantees of non-repetition”</w:t>
      </w:r>
      <w:r w:rsidRPr="000B7EA8">
        <w:rPr>
          <w:rStyle w:val="FootnoteReference"/>
          <w:rFonts w:ascii="Times New Roman" w:hAnsi="Times New Roman" w:cs="Times New Roman"/>
          <w:sz w:val="20"/>
          <w:szCs w:val="20"/>
          <w:lang w:val="en-GB"/>
        </w:rPr>
        <w:t xml:space="preserve"> </w:t>
      </w:r>
      <w:r w:rsidRPr="000B7EA8">
        <w:rPr>
          <w:rStyle w:val="FootnoteReference"/>
          <w:rFonts w:ascii="Times New Roman" w:hAnsi="Times New Roman" w:cs="Times New Roman"/>
          <w:sz w:val="20"/>
          <w:szCs w:val="20"/>
          <w:lang w:val="en-GB"/>
        </w:rPr>
        <w:footnoteReference w:id="2"/>
      </w:r>
      <w:r w:rsidRPr="000B7EA8">
        <w:rPr>
          <w:rFonts w:ascii="Times New Roman" w:eastAsia="Verdana" w:hAnsi="Times New Roman" w:cs="Times New Roman"/>
          <w:sz w:val="20"/>
          <w:szCs w:val="20"/>
          <w:lang w:val="en-GB"/>
        </w:rPr>
        <w:t xml:space="preserve">. This implies, notably, that States should adapt and reform their domestic procedural laws and the administration of justice in order to address normative, procedural and practical obstacles. In particular, procedures allowing for group or class actions, and for public interest litigation should be put in place; legal aid schemes should be foreseen in litigation of business abuses; </w:t>
      </w:r>
      <w:r w:rsidRPr="00256A20">
        <w:rPr>
          <w:rFonts w:ascii="Times New Roman" w:eastAsia="Verdana" w:hAnsi="Times New Roman" w:cs="Times New Roman"/>
          <w:sz w:val="20"/>
          <w:szCs w:val="20"/>
          <w:lang w:val="en-GB"/>
        </w:rPr>
        <w:t>provisions should be made to enable to gather and use of evidence and testimonies across borders.</w:t>
      </w:r>
      <w:r>
        <w:rPr>
          <w:rFonts w:ascii="Times New Roman" w:eastAsia="Verdana" w:hAnsi="Times New Roman" w:cs="Times New Roman"/>
          <w:sz w:val="20"/>
          <w:szCs w:val="20"/>
          <w:lang w:val="en-GB"/>
        </w:rPr>
        <w:t xml:space="preserve"> </w:t>
      </w:r>
    </w:p>
    <w:p w:rsidR="00551E20" w:rsidRPr="000B7EA8" w:rsidRDefault="00551E20" w:rsidP="00551E20">
      <w:pPr>
        <w:pStyle w:val="Corps"/>
        <w:jc w:val="both"/>
        <w:rPr>
          <w:rFonts w:ascii="Times New Roman" w:eastAsia="Verdana" w:hAnsi="Times New Roman" w:cs="Times New Roman"/>
          <w:sz w:val="20"/>
          <w:szCs w:val="20"/>
          <w:lang w:val="en-GB"/>
        </w:rPr>
      </w:pPr>
    </w:p>
    <w:p w:rsidR="00551E20" w:rsidRPr="000B7EA8" w:rsidRDefault="00551E20" w:rsidP="00551E20">
      <w:pPr>
        <w:pStyle w:val="Corps"/>
        <w:jc w:val="both"/>
        <w:rPr>
          <w:rFonts w:ascii="Times New Roman" w:eastAsia="Verdana" w:hAnsi="Times New Roman" w:cs="Times New Roman"/>
          <w:sz w:val="20"/>
          <w:szCs w:val="20"/>
          <w:shd w:val="clear" w:color="auto" w:fill="FFFF00"/>
          <w:lang w:val="en-GB"/>
        </w:rPr>
      </w:pPr>
      <w:r w:rsidRPr="000B7EA8">
        <w:rPr>
          <w:rFonts w:ascii="Times New Roman" w:eastAsia="Verdana" w:hAnsi="Times New Roman" w:cs="Times New Roman"/>
          <w:sz w:val="20"/>
          <w:szCs w:val="20"/>
          <w:lang w:val="en-GB"/>
        </w:rPr>
        <w:t xml:space="preserve">The submitting organisations recall that </w:t>
      </w:r>
      <w:r w:rsidRPr="000B7EA8">
        <w:rPr>
          <w:rFonts w:ascii="Times New Roman" w:eastAsia="Verdana" w:hAnsi="Times New Roman" w:cs="Times New Roman"/>
          <w:sz w:val="20"/>
          <w:szCs w:val="20"/>
          <w:shd w:val="clear" w:color="auto" w:fill="FEFEFE"/>
          <w:lang w:val="en-GB"/>
        </w:rPr>
        <w:t xml:space="preserve">through ratification or accession to the IHRL treaties, all States branches of government are bound to the obligations. The judiciary has thus an essential role in ensuring the right to effective remedy in cases of abuses or violations in the context of business activities. It is therefore of utmost importance that justice actors, and in particular judges and lawyers, have the necessary knowledge about human rights standards, the obligations of their State, and enforce laws that prevent, protect against and /or remedy abuses of human rights by TNCs and other business entities. Justice actors have to be guaranteed independence and have to be accountable, especially as corruption may be a particular issue in the context of litigation involving business actors. In addition, judges have a specific role to play and a deep influence on the protection of rights and on the guarantee of the right to </w:t>
      </w:r>
      <w:r w:rsidRPr="000B7EA8">
        <w:rPr>
          <w:rFonts w:ascii="Times New Roman" w:eastAsia="Verdana" w:hAnsi="Times New Roman" w:cs="Times New Roman"/>
          <w:sz w:val="20"/>
          <w:szCs w:val="20"/>
          <w:shd w:val="clear" w:color="auto" w:fill="FEFEFE"/>
          <w:lang w:val="en-GB"/>
        </w:rPr>
        <w:lastRenderedPageBreak/>
        <w:t xml:space="preserve">an effective remedy, for instance, through the use of judicial doctrines such as the one of </w:t>
      </w:r>
      <w:r w:rsidRPr="000B7EA8">
        <w:rPr>
          <w:rFonts w:ascii="Times New Roman" w:eastAsia="Verdana" w:hAnsi="Times New Roman" w:cs="Times New Roman"/>
          <w:iCs/>
          <w:sz w:val="20"/>
          <w:szCs w:val="20"/>
          <w:shd w:val="clear" w:color="auto" w:fill="FEFEFE"/>
          <w:lang w:val="en-GB"/>
        </w:rPr>
        <w:t xml:space="preserve">forum non </w:t>
      </w:r>
      <w:proofErr w:type="spellStart"/>
      <w:r w:rsidRPr="000B7EA8">
        <w:rPr>
          <w:rFonts w:ascii="Times New Roman" w:eastAsia="Verdana" w:hAnsi="Times New Roman" w:cs="Times New Roman"/>
          <w:iCs/>
          <w:sz w:val="20"/>
          <w:szCs w:val="20"/>
          <w:shd w:val="clear" w:color="auto" w:fill="FEFEFE"/>
          <w:lang w:val="en-GB"/>
        </w:rPr>
        <w:t>conveniens</w:t>
      </w:r>
      <w:proofErr w:type="spellEnd"/>
      <w:r w:rsidRPr="000B7EA8">
        <w:rPr>
          <w:rFonts w:ascii="Times New Roman" w:eastAsia="Verdana" w:hAnsi="Times New Roman" w:cs="Times New Roman"/>
          <w:iCs/>
          <w:sz w:val="20"/>
          <w:szCs w:val="20"/>
          <w:shd w:val="clear" w:color="auto" w:fill="FEFEFE"/>
          <w:lang w:val="en-GB"/>
        </w:rPr>
        <w:t xml:space="preserve"> </w:t>
      </w:r>
      <w:r w:rsidRPr="000B7EA8">
        <w:rPr>
          <w:rFonts w:ascii="Times New Roman" w:eastAsia="Verdana" w:hAnsi="Times New Roman" w:cs="Times New Roman"/>
          <w:sz w:val="20"/>
          <w:szCs w:val="20"/>
          <w:shd w:val="clear" w:color="auto" w:fill="FEFEFE"/>
          <w:lang w:val="en-GB"/>
        </w:rPr>
        <w:t xml:space="preserve">under which cases, especially those with an extraterritorial dimension, may be dismissed by a court who considers that another one is </w:t>
      </w:r>
      <w:r>
        <w:rPr>
          <w:rFonts w:ascii="Times New Roman" w:eastAsia="Verdana" w:hAnsi="Times New Roman" w:cs="Times New Roman"/>
          <w:sz w:val="20"/>
          <w:szCs w:val="20"/>
          <w:shd w:val="clear" w:color="auto" w:fill="FEFEFE"/>
          <w:lang w:val="en-GB"/>
        </w:rPr>
        <w:t>better placed to hear the case.</w:t>
      </w:r>
      <w:r w:rsidRPr="000B7EA8">
        <w:rPr>
          <w:rFonts w:ascii="Times New Roman" w:eastAsia="Verdana" w:hAnsi="Times New Roman" w:cs="Times New Roman"/>
          <w:sz w:val="20"/>
          <w:szCs w:val="20"/>
          <w:shd w:val="clear" w:color="auto" w:fill="FEFEFE"/>
          <w:lang w:val="en-GB"/>
        </w:rPr>
        <w:t xml:space="preserve"> Another area in which judges have a particularly powerful interpretive and protective role concerns the cases in which States argue public or general interest to justify actions to the benefit of business activities to the detriment of the enjoyment of human rights of individuals and groups affected by these activities. </w:t>
      </w:r>
    </w:p>
    <w:p w:rsidR="00551E20" w:rsidRPr="000B7EA8" w:rsidRDefault="00551E20" w:rsidP="00551E20">
      <w:pPr>
        <w:pStyle w:val="Corps"/>
        <w:rPr>
          <w:rFonts w:ascii="Times New Roman" w:eastAsia="Verdana" w:hAnsi="Times New Roman" w:cs="Times New Roman"/>
          <w:sz w:val="20"/>
          <w:szCs w:val="20"/>
          <w:lang w:val="en-GB"/>
        </w:rPr>
      </w:pPr>
    </w:p>
    <w:p w:rsidR="00551E20" w:rsidRPr="000B7EA8" w:rsidRDefault="00551E20" w:rsidP="00551E20">
      <w:pPr>
        <w:pStyle w:val="Corps"/>
        <w:tabs>
          <w:tab w:val="left" w:pos="887"/>
          <w:tab w:val="left" w:pos="905"/>
          <w:tab w:val="left" w:pos="924"/>
          <w:tab w:val="left" w:pos="945"/>
          <w:tab w:val="left" w:pos="968"/>
          <w:tab w:val="left" w:pos="993"/>
          <w:tab w:val="left" w:pos="1020"/>
        </w:tabs>
        <w:rPr>
          <w:rFonts w:ascii="Times New Roman" w:eastAsia="Verdana" w:hAnsi="Times New Roman" w:cs="Times New Roman"/>
          <w:bCs/>
          <w:sz w:val="20"/>
          <w:szCs w:val="20"/>
          <w:lang w:val="en-GB"/>
        </w:rPr>
      </w:pPr>
      <w:r w:rsidRPr="000B7EA8">
        <w:rPr>
          <w:rFonts w:ascii="Times New Roman" w:hAnsi="Times New Roman" w:cs="Times New Roman"/>
          <w:bCs/>
          <w:sz w:val="20"/>
          <w:szCs w:val="20"/>
          <w:lang w:val="en-GB"/>
        </w:rPr>
        <w:tab/>
        <w:t>10.2 Types of remedies</w:t>
      </w:r>
    </w:p>
    <w:p w:rsidR="00551E20" w:rsidRPr="000B7EA8" w:rsidRDefault="00551E20" w:rsidP="00551E20">
      <w:pPr>
        <w:pStyle w:val="Corps"/>
        <w:rPr>
          <w:rFonts w:ascii="Times New Roman" w:eastAsia="Verdana" w:hAnsi="Times New Roman" w:cs="Times New Roman"/>
          <w:sz w:val="20"/>
          <w:szCs w:val="20"/>
          <w:lang w:val="en-GB"/>
        </w:rPr>
      </w:pPr>
    </w:p>
    <w:p w:rsidR="00551E20" w:rsidRPr="000B7EA8" w:rsidRDefault="00551E20" w:rsidP="00551E20">
      <w:pPr>
        <w:pStyle w:val="Corps"/>
        <w:jc w:val="both"/>
        <w:rPr>
          <w:rFonts w:ascii="Times New Roman" w:eastAsia="Verdana" w:hAnsi="Times New Roman" w:cs="Times New Roman"/>
          <w:sz w:val="20"/>
          <w:szCs w:val="20"/>
          <w:lang w:val="en-GB"/>
        </w:rPr>
      </w:pPr>
      <w:r w:rsidRPr="000B7EA8">
        <w:rPr>
          <w:rFonts w:ascii="Times New Roman" w:eastAsia="Verdana" w:hAnsi="Times New Roman" w:cs="Times New Roman"/>
          <w:sz w:val="20"/>
          <w:szCs w:val="20"/>
          <w:lang w:val="en-GB"/>
        </w:rPr>
        <w:t xml:space="preserve">Mechanisms aimed at ensuring accountability for abuses by </w:t>
      </w:r>
      <w:r>
        <w:rPr>
          <w:rFonts w:ascii="Times New Roman" w:eastAsia="Verdana" w:hAnsi="Times New Roman" w:cs="Times New Roman"/>
          <w:sz w:val="20"/>
          <w:szCs w:val="20"/>
          <w:lang w:val="en-GB"/>
        </w:rPr>
        <w:t>corporate</w:t>
      </w:r>
      <w:r w:rsidRPr="000B7EA8">
        <w:rPr>
          <w:rFonts w:ascii="Times New Roman" w:eastAsia="Verdana" w:hAnsi="Times New Roman" w:cs="Times New Roman"/>
          <w:sz w:val="20"/>
          <w:szCs w:val="20"/>
          <w:lang w:val="en-GB"/>
        </w:rPr>
        <w:t xml:space="preserve"> actors may take various forms. However, effective remedies must include judicial remedies as described above. Judicial remedies must be made available to all affected individuals and communities without discrimination to their financial or other situation. Non-judicial mechanisms can sometimes fail to bring effective redress and satisfaction to the alleged affected individuals and communities.</w:t>
      </w:r>
    </w:p>
    <w:p w:rsidR="00551E20" w:rsidRPr="000B7EA8" w:rsidRDefault="00551E20" w:rsidP="00551E20">
      <w:pPr>
        <w:pStyle w:val="Corps"/>
        <w:rPr>
          <w:rFonts w:ascii="Times New Roman" w:eastAsia="Verdana" w:hAnsi="Times New Roman" w:cs="Times New Roman"/>
          <w:sz w:val="20"/>
          <w:szCs w:val="20"/>
          <w:lang w:val="en-GB"/>
        </w:rPr>
      </w:pPr>
    </w:p>
    <w:p w:rsidR="00551E20" w:rsidRPr="000B7EA8" w:rsidRDefault="00551E20" w:rsidP="00551E20">
      <w:pPr>
        <w:pStyle w:val="Corps"/>
        <w:ind w:left="720" w:firstLine="720"/>
        <w:rPr>
          <w:rFonts w:ascii="Times New Roman" w:eastAsia="Times New Roman" w:hAnsi="Times New Roman" w:cs="Times New Roman"/>
          <w:sz w:val="20"/>
          <w:szCs w:val="20"/>
          <w:shd w:val="clear" w:color="auto" w:fill="9CE159"/>
          <w:lang w:val="en-GB"/>
        </w:rPr>
      </w:pPr>
      <w:r w:rsidRPr="000B7EA8">
        <w:rPr>
          <w:rFonts w:ascii="Times New Roman" w:eastAsia="Verdana" w:hAnsi="Times New Roman" w:cs="Times New Roman"/>
          <w:iCs/>
          <w:sz w:val="20"/>
          <w:szCs w:val="20"/>
          <w:lang w:val="en-GB"/>
        </w:rPr>
        <w:t>10.2.1 Judicial remedies</w:t>
      </w:r>
    </w:p>
    <w:p w:rsidR="00551E20" w:rsidRPr="000B7EA8" w:rsidRDefault="00551E20" w:rsidP="00551E20">
      <w:pPr>
        <w:pStyle w:val="PardfautAA"/>
        <w:widowControl w:val="0"/>
        <w:tabs>
          <w:tab w:val="left" w:pos="1113"/>
          <w:tab w:val="left" w:pos="1140"/>
          <w:tab w:val="left" w:pos="1170"/>
        </w:tabs>
        <w:spacing w:after="120"/>
        <w:jc w:val="both"/>
        <w:rPr>
          <w:rFonts w:ascii="Times New Roman" w:eastAsia="Times New Roman" w:hAnsi="Times New Roman" w:cs="Times New Roman"/>
          <w:sz w:val="20"/>
          <w:szCs w:val="20"/>
          <w:shd w:val="clear" w:color="auto" w:fill="9CE159"/>
          <w:lang w:val="en-GB"/>
        </w:rPr>
      </w:pPr>
    </w:p>
    <w:p w:rsidR="00551E20" w:rsidRPr="000B7EA8" w:rsidRDefault="00551E20" w:rsidP="00551E20">
      <w:pPr>
        <w:pStyle w:val="PardfautAA"/>
        <w:widowControl w:val="0"/>
        <w:tabs>
          <w:tab w:val="left" w:pos="1113"/>
          <w:tab w:val="left" w:pos="1140"/>
          <w:tab w:val="left" w:pos="1170"/>
        </w:tabs>
        <w:spacing w:after="120"/>
        <w:jc w:val="both"/>
        <w:rPr>
          <w:rFonts w:ascii="Times New Roman" w:eastAsia="Times New Roman" w:hAnsi="Times New Roman" w:cs="Times New Roman"/>
          <w:sz w:val="20"/>
          <w:szCs w:val="20"/>
          <w:shd w:val="clear" w:color="auto" w:fill="9CE159"/>
          <w:lang w:val="en-GB"/>
        </w:rPr>
      </w:pPr>
      <w:r w:rsidRPr="000B7EA8">
        <w:rPr>
          <w:rFonts w:ascii="Times New Roman" w:eastAsia="Verdana" w:hAnsi="Times New Roman" w:cs="Times New Roman"/>
          <w:sz w:val="20"/>
          <w:szCs w:val="20"/>
          <w:shd w:val="clear" w:color="auto" w:fill="FEFEFE"/>
          <w:lang w:val="en-GB"/>
        </w:rPr>
        <w:t xml:space="preserve">Judicial remedies themselves can be provided in different areas of law. Since the violations of human rights essentially involve a claim from an individual or group of individual against the State, constitutional and administrative remedies are of particular relevance. However, some domestic legal systems foresee the horizontal effect of constitutional human rights protections and thus victims may directly introduce a petition against a business actor. Additionally, especially in the context of business activities, civil and criminal remedies may play an important role in the redress of abuses of </w:t>
      </w:r>
      <w:r>
        <w:rPr>
          <w:rFonts w:ascii="Times New Roman" w:eastAsia="Verdana" w:hAnsi="Times New Roman" w:cs="Times New Roman"/>
          <w:sz w:val="20"/>
          <w:szCs w:val="20"/>
          <w:shd w:val="clear" w:color="auto" w:fill="FEFEFE"/>
          <w:lang w:val="en-GB"/>
        </w:rPr>
        <w:t>human</w:t>
      </w:r>
      <w:r w:rsidRPr="000B7EA8">
        <w:rPr>
          <w:rFonts w:ascii="Times New Roman" w:eastAsia="Verdana" w:hAnsi="Times New Roman" w:cs="Times New Roman"/>
          <w:sz w:val="20"/>
          <w:szCs w:val="20"/>
          <w:shd w:val="clear" w:color="auto" w:fill="FEFEFE"/>
          <w:lang w:val="en-GB"/>
        </w:rPr>
        <w:t xml:space="preserve"> rights. </w:t>
      </w:r>
    </w:p>
    <w:p w:rsidR="00551E20" w:rsidRPr="000B7EA8" w:rsidRDefault="00551E20" w:rsidP="00551E20">
      <w:pPr>
        <w:pStyle w:val="PardfautAA"/>
        <w:widowControl w:val="0"/>
        <w:numPr>
          <w:ilvl w:val="2"/>
          <w:numId w:val="1"/>
        </w:numPr>
        <w:tabs>
          <w:tab w:val="left" w:pos="1113"/>
          <w:tab w:val="left" w:pos="1140"/>
          <w:tab w:val="left" w:pos="1170"/>
        </w:tabs>
        <w:spacing w:after="120"/>
        <w:ind w:left="540" w:hanging="180"/>
        <w:jc w:val="both"/>
        <w:rPr>
          <w:rFonts w:ascii="Times New Roman" w:eastAsia="Times New Roman" w:hAnsi="Times New Roman" w:cs="Times New Roman"/>
          <w:sz w:val="20"/>
          <w:szCs w:val="20"/>
          <w:shd w:val="clear" w:color="auto" w:fill="9CE159"/>
          <w:lang w:val="en-GB"/>
        </w:rPr>
      </w:pPr>
      <w:r w:rsidRPr="000B7EA8">
        <w:rPr>
          <w:rFonts w:ascii="Times New Roman" w:eastAsia="Verdana" w:hAnsi="Times New Roman" w:cs="Times New Roman"/>
          <w:iCs/>
          <w:sz w:val="20"/>
          <w:szCs w:val="20"/>
          <w:shd w:val="clear" w:color="auto" w:fill="FEFEFE"/>
          <w:lang w:val="en-GB"/>
        </w:rPr>
        <w:t>Civil</w:t>
      </w:r>
      <w:r w:rsidRPr="000B7EA8">
        <w:rPr>
          <w:rFonts w:ascii="Times New Roman" w:eastAsia="Verdana" w:hAnsi="Times New Roman" w:cs="Times New Roman"/>
          <w:sz w:val="20"/>
          <w:szCs w:val="20"/>
          <w:shd w:val="clear" w:color="auto" w:fill="FEFEFE"/>
          <w:lang w:val="en-GB"/>
        </w:rPr>
        <w:t>. In the majority of domestic legal systems, civil remedies represent the most natural avenue for victims of abuses by business actors to claim their rights and obtain reparation, including compensation and damage awards. Depending on the system concerned, they can be pursued in parallel or in addition to criminal remedies. Civil law remedies may also be available in the context of consumer protection and may represent an important avenue for redress for abuses of rights committed by business actors. The submitting organisations call on States to also make civil remedies available extraterritorially, when victims of abuses live abroad.</w:t>
      </w:r>
    </w:p>
    <w:p w:rsidR="00551E20" w:rsidRPr="000B7EA8" w:rsidRDefault="00551E20" w:rsidP="00551E20">
      <w:pPr>
        <w:pStyle w:val="PardfautAA"/>
        <w:widowControl w:val="0"/>
        <w:numPr>
          <w:ilvl w:val="2"/>
          <w:numId w:val="1"/>
        </w:numPr>
        <w:tabs>
          <w:tab w:val="left" w:pos="1113"/>
          <w:tab w:val="left" w:pos="1140"/>
          <w:tab w:val="left" w:pos="1170"/>
        </w:tabs>
        <w:spacing w:after="120"/>
        <w:ind w:left="540" w:hanging="180"/>
        <w:jc w:val="both"/>
        <w:rPr>
          <w:rFonts w:ascii="Times New Roman" w:eastAsia="Verdana" w:hAnsi="Times New Roman" w:cs="Times New Roman"/>
          <w:iCs/>
          <w:sz w:val="20"/>
          <w:szCs w:val="20"/>
          <w:shd w:val="clear" w:color="auto" w:fill="FEFEFE"/>
          <w:lang w:val="en-GB"/>
        </w:rPr>
      </w:pPr>
      <w:r w:rsidRPr="000B7EA8">
        <w:rPr>
          <w:rFonts w:ascii="Times New Roman" w:hAnsi="Times New Roman" w:cs="Times New Roman"/>
          <w:iCs/>
          <w:sz w:val="20"/>
          <w:szCs w:val="20"/>
          <w:shd w:val="clear" w:color="auto" w:fill="FEFEFE"/>
          <w:lang w:val="en-GB"/>
        </w:rPr>
        <w:t xml:space="preserve">Criminal. </w:t>
      </w:r>
      <w:r w:rsidRPr="000B7EA8">
        <w:rPr>
          <w:rFonts w:ascii="Times New Roman" w:hAnsi="Times New Roman" w:cs="Times New Roman"/>
          <w:sz w:val="20"/>
          <w:szCs w:val="20"/>
          <w:shd w:val="clear" w:color="auto" w:fill="FEFEFE"/>
          <w:lang w:val="en-GB"/>
        </w:rPr>
        <w:t>Criminal law remedies</w:t>
      </w:r>
      <w:r w:rsidRPr="000B7EA8">
        <w:rPr>
          <w:rFonts w:ascii="Times New Roman" w:hAnsi="Times New Roman" w:cs="Times New Roman"/>
          <w:iCs/>
          <w:sz w:val="20"/>
          <w:szCs w:val="20"/>
          <w:shd w:val="clear" w:color="auto" w:fill="FEFEFE"/>
          <w:lang w:val="en-GB"/>
        </w:rPr>
        <w:t xml:space="preserve"> </w:t>
      </w:r>
      <w:r w:rsidRPr="000B7EA8">
        <w:rPr>
          <w:rFonts w:ascii="Times New Roman" w:hAnsi="Times New Roman" w:cs="Times New Roman"/>
          <w:sz w:val="20"/>
          <w:szCs w:val="20"/>
          <w:shd w:val="clear" w:color="auto" w:fill="FEFEFE"/>
          <w:lang w:val="en-GB"/>
        </w:rPr>
        <w:t xml:space="preserve">may not be the first or principal avenue for victims of abuses by business actors to seek redress. However, they may be relevant on two accounts: a) when an abuse of a </w:t>
      </w:r>
      <w:r>
        <w:rPr>
          <w:rFonts w:ascii="Times New Roman" w:hAnsi="Times New Roman" w:cs="Times New Roman"/>
          <w:sz w:val="20"/>
          <w:szCs w:val="20"/>
          <w:shd w:val="clear" w:color="auto" w:fill="FEFEFE"/>
          <w:lang w:val="en-GB"/>
        </w:rPr>
        <w:t>human</w:t>
      </w:r>
      <w:r w:rsidRPr="000B7EA8">
        <w:rPr>
          <w:rFonts w:ascii="Times New Roman" w:hAnsi="Times New Roman" w:cs="Times New Roman"/>
          <w:sz w:val="20"/>
          <w:szCs w:val="20"/>
          <w:shd w:val="clear" w:color="auto" w:fill="FEFEFE"/>
          <w:lang w:val="en-GB"/>
        </w:rPr>
        <w:t xml:space="preserve"> right may amount to a crime or offense under national or international law; and, b) when the penal sanction of the perpetrator of the abuse contributes to ensure satisfaction of the victims as an element of the right to reparation as defined in international law and/or have a deterrent and preventive effect and thus contribute to the guarantee of non-repetition of abuses and violations. </w:t>
      </w:r>
      <w:r w:rsidRPr="000B7EA8">
        <w:rPr>
          <w:rFonts w:ascii="Times New Roman" w:hAnsi="Times New Roman" w:cs="Times New Roman"/>
          <w:iCs/>
          <w:sz w:val="20"/>
          <w:szCs w:val="20"/>
          <w:shd w:val="clear" w:color="auto" w:fill="FEFEFE"/>
          <w:lang w:val="en-GB"/>
        </w:rPr>
        <w:t xml:space="preserve"> </w:t>
      </w:r>
    </w:p>
    <w:p w:rsidR="00551E20" w:rsidRPr="000B7EA8" w:rsidRDefault="00551E20" w:rsidP="00551E20">
      <w:pPr>
        <w:pStyle w:val="PardfautAA"/>
        <w:widowControl w:val="0"/>
        <w:numPr>
          <w:ilvl w:val="2"/>
          <w:numId w:val="1"/>
        </w:numPr>
        <w:tabs>
          <w:tab w:val="left" w:pos="1113"/>
          <w:tab w:val="left" w:pos="1140"/>
          <w:tab w:val="left" w:pos="1170"/>
        </w:tabs>
        <w:ind w:left="540" w:hanging="180"/>
        <w:jc w:val="both"/>
        <w:rPr>
          <w:rFonts w:ascii="Times New Roman" w:eastAsia="Verdana" w:hAnsi="Times New Roman" w:cs="Times New Roman"/>
          <w:bCs/>
          <w:iCs/>
          <w:sz w:val="20"/>
          <w:szCs w:val="20"/>
          <w:shd w:val="clear" w:color="auto" w:fill="FEFEFE"/>
          <w:lang w:val="en-GB"/>
        </w:rPr>
      </w:pPr>
      <w:r w:rsidRPr="000B7EA8">
        <w:rPr>
          <w:rFonts w:ascii="Times New Roman" w:hAnsi="Times New Roman" w:cs="Times New Roman"/>
          <w:iCs/>
          <w:sz w:val="20"/>
          <w:szCs w:val="20"/>
          <w:shd w:val="clear" w:color="auto" w:fill="FEFEFE"/>
          <w:lang w:val="en-GB"/>
        </w:rPr>
        <w:t xml:space="preserve">Administrative. </w:t>
      </w:r>
      <w:r w:rsidRPr="000B7EA8">
        <w:rPr>
          <w:rFonts w:ascii="Times New Roman" w:hAnsi="Times New Roman" w:cs="Times New Roman"/>
          <w:sz w:val="20"/>
          <w:szCs w:val="20"/>
          <w:shd w:val="clear" w:color="auto" w:fill="FEFEFE"/>
          <w:lang w:val="en-GB"/>
        </w:rPr>
        <w:t>Administrative law and remedies, while they are typically dedicated to the regulation of the conduct of governmental bodies at central and local levels, can play an important role in preventing and redressing abuses by business actors in a variety of ways. Under certain domestic legal systems, business actors may be considered as State agents and be directly suable before an administrative court. In addition, administrative remedies may be pursued to challenge administrative decisions regarding licences of exploration and exploitation of natural resources; the regulation of building licences for housing or industrial infrastructures; the regulation and the administration of education, health facilities or of services including water or electricity.</w:t>
      </w:r>
    </w:p>
    <w:p w:rsidR="00551E20" w:rsidRPr="000B7EA8" w:rsidRDefault="00551E20" w:rsidP="00551E20">
      <w:pPr>
        <w:pStyle w:val="PardfautAA"/>
        <w:widowControl w:val="0"/>
        <w:tabs>
          <w:tab w:val="left" w:pos="540"/>
          <w:tab w:val="left" w:pos="556"/>
          <w:tab w:val="left" w:pos="1113"/>
          <w:tab w:val="left" w:pos="1140"/>
          <w:tab w:val="left" w:pos="1170"/>
        </w:tabs>
        <w:jc w:val="both"/>
        <w:rPr>
          <w:rFonts w:ascii="Times New Roman" w:eastAsia="Verdana" w:hAnsi="Times New Roman" w:cs="Times New Roman"/>
          <w:sz w:val="20"/>
          <w:szCs w:val="20"/>
          <w:shd w:val="clear" w:color="auto" w:fill="FEFEFE"/>
          <w:lang w:val="en-GB"/>
        </w:rPr>
      </w:pPr>
    </w:p>
    <w:p w:rsidR="00551E20" w:rsidRPr="000B7EA8" w:rsidRDefault="00551E20" w:rsidP="00551E20">
      <w:pPr>
        <w:pStyle w:val="PardfautAA"/>
        <w:widowControl w:val="0"/>
        <w:tabs>
          <w:tab w:val="left" w:pos="0"/>
        </w:tabs>
        <w:jc w:val="both"/>
        <w:rPr>
          <w:rFonts w:ascii="Times New Roman" w:eastAsia="Verdana" w:hAnsi="Times New Roman" w:cs="Times New Roman"/>
          <w:iCs/>
          <w:sz w:val="20"/>
          <w:szCs w:val="20"/>
          <w:shd w:val="clear" w:color="auto" w:fill="FEFEFE"/>
          <w:lang w:val="en-GB"/>
        </w:rPr>
      </w:pPr>
      <w:r w:rsidRPr="000B7EA8">
        <w:rPr>
          <w:rFonts w:ascii="Times New Roman" w:eastAsia="Verdana" w:hAnsi="Times New Roman" w:cs="Times New Roman"/>
          <w:sz w:val="20"/>
          <w:szCs w:val="20"/>
          <w:shd w:val="clear" w:color="auto" w:fill="FEFEFE"/>
          <w:lang w:val="en-GB"/>
        </w:rPr>
        <w:tab/>
      </w:r>
      <w:r w:rsidRPr="000B7EA8">
        <w:rPr>
          <w:rFonts w:ascii="Times New Roman" w:eastAsia="Verdana" w:hAnsi="Times New Roman" w:cs="Times New Roman"/>
          <w:sz w:val="20"/>
          <w:szCs w:val="20"/>
          <w:shd w:val="clear" w:color="auto" w:fill="FEFEFE"/>
          <w:lang w:val="en-GB"/>
        </w:rPr>
        <w:tab/>
        <w:t>10.2.2 N</w:t>
      </w:r>
      <w:r w:rsidRPr="000B7EA8">
        <w:rPr>
          <w:rFonts w:ascii="Times New Roman" w:eastAsia="Verdana" w:hAnsi="Times New Roman" w:cs="Times New Roman"/>
          <w:iCs/>
          <w:sz w:val="20"/>
          <w:szCs w:val="20"/>
          <w:shd w:val="clear" w:color="auto" w:fill="FEFEFE"/>
          <w:lang w:val="en-GB"/>
        </w:rPr>
        <w:t>on-judicial remedies</w:t>
      </w:r>
    </w:p>
    <w:p w:rsidR="00551E20" w:rsidRPr="000B7EA8" w:rsidRDefault="00551E20" w:rsidP="00551E20">
      <w:pPr>
        <w:pStyle w:val="PardfautAA"/>
        <w:widowControl w:val="0"/>
        <w:tabs>
          <w:tab w:val="left" w:pos="1113"/>
          <w:tab w:val="left" w:pos="1140"/>
          <w:tab w:val="left" w:pos="1170"/>
        </w:tabs>
        <w:jc w:val="both"/>
        <w:rPr>
          <w:rFonts w:ascii="Times New Roman" w:eastAsia="Verdana" w:hAnsi="Times New Roman" w:cs="Times New Roman"/>
          <w:bCs/>
          <w:iCs/>
          <w:sz w:val="20"/>
          <w:szCs w:val="20"/>
          <w:shd w:val="clear" w:color="auto" w:fill="FEFEFE"/>
          <w:lang w:val="en-GB"/>
        </w:rPr>
      </w:pPr>
    </w:p>
    <w:p w:rsidR="00551E20" w:rsidRPr="000B7EA8" w:rsidRDefault="00551E20" w:rsidP="00551E20">
      <w:pPr>
        <w:pStyle w:val="PardfautAA"/>
        <w:widowControl w:val="0"/>
        <w:tabs>
          <w:tab w:val="left" w:pos="1113"/>
          <w:tab w:val="left" w:pos="1140"/>
          <w:tab w:val="left" w:pos="1170"/>
        </w:tabs>
        <w:spacing w:after="120"/>
        <w:jc w:val="both"/>
        <w:rPr>
          <w:rFonts w:ascii="Times New Roman" w:eastAsia="Verdana" w:hAnsi="Times New Roman" w:cs="Times New Roman"/>
          <w:sz w:val="20"/>
          <w:szCs w:val="20"/>
          <w:shd w:val="clear" w:color="auto" w:fill="FEFEFE"/>
          <w:lang w:val="en-GB"/>
        </w:rPr>
      </w:pPr>
      <w:r w:rsidRPr="00256A20">
        <w:rPr>
          <w:rFonts w:ascii="Times New Roman" w:eastAsia="Verdana" w:hAnsi="Times New Roman" w:cs="Times New Roman"/>
          <w:sz w:val="20"/>
          <w:szCs w:val="20"/>
          <w:shd w:val="clear" w:color="auto" w:fill="FEFEFE"/>
          <w:lang w:val="en-GB"/>
        </w:rPr>
        <w:t>Non-judicial remedies must not replace judicial mechanisms. However they may contribute to remedy and redress abuses of human rights, and contribute to accountability,</w:t>
      </w:r>
      <w:r w:rsidRPr="00256A20">
        <w:rPr>
          <w:rFonts w:ascii="Times New Roman" w:eastAsia="Verdana" w:hAnsi="Times New Roman" w:cs="Times New Roman"/>
          <w:sz w:val="20"/>
          <w:szCs w:val="20"/>
          <w:shd w:val="clear" w:color="auto" w:fill="FEFEFE"/>
          <w:vertAlign w:val="superscript"/>
          <w:lang w:val="en-GB"/>
        </w:rPr>
        <w:footnoteReference w:id="3"/>
      </w:r>
      <w:r w:rsidRPr="00256A20">
        <w:rPr>
          <w:rFonts w:ascii="Times New Roman" w:eastAsia="Verdana" w:hAnsi="Times New Roman" w:cs="Times New Roman"/>
          <w:sz w:val="20"/>
          <w:szCs w:val="20"/>
          <w:shd w:val="clear" w:color="auto" w:fill="FEFEFE"/>
          <w:lang w:val="en-GB"/>
        </w:rPr>
        <w:t xml:space="preserve"> if they do not prevent adequate reparation.</w:t>
      </w:r>
      <w:r w:rsidRPr="00256A20">
        <w:rPr>
          <w:rFonts w:ascii="Times New Roman" w:eastAsia="Verdana" w:hAnsi="Times New Roman" w:cs="Times New Roman"/>
          <w:sz w:val="20"/>
          <w:szCs w:val="20"/>
          <w:shd w:val="clear" w:color="auto" w:fill="FEFEFE"/>
          <w:vertAlign w:val="superscript"/>
          <w:lang w:val="en-GB"/>
        </w:rPr>
        <w:footnoteReference w:id="4"/>
      </w:r>
    </w:p>
    <w:p w:rsidR="00551E20" w:rsidRPr="000B7EA8" w:rsidRDefault="00551E20" w:rsidP="00551E20">
      <w:pPr>
        <w:ind w:firstLine="720"/>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10.3 International accountability mechanisms</w:t>
      </w:r>
    </w:p>
    <w:p w:rsidR="00551E20" w:rsidRPr="000B7EA8" w:rsidRDefault="00551E20" w:rsidP="00551E20">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lastRenderedPageBreak/>
        <w:t xml:space="preserve">Finally, we reiterate that at the international level, a treaty body should be created with the mandate to monitor the implementation and interpret the provisions of the Treaty. Moreover a study centre on TNCs and other business enterprises should be created, that assists the treaty body in its monitoring efforts and provides information of public interest of TNC activities which adversely impact human rights.  </w:t>
      </w:r>
    </w:p>
    <w:p w:rsidR="001434A0" w:rsidRPr="00551E20" w:rsidRDefault="001434A0">
      <w:pPr>
        <w:rPr>
          <w:lang w:val="en-GB"/>
        </w:rPr>
      </w:pPr>
    </w:p>
    <w:sectPr w:rsidR="001434A0" w:rsidRPr="00551E2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20" w:rsidRDefault="00551E20" w:rsidP="00551E20">
      <w:pPr>
        <w:spacing w:after="0" w:line="240" w:lineRule="auto"/>
      </w:pPr>
      <w:r>
        <w:separator/>
      </w:r>
    </w:p>
  </w:endnote>
  <w:endnote w:type="continuationSeparator" w:id="0">
    <w:p w:rsidR="00551E20" w:rsidRDefault="00551E20" w:rsidP="0055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20" w:rsidRDefault="00551E20" w:rsidP="00551E20">
      <w:pPr>
        <w:spacing w:after="0" w:line="240" w:lineRule="auto"/>
      </w:pPr>
      <w:r>
        <w:separator/>
      </w:r>
    </w:p>
  </w:footnote>
  <w:footnote w:type="continuationSeparator" w:id="0">
    <w:p w:rsidR="00551E20" w:rsidRDefault="00551E20" w:rsidP="00551E20">
      <w:pPr>
        <w:spacing w:after="0" w:line="240" w:lineRule="auto"/>
      </w:pPr>
      <w:r>
        <w:continuationSeparator/>
      </w:r>
    </w:p>
  </w:footnote>
  <w:footnote w:id="1">
    <w:p w:rsidR="00551E20" w:rsidRPr="00B91DD2" w:rsidRDefault="00551E20" w:rsidP="00551E20">
      <w:pPr>
        <w:pStyle w:val="FootnoteText"/>
        <w:jc w:val="both"/>
        <w:rPr>
          <w:rFonts w:ascii="Times New Roman" w:hAnsi="Times New Roman" w:cs="Times New Roman"/>
          <w:sz w:val="18"/>
          <w:szCs w:val="18"/>
        </w:rPr>
      </w:pPr>
      <w:r w:rsidRPr="00B91DD2">
        <w:rPr>
          <w:rStyle w:val="FootnoteReference"/>
          <w:rFonts w:ascii="Times New Roman" w:hAnsi="Times New Roman" w:cs="Times New Roman"/>
          <w:sz w:val="18"/>
          <w:szCs w:val="18"/>
        </w:rPr>
        <w:footnoteRef/>
      </w:r>
      <w:r w:rsidRPr="00B91DD2">
        <w:rPr>
          <w:rFonts w:ascii="Times New Roman" w:hAnsi="Times New Roman" w:cs="Times New Roman"/>
          <w:sz w:val="18"/>
          <w:szCs w:val="18"/>
        </w:rPr>
        <w:t xml:space="preserve"> On access to remedy see: UDHR art. 8;</w:t>
      </w:r>
      <w:r w:rsidRPr="00B91DD2">
        <w:rPr>
          <w:rFonts w:ascii="Times New Roman" w:eastAsia="MS Mincho" w:hAnsi="Times New Roman" w:cs="Times New Roman"/>
          <w:sz w:val="18"/>
          <w:szCs w:val="18"/>
          <w:lang w:eastAsia="ja-JP"/>
        </w:rPr>
        <w:t xml:space="preserve"> </w:t>
      </w:r>
      <w:r w:rsidRPr="00B91DD2">
        <w:rPr>
          <w:rFonts w:ascii="Times New Roman" w:hAnsi="Times New Roman" w:cs="Times New Roman"/>
          <w:sz w:val="18"/>
          <w:szCs w:val="18"/>
        </w:rPr>
        <w:t>the ICCPR (Article 2 (3)); Convention against Torture and other Forms of Cruel, Inhuman or Degrading Treatment or Punishment (Articles 13 and 14); the International Convention on the Elimination of All Forms of Racial Discrimination (Article 6); the Convention on the Rights of the Child (Article 39); the American Convention on Human Rights (Articles 25 and 63 (1)); the African Charter on Human and Peoples’ Rights (Article 7(1)(a)); the Arab Charter on Human Rights (Articles 12 and 23); the European Convention on Human Rights (Articles 5 (5), 13 and 41); the Charter of Fundamental Rights of the EU (Article 47) and the Vienna Declaration and Program of Action (Article 27). Although the International Covenant on Economic, Social and Cultural Rights makes no express provision regarding remedy, the Committee has reaffirmed that an obligation to provide remedies is inherent in the Covenant,  for example, in General Comment 9</w:t>
      </w:r>
      <w:r w:rsidRPr="00B91DD2">
        <w:rPr>
          <w:rFonts w:ascii="Times New Roman" w:eastAsia="MS Mincho" w:hAnsi="Times New Roman" w:cs="Times New Roman"/>
          <w:iCs/>
          <w:sz w:val="18"/>
          <w:szCs w:val="18"/>
          <w:lang w:eastAsia="ja-JP"/>
        </w:rPr>
        <w:t xml:space="preserve"> on </w:t>
      </w:r>
      <w:r w:rsidRPr="00B91DD2">
        <w:rPr>
          <w:rFonts w:ascii="Times New Roman" w:hAnsi="Times New Roman" w:cs="Times New Roman"/>
          <w:iCs/>
          <w:sz w:val="18"/>
          <w:szCs w:val="18"/>
        </w:rPr>
        <w:t>The Domestic Application of the Covenant</w:t>
      </w:r>
      <w:r w:rsidRPr="00B91DD2">
        <w:rPr>
          <w:rFonts w:ascii="Times New Roman" w:hAnsi="Times New Roman" w:cs="Times New Roman"/>
          <w:sz w:val="18"/>
          <w:szCs w:val="18"/>
        </w:rPr>
        <w:t xml:space="preserve">, </w:t>
      </w:r>
      <w:r w:rsidRPr="00B91DD2">
        <w:rPr>
          <w:rFonts w:ascii="Times New Roman" w:hAnsi="Times New Roman" w:cs="Times New Roman"/>
          <w:iCs/>
          <w:sz w:val="18"/>
          <w:szCs w:val="18"/>
        </w:rPr>
        <w:t xml:space="preserve">adopted </w:t>
      </w:r>
      <w:r w:rsidRPr="00B91DD2">
        <w:rPr>
          <w:rFonts w:ascii="Times New Roman" w:hAnsi="Times New Roman" w:cs="Times New Roman"/>
          <w:sz w:val="18"/>
          <w:szCs w:val="18"/>
        </w:rPr>
        <w:t>in Dec. 1998, U.N. Doc. E/C.12/1998/24 (1998).</w:t>
      </w:r>
    </w:p>
  </w:footnote>
  <w:footnote w:id="2">
    <w:p w:rsidR="00551E20" w:rsidRPr="00B91DD2" w:rsidRDefault="00551E20" w:rsidP="00551E20">
      <w:pPr>
        <w:pStyle w:val="Corps"/>
        <w:jc w:val="both"/>
        <w:rPr>
          <w:rFonts w:ascii="Times New Roman" w:eastAsia="Verdana" w:hAnsi="Times New Roman" w:cs="Times New Roman"/>
          <w:sz w:val="18"/>
          <w:szCs w:val="18"/>
          <w:lang w:val="en-US"/>
        </w:rPr>
      </w:pPr>
      <w:r w:rsidRPr="00B91DD2">
        <w:rPr>
          <w:rStyle w:val="FootnoteReference"/>
          <w:rFonts w:ascii="Times New Roman" w:hAnsi="Times New Roman" w:cs="Times New Roman"/>
          <w:sz w:val="18"/>
          <w:szCs w:val="18"/>
        </w:rPr>
        <w:footnoteRef/>
      </w:r>
      <w:r w:rsidRPr="00B91DD2">
        <w:rPr>
          <w:rFonts w:ascii="Times New Roman" w:hAnsi="Times New Roman" w:cs="Times New Roman"/>
          <w:sz w:val="18"/>
          <w:szCs w:val="18"/>
          <w:lang w:val="en-GB"/>
        </w:rPr>
        <w:t xml:space="preserve"> </w:t>
      </w:r>
      <w:r w:rsidRPr="00B91DD2">
        <w:rPr>
          <w:rFonts w:ascii="Times New Roman" w:eastAsia="Verdana" w:hAnsi="Times New Roman" w:cs="Times New Roman"/>
          <w:sz w:val="18"/>
          <w:szCs w:val="18"/>
          <w:lang w:val="en-US"/>
        </w:rPr>
        <w:t xml:space="preserve">The United Nations </w:t>
      </w:r>
      <w:hyperlink r:id="rId1" w:history="1">
        <w:r w:rsidRPr="00B91DD2">
          <w:rPr>
            <w:rStyle w:val="Hyperlink4"/>
            <w:rFonts w:ascii="Times New Roman" w:hAnsi="Times New Roman" w:cs="Times New Roman"/>
            <w:sz w:val="18"/>
            <w:szCs w:val="18"/>
          </w:rPr>
          <w:t>Basic Principles and Guidelines on the Right to a Remedy and Reparation for Victims of Gross Violations of International Human Rights Law and Serious Violations of International Humanitarian Law</w:t>
        </w:r>
      </w:hyperlink>
      <w:r w:rsidRPr="00B91DD2">
        <w:rPr>
          <w:rFonts w:ascii="Times New Roman" w:eastAsia="Verdana" w:hAnsi="Times New Roman" w:cs="Times New Roman"/>
          <w:sz w:val="18"/>
          <w:szCs w:val="18"/>
          <w:lang w:val="en-US"/>
        </w:rPr>
        <w:t>, establishes at its Principle 3 that “the obligation to respect, ensure respect for and implement international human rights law and international humanitarian law as provided for under the respective bodies of law, includes, inter alia, the duty to: (a) Take appropriate legislative and administrative and other appropriate measures to prevent violations; (b) Investigate violations effectively, promptly, thoroughly and impartially and, where appropriate, take action against those allegedly responsible in accordance with domestic and international law; (c) Provide those who claim to be victims of a human rights or humanitarian law violation with equal and effective access to justice, as described below, irrespective of who may ultimately be the bearer of responsibility for the violation; and (d) Provide effective remedies to victims, including reparation…”</w:t>
      </w:r>
    </w:p>
    <w:p w:rsidR="00551E20" w:rsidRPr="005252BD" w:rsidRDefault="00551E20" w:rsidP="00551E20">
      <w:pPr>
        <w:pStyle w:val="Corps"/>
        <w:jc w:val="both"/>
        <w:rPr>
          <w:rFonts w:ascii="Times New Roman" w:eastAsia="Verdana" w:hAnsi="Times New Roman" w:cs="Times New Roman"/>
          <w:sz w:val="20"/>
          <w:szCs w:val="20"/>
          <w:lang w:val="en-US"/>
        </w:rPr>
      </w:pPr>
    </w:p>
    <w:p w:rsidR="00551E20" w:rsidRPr="00A4112F" w:rsidRDefault="00551E20" w:rsidP="00551E20">
      <w:pPr>
        <w:pStyle w:val="FootnoteText"/>
      </w:pPr>
    </w:p>
  </w:footnote>
  <w:footnote w:id="3">
    <w:p w:rsidR="00551E20" w:rsidRPr="00B91DD2" w:rsidRDefault="00551E20" w:rsidP="00551E20">
      <w:pPr>
        <w:pStyle w:val="NotedebasdepageA"/>
        <w:jc w:val="both"/>
        <w:rPr>
          <w:rFonts w:ascii="Times New Roman" w:hAnsi="Times New Roman" w:cs="Times New Roman"/>
          <w:sz w:val="18"/>
          <w:szCs w:val="18"/>
          <w:lang w:val="en-US"/>
        </w:rPr>
      </w:pPr>
      <w:r w:rsidRPr="00B91DD2">
        <w:rPr>
          <w:rFonts w:ascii="Times New Roman" w:eastAsia="Verdana" w:hAnsi="Times New Roman" w:cs="Times New Roman"/>
          <w:sz w:val="18"/>
          <w:szCs w:val="18"/>
          <w:shd w:val="clear" w:color="auto" w:fill="FEFEFE"/>
          <w:vertAlign w:val="superscript"/>
          <w:lang w:val="en-US"/>
        </w:rPr>
        <w:footnoteRef/>
      </w:r>
      <w:r w:rsidRPr="00B91DD2">
        <w:rPr>
          <w:rFonts w:ascii="Times New Roman" w:eastAsia="Verdana" w:hAnsi="Times New Roman" w:cs="Times New Roman"/>
          <w:sz w:val="18"/>
          <w:szCs w:val="18"/>
          <w:lang w:val="en-US"/>
        </w:rPr>
        <w:t xml:space="preserve"> United Nations Guiding Principles on Business and Human Rights, Guiding Principle 27: Non- judicial mechanisms can be national or international, State-based or non-State- based.</w:t>
      </w:r>
    </w:p>
  </w:footnote>
  <w:footnote w:id="4">
    <w:p w:rsidR="00551E20" w:rsidRPr="00A267F4" w:rsidRDefault="00551E20" w:rsidP="00551E20">
      <w:pPr>
        <w:pStyle w:val="NotedebasdepageA"/>
        <w:jc w:val="both"/>
        <w:rPr>
          <w:lang w:val="en-US"/>
        </w:rPr>
      </w:pPr>
      <w:r w:rsidRPr="00B91DD2">
        <w:rPr>
          <w:rFonts w:ascii="Times New Roman" w:eastAsia="Verdana" w:hAnsi="Times New Roman" w:cs="Times New Roman"/>
          <w:sz w:val="18"/>
          <w:szCs w:val="18"/>
          <w:shd w:val="clear" w:color="auto" w:fill="FEFEFE"/>
          <w:vertAlign w:val="superscript"/>
          <w:lang w:val="en-US"/>
        </w:rPr>
        <w:footnoteRef/>
      </w:r>
      <w:r>
        <w:rPr>
          <w:rFonts w:ascii="Times New Roman" w:eastAsia="Verdana" w:hAnsi="Times New Roman" w:cs="Times New Roman"/>
          <w:sz w:val="18"/>
          <w:szCs w:val="18"/>
          <w:lang w:val="en-US"/>
        </w:rPr>
        <w:t xml:space="preserve"> ibid</w:t>
      </w:r>
      <w:r w:rsidRPr="00B91DD2">
        <w:rPr>
          <w:rFonts w:ascii="Times New Roman" w:eastAsia="Verdana" w:hAnsi="Times New Roman" w:cs="Times New Roman"/>
          <w:sz w:val="18"/>
          <w:szCs w:val="18"/>
          <w:lang w:val="en-US"/>
        </w:rPr>
        <w:t>, Principle 31.</w:t>
      </w:r>
      <w:r>
        <w:rPr>
          <w:rFonts w:ascii="Times New Roman" w:eastAsia="Verdana" w:hAnsi="Times New Roman" w:cs="Times New Roman"/>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E440E"/>
    <w:multiLevelType w:val="multilevel"/>
    <w:tmpl w:val="0E6EF214"/>
    <w:styleLink w:val="List6"/>
    <w:lvl w:ilvl="0">
      <w:start w:val="1"/>
      <w:numFmt w:val="bullet"/>
      <w:lvlText w:val="•"/>
      <w:lvlJc w:val="left"/>
      <w:pPr>
        <w:tabs>
          <w:tab w:val="num" w:pos="180"/>
        </w:tabs>
        <w:ind w:left="180" w:hanging="180"/>
      </w:pPr>
      <w:rPr>
        <w:rFonts w:ascii="Verdana" w:eastAsia="Verdana" w:hAnsi="Verdana" w:cs="Verdana"/>
        <w:i/>
        <w:iCs/>
        <w:position w:val="0"/>
        <w:sz w:val="24"/>
        <w:szCs w:val="24"/>
        <w:shd w:val="clear" w:color="auto" w:fill="FEFEFE"/>
        <w:lang w:val="en-US"/>
      </w:rPr>
    </w:lvl>
    <w:lvl w:ilvl="1">
      <w:start w:val="1"/>
      <w:numFmt w:val="bullet"/>
      <w:lvlText w:val="•"/>
      <w:lvlJc w:val="left"/>
      <w:pPr>
        <w:tabs>
          <w:tab w:val="num" w:pos="360"/>
        </w:tabs>
        <w:ind w:left="360" w:hanging="196"/>
      </w:pPr>
      <w:rPr>
        <w:rFonts w:ascii="Verdana" w:eastAsia="Verdana" w:hAnsi="Verdana" w:cs="Verdana"/>
        <w:i/>
        <w:iCs/>
        <w:position w:val="0"/>
        <w:sz w:val="24"/>
        <w:szCs w:val="24"/>
        <w:shd w:val="clear" w:color="auto" w:fill="FEFEFE"/>
        <w:lang w:val="en-US"/>
      </w:rPr>
    </w:lvl>
    <w:lvl w:ilvl="2">
      <w:start w:val="1"/>
      <w:numFmt w:val="bullet"/>
      <w:lvlText w:val="•"/>
      <w:lvlJc w:val="left"/>
      <w:pPr>
        <w:tabs>
          <w:tab w:val="num" w:pos="556"/>
        </w:tabs>
        <w:ind w:left="556" w:hanging="196"/>
      </w:pPr>
      <w:rPr>
        <w:rFonts w:ascii="Verdana" w:eastAsia="Verdana" w:hAnsi="Verdana" w:cs="Verdana"/>
        <w:i/>
        <w:iCs/>
        <w:position w:val="0"/>
        <w:sz w:val="22"/>
        <w:szCs w:val="22"/>
        <w:shd w:val="clear" w:color="auto" w:fill="FEFEFE"/>
        <w:lang w:val="en-US"/>
      </w:rPr>
    </w:lvl>
    <w:lvl w:ilvl="3">
      <w:start w:val="1"/>
      <w:numFmt w:val="bullet"/>
      <w:lvlText w:val="•"/>
      <w:lvlJc w:val="left"/>
      <w:pPr>
        <w:tabs>
          <w:tab w:val="num" w:pos="720"/>
        </w:tabs>
        <w:ind w:left="720" w:hanging="196"/>
      </w:pPr>
      <w:rPr>
        <w:rFonts w:ascii="Verdana" w:eastAsia="Verdana" w:hAnsi="Verdana" w:cs="Verdana"/>
        <w:i/>
        <w:iCs/>
        <w:position w:val="0"/>
        <w:sz w:val="24"/>
        <w:szCs w:val="24"/>
        <w:shd w:val="clear" w:color="auto" w:fill="FEFEFE"/>
        <w:lang w:val="en-US"/>
      </w:rPr>
    </w:lvl>
    <w:lvl w:ilvl="4">
      <w:start w:val="1"/>
      <w:numFmt w:val="bullet"/>
      <w:lvlText w:val="•"/>
      <w:lvlJc w:val="left"/>
      <w:pPr>
        <w:tabs>
          <w:tab w:val="num" w:pos="900"/>
        </w:tabs>
        <w:ind w:left="900" w:hanging="196"/>
      </w:pPr>
      <w:rPr>
        <w:rFonts w:ascii="Verdana" w:eastAsia="Verdana" w:hAnsi="Verdana" w:cs="Verdana"/>
        <w:i/>
        <w:iCs/>
        <w:position w:val="0"/>
        <w:sz w:val="24"/>
        <w:szCs w:val="24"/>
        <w:shd w:val="clear" w:color="auto" w:fill="FEFEFE"/>
        <w:lang w:val="en-US"/>
      </w:rPr>
    </w:lvl>
    <w:lvl w:ilvl="5">
      <w:start w:val="1"/>
      <w:numFmt w:val="bullet"/>
      <w:lvlText w:val="•"/>
      <w:lvlJc w:val="left"/>
      <w:pPr>
        <w:tabs>
          <w:tab w:val="num" w:pos="1080"/>
        </w:tabs>
        <w:ind w:left="1080" w:hanging="196"/>
      </w:pPr>
      <w:rPr>
        <w:rFonts w:ascii="Verdana" w:eastAsia="Verdana" w:hAnsi="Verdana" w:cs="Verdana"/>
        <w:i/>
        <w:iCs/>
        <w:position w:val="0"/>
        <w:sz w:val="24"/>
        <w:szCs w:val="24"/>
        <w:shd w:val="clear" w:color="auto" w:fill="FEFEFE"/>
        <w:lang w:val="en-US"/>
      </w:rPr>
    </w:lvl>
    <w:lvl w:ilvl="6">
      <w:start w:val="1"/>
      <w:numFmt w:val="bullet"/>
      <w:lvlText w:val="•"/>
      <w:lvlJc w:val="left"/>
      <w:pPr>
        <w:tabs>
          <w:tab w:val="num" w:pos="1260"/>
        </w:tabs>
        <w:ind w:left="1260" w:hanging="196"/>
      </w:pPr>
      <w:rPr>
        <w:rFonts w:ascii="Verdana" w:eastAsia="Verdana" w:hAnsi="Verdana" w:cs="Verdana"/>
        <w:i/>
        <w:iCs/>
        <w:position w:val="0"/>
        <w:sz w:val="24"/>
        <w:szCs w:val="24"/>
        <w:shd w:val="clear" w:color="auto" w:fill="FEFEFE"/>
        <w:lang w:val="en-US"/>
      </w:rPr>
    </w:lvl>
    <w:lvl w:ilvl="7">
      <w:start w:val="1"/>
      <w:numFmt w:val="bullet"/>
      <w:lvlText w:val="•"/>
      <w:lvlJc w:val="left"/>
      <w:pPr>
        <w:tabs>
          <w:tab w:val="num" w:pos="1440"/>
        </w:tabs>
        <w:ind w:left="1440" w:hanging="196"/>
      </w:pPr>
      <w:rPr>
        <w:rFonts w:ascii="Verdana" w:eastAsia="Verdana" w:hAnsi="Verdana" w:cs="Verdana"/>
        <w:i/>
        <w:iCs/>
        <w:position w:val="0"/>
        <w:sz w:val="24"/>
        <w:szCs w:val="24"/>
        <w:shd w:val="clear" w:color="auto" w:fill="FEFEFE"/>
        <w:lang w:val="en-US"/>
      </w:rPr>
    </w:lvl>
    <w:lvl w:ilvl="8">
      <w:start w:val="1"/>
      <w:numFmt w:val="bullet"/>
      <w:lvlText w:val="•"/>
      <w:lvlJc w:val="left"/>
      <w:pPr>
        <w:tabs>
          <w:tab w:val="num" w:pos="1620"/>
        </w:tabs>
        <w:ind w:left="1620" w:hanging="196"/>
      </w:pPr>
      <w:rPr>
        <w:rFonts w:ascii="Verdana" w:eastAsia="Verdana" w:hAnsi="Verdana" w:cs="Verdana"/>
        <w:i/>
        <w:iCs/>
        <w:position w:val="0"/>
        <w:sz w:val="24"/>
        <w:szCs w:val="24"/>
        <w:shd w:val="clear" w:color="auto" w:fill="FEFEFE"/>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20"/>
    <w:rsid w:val="001434A0"/>
    <w:rsid w:val="0055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6E1DD-A5B5-4C2B-A726-7818382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1E20"/>
    <w:pPr>
      <w:spacing w:after="0" w:line="240" w:lineRule="auto"/>
    </w:pPr>
    <w:rPr>
      <w:sz w:val="20"/>
      <w:szCs w:val="20"/>
    </w:rPr>
  </w:style>
  <w:style w:type="character" w:customStyle="1" w:styleId="FootnoteTextChar">
    <w:name w:val="Footnote Text Char"/>
    <w:basedOn w:val="DefaultParagraphFont"/>
    <w:link w:val="FootnoteText"/>
    <w:uiPriority w:val="99"/>
    <w:rsid w:val="00551E20"/>
    <w:rPr>
      <w:sz w:val="20"/>
      <w:szCs w:val="20"/>
    </w:rPr>
  </w:style>
  <w:style w:type="character" w:styleId="FootnoteReference">
    <w:name w:val="footnote reference"/>
    <w:basedOn w:val="DefaultParagraphFont"/>
    <w:uiPriority w:val="99"/>
    <w:unhideWhenUsed/>
    <w:rsid w:val="00551E20"/>
    <w:rPr>
      <w:vertAlign w:val="superscript"/>
    </w:rPr>
  </w:style>
  <w:style w:type="paragraph" w:customStyle="1" w:styleId="Corps">
    <w:name w:val="Corps"/>
    <w:rsid w:val="00551E2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paragraph" w:customStyle="1" w:styleId="NotedebasdepageA">
    <w:name w:val="Note de bas de page A"/>
    <w:rsid w:val="00551E2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paragraph" w:customStyle="1" w:styleId="PardfautAA">
    <w:name w:val="Par défaut A A"/>
    <w:rsid w:val="00551E2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Hyperlink4">
    <w:name w:val="Hyperlink.4"/>
    <w:basedOn w:val="DefaultParagraphFont"/>
    <w:rsid w:val="00551E20"/>
    <w:rPr>
      <w:rFonts w:ascii="Verdana" w:eastAsia="Verdana" w:hAnsi="Verdana" w:cs="Verdana"/>
      <w:color w:val="000000"/>
      <w:sz w:val="24"/>
      <w:szCs w:val="24"/>
      <w:u w:color="000000"/>
      <w:lang w:val="en-US"/>
    </w:rPr>
  </w:style>
  <w:style w:type="numbering" w:customStyle="1" w:styleId="List6">
    <w:name w:val="List 6"/>
    <w:basedOn w:val="NoList"/>
    <w:rsid w:val="00551E20"/>
    <w:pPr>
      <w:numPr>
        <w:numId w:val="1"/>
      </w:numPr>
    </w:pPr>
  </w:style>
  <w:style w:type="paragraph" w:styleId="ListParagraph">
    <w:name w:val="List Paragraph"/>
    <w:basedOn w:val="Normal"/>
    <w:uiPriority w:val="34"/>
    <w:qFormat/>
    <w:rsid w:val="00551E20"/>
    <w:pPr>
      <w:spacing w:after="200" w:line="276" w:lineRule="auto"/>
      <w:ind w:left="720"/>
      <w:contextualSpacing/>
    </w:pPr>
    <w:rPr>
      <w:rFonts w:eastAsiaTheme="minorEastAsia"/>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asp/ws.asp?m=A/RES/60/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698EC8-F079-40A6-8DC7-6C9C61FDE8C5}"/>
</file>

<file path=customXml/itemProps2.xml><?xml version="1.0" encoding="utf-8"?>
<ds:datastoreItem xmlns:ds="http://schemas.openxmlformats.org/officeDocument/2006/customXml" ds:itemID="{9CED9F94-8E28-45AA-AEE7-64424BD69E21}"/>
</file>

<file path=customXml/itemProps3.xml><?xml version="1.0" encoding="utf-8"?>
<ds:datastoreItem xmlns:ds="http://schemas.openxmlformats.org/officeDocument/2006/customXml" ds:itemID="{8575DE81-BD41-4DF7-9D53-E379537005AA}"/>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Fyfe</dc:creator>
  <cp:keywords/>
  <dc:description/>
  <cp:lastModifiedBy>Daniel Fyfe</cp:lastModifiedBy>
  <cp:revision>1</cp:revision>
  <dcterms:created xsi:type="dcterms:W3CDTF">2016-10-05T07:43:00Z</dcterms:created>
  <dcterms:modified xsi:type="dcterms:W3CDTF">2016-10-05T07:44:00Z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