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DE161" w14:textId="77777777" w:rsidR="004D7920" w:rsidRPr="00DB0EA6" w:rsidRDefault="00EA0D98" w:rsidP="00DB4815">
      <w:pPr>
        <w:pStyle w:val="HMG"/>
      </w:pPr>
      <w:r w:rsidRPr="00DB0EA6">
        <w:tab/>
      </w:r>
      <w:r w:rsidRPr="00DB0EA6">
        <w:tab/>
      </w:r>
    </w:p>
    <w:p w14:paraId="407C2134" w14:textId="77777777" w:rsidR="004D7920" w:rsidRPr="00DB0EA6" w:rsidRDefault="004D7920" w:rsidP="00DB4815">
      <w:pPr>
        <w:pStyle w:val="HMG"/>
      </w:pPr>
    </w:p>
    <w:p w14:paraId="75128EFF" w14:textId="77777777" w:rsidR="00414948" w:rsidRPr="00DB0EA6" w:rsidRDefault="00414948" w:rsidP="00414948"/>
    <w:p w14:paraId="6404B4EF" w14:textId="77777777" w:rsidR="00414948" w:rsidRPr="00DB0EA6" w:rsidRDefault="00414948" w:rsidP="00414948"/>
    <w:p w14:paraId="239E2F09" w14:textId="77777777" w:rsidR="00414948" w:rsidRPr="00DB0EA6" w:rsidRDefault="00414948" w:rsidP="00414948"/>
    <w:p w14:paraId="067F2991" w14:textId="77777777" w:rsidR="00414948" w:rsidRPr="00DB0EA6" w:rsidRDefault="00414948" w:rsidP="00414948"/>
    <w:p w14:paraId="576A431E" w14:textId="77777777" w:rsidR="00414948" w:rsidRPr="00DB0EA6" w:rsidRDefault="00414948" w:rsidP="00414948"/>
    <w:p w14:paraId="229DAC85" w14:textId="77777777" w:rsidR="00CE2983" w:rsidRPr="00DB0EA6" w:rsidRDefault="004D7920" w:rsidP="00BB5DB7">
      <w:pPr>
        <w:pStyle w:val="HMG"/>
        <w:jc w:val="both"/>
      </w:pPr>
      <w:r w:rsidRPr="00DB0EA6">
        <w:tab/>
      </w:r>
      <w:r w:rsidRPr="00DB0EA6">
        <w:tab/>
      </w:r>
      <w:r w:rsidR="00EA0D98" w:rsidRPr="00DB0EA6">
        <w:t>Draft r</w:t>
      </w:r>
      <w:r w:rsidR="00CE2983" w:rsidRPr="00DB0EA6">
        <w:t xml:space="preserve">eport on the </w:t>
      </w:r>
      <w:r w:rsidR="00693E08" w:rsidRPr="00DB0EA6">
        <w:t>third</w:t>
      </w:r>
      <w:r w:rsidR="00CE2983" w:rsidRPr="00DB0EA6">
        <w:t xml:space="preserve"> session of the open-ended intergovernmental working group on transnational corporations and other business enterprises with respect to human rights</w:t>
      </w:r>
    </w:p>
    <w:p w14:paraId="15F01CE5" w14:textId="77777777" w:rsidR="00CE2983" w:rsidRPr="00EE1C04" w:rsidRDefault="00CE2983" w:rsidP="00DB4815">
      <w:pPr>
        <w:pStyle w:val="SingleTxtG"/>
        <w:rPr>
          <w:b/>
          <w:bCs/>
          <w:lang w:val="fr-FR"/>
        </w:rPr>
      </w:pPr>
      <w:r w:rsidRPr="00EE1C04">
        <w:rPr>
          <w:i/>
          <w:iCs/>
          <w:lang w:val="fr-FR"/>
        </w:rPr>
        <w:t>Chair-Rapporteur:</w:t>
      </w:r>
      <w:r w:rsidRPr="00EE1C04">
        <w:rPr>
          <w:lang w:val="fr-FR"/>
        </w:rPr>
        <w:t xml:space="preserve"> </w:t>
      </w:r>
      <w:r w:rsidR="00525474" w:rsidRPr="00EE1C04">
        <w:rPr>
          <w:lang w:val="fr-FR"/>
        </w:rPr>
        <w:t>Guillau</w:t>
      </w:r>
      <w:r w:rsidR="00C9108C" w:rsidRPr="00EE1C04">
        <w:rPr>
          <w:lang w:val="fr-FR"/>
        </w:rPr>
        <w:t>me</w:t>
      </w:r>
      <w:r w:rsidRPr="00EE1C04">
        <w:rPr>
          <w:lang w:val="fr-FR"/>
        </w:rPr>
        <w:t xml:space="preserve"> </w:t>
      </w:r>
      <w:r w:rsidR="00C9108C" w:rsidRPr="00EE1C04">
        <w:rPr>
          <w:b/>
          <w:bCs/>
          <w:lang w:val="fr-FR"/>
        </w:rPr>
        <w:t>Long</w:t>
      </w:r>
    </w:p>
    <w:p w14:paraId="379147F8" w14:textId="77777777" w:rsidR="004D7920" w:rsidRPr="00EE1C04" w:rsidRDefault="004D7920" w:rsidP="00DB4815">
      <w:pPr>
        <w:pStyle w:val="SingleTxtG"/>
        <w:rPr>
          <w:lang w:val="fr-FR"/>
        </w:rPr>
      </w:pPr>
    </w:p>
    <w:p w14:paraId="5B82D992" w14:textId="77777777" w:rsidR="004D7920" w:rsidRPr="00EE1C04" w:rsidRDefault="004D7920" w:rsidP="00DB4815">
      <w:pPr>
        <w:pStyle w:val="SingleTxtG"/>
        <w:rPr>
          <w:lang w:val="fr-FR"/>
        </w:rPr>
      </w:pPr>
    </w:p>
    <w:p w14:paraId="45E1A622" w14:textId="77777777" w:rsidR="004D7920" w:rsidRPr="00EE1C04" w:rsidRDefault="004D7920" w:rsidP="00DB4815">
      <w:pPr>
        <w:pStyle w:val="SingleTxtG"/>
        <w:rPr>
          <w:lang w:val="fr-FR"/>
        </w:rPr>
      </w:pPr>
      <w:r w:rsidRPr="00EE1C04">
        <w:rPr>
          <w:lang w:val="fr-FR"/>
        </w:rPr>
        <w:t xml:space="preserve">23 – 27 </w:t>
      </w:r>
      <w:r w:rsidRPr="00BB5DB7">
        <w:t>October</w:t>
      </w:r>
      <w:r w:rsidRPr="00EE1C04">
        <w:rPr>
          <w:lang w:val="fr-FR"/>
        </w:rPr>
        <w:t xml:space="preserve"> 2017</w:t>
      </w:r>
    </w:p>
    <w:p w14:paraId="7CAF35FF" w14:textId="77777777" w:rsidR="00786E59" w:rsidRPr="00DB0EA6" w:rsidRDefault="00CE2983" w:rsidP="00786E59">
      <w:pPr>
        <w:spacing w:after="120"/>
        <w:rPr>
          <w:sz w:val="28"/>
        </w:rPr>
      </w:pPr>
      <w:r w:rsidRPr="00EE1C04">
        <w:rPr>
          <w:lang w:val="fr-FR"/>
        </w:rPr>
        <w:br w:type="page"/>
      </w:r>
      <w:r w:rsidR="00786E59" w:rsidRPr="00DB0EA6">
        <w:rPr>
          <w:sz w:val="28"/>
        </w:rPr>
        <w:lastRenderedPageBreak/>
        <w:t>Contents</w:t>
      </w:r>
    </w:p>
    <w:p w14:paraId="68B77B0F" w14:textId="77777777" w:rsidR="009510CD" w:rsidRPr="00DB0EA6" w:rsidRDefault="009510CD" w:rsidP="009510CD">
      <w:pPr>
        <w:tabs>
          <w:tab w:val="right" w:pos="9638"/>
        </w:tabs>
        <w:spacing w:after="120"/>
        <w:ind w:left="283"/>
        <w:rPr>
          <w:sz w:val="18"/>
        </w:rPr>
      </w:pPr>
      <w:r w:rsidRPr="00DB0EA6">
        <w:rPr>
          <w:i/>
          <w:sz w:val="18"/>
        </w:rPr>
        <w:tab/>
        <w:t>Page</w:t>
      </w:r>
    </w:p>
    <w:p w14:paraId="65BD60BC" w14:textId="76E42786" w:rsidR="0062283F" w:rsidRDefault="009510CD">
      <w:pPr>
        <w:pStyle w:val="TOC1"/>
        <w:rPr>
          <w:rFonts w:asciiTheme="minorHAnsi" w:eastAsiaTheme="minorEastAsia" w:hAnsiTheme="minorHAnsi" w:cstheme="minorBidi"/>
          <w:noProof/>
          <w:sz w:val="22"/>
          <w:szCs w:val="22"/>
          <w:lang w:eastAsia="en-GB"/>
        </w:rPr>
      </w:pPr>
      <w:r w:rsidRPr="00DB0EA6">
        <w:rPr>
          <w:sz w:val="28"/>
        </w:rPr>
        <w:fldChar w:fldCharType="begin"/>
      </w:r>
      <w:r w:rsidRPr="00DB0EA6">
        <w:rPr>
          <w:sz w:val="28"/>
        </w:rPr>
        <w:instrText xml:space="preserve"> TOC \h \z \t "_ H _Ch_G,1,_ H_1_G,2" \b ReportBody</w:instrText>
      </w:r>
      <w:r w:rsidRPr="00DB0EA6">
        <w:rPr>
          <w:sz w:val="28"/>
        </w:rPr>
        <w:fldChar w:fldCharType="separate"/>
      </w:r>
      <w:hyperlink w:anchor="_Toc497205704" w:history="1">
        <w:r w:rsidR="0062283F" w:rsidRPr="00C66271">
          <w:rPr>
            <w:rStyle w:val="Hyperlink"/>
            <w:noProof/>
          </w:rPr>
          <w:t>I.</w:t>
        </w:r>
        <w:r w:rsidR="0062283F">
          <w:rPr>
            <w:rFonts w:asciiTheme="minorHAnsi" w:eastAsiaTheme="minorEastAsia" w:hAnsiTheme="minorHAnsi" w:cstheme="minorBidi"/>
            <w:noProof/>
            <w:sz w:val="22"/>
            <w:szCs w:val="22"/>
            <w:lang w:eastAsia="en-GB"/>
          </w:rPr>
          <w:tab/>
        </w:r>
        <w:r w:rsidR="0062283F" w:rsidRPr="00C66271">
          <w:rPr>
            <w:rStyle w:val="Hyperlink"/>
            <w:noProof/>
          </w:rPr>
          <w:t>Introduction</w:t>
        </w:r>
        <w:r w:rsidR="0062283F">
          <w:rPr>
            <w:noProof/>
            <w:webHidden/>
          </w:rPr>
          <w:tab/>
        </w:r>
        <w:r w:rsidR="0062283F">
          <w:rPr>
            <w:noProof/>
            <w:webHidden/>
          </w:rPr>
          <w:fldChar w:fldCharType="begin"/>
        </w:r>
        <w:r w:rsidR="0062283F">
          <w:rPr>
            <w:noProof/>
            <w:webHidden/>
          </w:rPr>
          <w:instrText xml:space="preserve"> PAGEREF _Toc497205704 \h </w:instrText>
        </w:r>
        <w:r w:rsidR="0062283F">
          <w:rPr>
            <w:noProof/>
            <w:webHidden/>
          </w:rPr>
        </w:r>
        <w:r w:rsidR="0062283F">
          <w:rPr>
            <w:noProof/>
            <w:webHidden/>
          </w:rPr>
          <w:fldChar w:fldCharType="separate"/>
        </w:r>
        <w:r w:rsidR="00BB5DB7">
          <w:rPr>
            <w:noProof/>
            <w:webHidden/>
          </w:rPr>
          <w:t>3</w:t>
        </w:r>
        <w:r w:rsidR="0062283F">
          <w:rPr>
            <w:noProof/>
            <w:webHidden/>
          </w:rPr>
          <w:fldChar w:fldCharType="end"/>
        </w:r>
      </w:hyperlink>
    </w:p>
    <w:p w14:paraId="2D3502C3" w14:textId="41BF76C8" w:rsidR="0062283F" w:rsidRDefault="001B7645">
      <w:pPr>
        <w:pStyle w:val="TOC1"/>
        <w:rPr>
          <w:rFonts w:asciiTheme="minorHAnsi" w:eastAsiaTheme="minorEastAsia" w:hAnsiTheme="minorHAnsi" w:cstheme="minorBidi"/>
          <w:noProof/>
          <w:sz w:val="22"/>
          <w:szCs w:val="22"/>
          <w:lang w:eastAsia="en-GB"/>
        </w:rPr>
      </w:pPr>
      <w:hyperlink w:anchor="_Toc497205705" w:history="1">
        <w:r w:rsidR="0062283F" w:rsidRPr="00C66271">
          <w:rPr>
            <w:rStyle w:val="Hyperlink"/>
            <w:noProof/>
          </w:rPr>
          <w:t>II.</w:t>
        </w:r>
        <w:r w:rsidR="0062283F">
          <w:rPr>
            <w:rFonts w:asciiTheme="minorHAnsi" w:eastAsiaTheme="minorEastAsia" w:hAnsiTheme="minorHAnsi" w:cstheme="minorBidi"/>
            <w:noProof/>
            <w:sz w:val="22"/>
            <w:szCs w:val="22"/>
            <w:lang w:eastAsia="en-GB"/>
          </w:rPr>
          <w:tab/>
        </w:r>
        <w:r w:rsidR="0062283F" w:rsidRPr="00C66271">
          <w:rPr>
            <w:rStyle w:val="Hyperlink"/>
            <w:noProof/>
          </w:rPr>
          <w:t>Organization of the session</w:t>
        </w:r>
        <w:r w:rsidR="0062283F">
          <w:rPr>
            <w:noProof/>
            <w:webHidden/>
          </w:rPr>
          <w:tab/>
        </w:r>
        <w:r w:rsidR="0062283F">
          <w:rPr>
            <w:noProof/>
            <w:webHidden/>
          </w:rPr>
          <w:fldChar w:fldCharType="begin"/>
        </w:r>
        <w:r w:rsidR="0062283F">
          <w:rPr>
            <w:noProof/>
            <w:webHidden/>
          </w:rPr>
          <w:instrText xml:space="preserve"> PAGEREF _Toc497205705 \h </w:instrText>
        </w:r>
        <w:r w:rsidR="0062283F">
          <w:rPr>
            <w:noProof/>
            <w:webHidden/>
          </w:rPr>
        </w:r>
        <w:r w:rsidR="0062283F">
          <w:rPr>
            <w:noProof/>
            <w:webHidden/>
          </w:rPr>
          <w:fldChar w:fldCharType="separate"/>
        </w:r>
        <w:r w:rsidR="00BB5DB7">
          <w:rPr>
            <w:noProof/>
            <w:webHidden/>
          </w:rPr>
          <w:t>4</w:t>
        </w:r>
        <w:r w:rsidR="0062283F">
          <w:rPr>
            <w:noProof/>
            <w:webHidden/>
          </w:rPr>
          <w:fldChar w:fldCharType="end"/>
        </w:r>
      </w:hyperlink>
    </w:p>
    <w:p w14:paraId="65B7ACFB" w14:textId="5A2054BA" w:rsidR="0062283F" w:rsidRDefault="001B7645">
      <w:pPr>
        <w:pStyle w:val="TOC2"/>
        <w:rPr>
          <w:rFonts w:asciiTheme="minorHAnsi" w:eastAsiaTheme="minorEastAsia" w:hAnsiTheme="minorHAnsi" w:cstheme="minorBidi"/>
          <w:noProof/>
          <w:sz w:val="22"/>
          <w:szCs w:val="22"/>
          <w:lang w:eastAsia="en-GB"/>
        </w:rPr>
      </w:pPr>
      <w:hyperlink w:anchor="_Toc497205706" w:history="1">
        <w:r w:rsidR="0062283F" w:rsidRPr="00C66271">
          <w:rPr>
            <w:rStyle w:val="Hyperlink"/>
            <w:noProof/>
          </w:rPr>
          <w:t>A.</w:t>
        </w:r>
        <w:r w:rsidR="0062283F">
          <w:rPr>
            <w:rFonts w:asciiTheme="minorHAnsi" w:eastAsiaTheme="minorEastAsia" w:hAnsiTheme="minorHAnsi" w:cstheme="minorBidi"/>
            <w:noProof/>
            <w:sz w:val="22"/>
            <w:szCs w:val="22"/>
            <w:lang w:eastAsia="en-GB"/>
          </w:rPr>
          <w:tab/>
        </w:r>
        <w:r w:rsidR="0062283F" w:rsidRPr="00C66271">
          <w:rPr>
            <w:rStyle w:val="Hyperlink"/>
            <w:noProof/>
          </w:rPr>
          <w:t>Election of the Chair-Rapporteur</w:t>
        </w:r>
        <w:r w:rsidR="0062283F">
          <w:rPr>
            <w:noProof/>
            <w:webHidden/>
          </w:rPr>
          <w:tab/>
        </w:r>
        <w:r w:rsidR="0062283F">
          <w:rPr>
            <w:noProof/>
            <w:webHidden/>
          </w:rPr>
          <w:fldChar w:fldCharType="begin"/>
        </w:r>
        <w:r w:rsidR="0062283F">
          <w:rPr>
            <w:noProof/>
            <w:webHidden/>
          </w:rPr>
          <w:instrText xml:space="preserve"> PAGEREF _Toc497205706 \h </w:instrText>
        </w:r>
        <w:r w:rsidR="0062283F">
          <w:rPr>
            <w:noProof/>
            <w:webHidden/>
          </w:rPr>
        </w:r>
        <w:r w:rsidR="0062283F">
          <w:rPr>
            <w:noProof/>
            <w:webHidden/>
          </w:rPr>
          <w:fldChar w:fldCharType="separate"/>
        </w:r>
        <w:r w:rsidR="00BB5DB7">
          <w:rPr>
            <w:noProof/>
            <w:webHidden/>
          </w:rPr>
          <w:t>4</w:t>
        </w:r>
        <w:r w:rsidR="0062283F">
          <w:rPr>
            <w:noProof/>
            <w:webHidden/>
          </w:rPr>
          <w:fldChar w:fldCharType="end"/>
        </w:r>
      </w:hyperlink>
    </w:p>
    <w:p w14:paraId="52741796" w14:textId="5483F721" w:rsidR="0062283F" w:rsidRDefault="001B7645">
      <w:pPr>
        <w:pStyle w:val="TOC2"/>
        <w:rPr>
          <w:rFonts w:asciiTheme="minorHAnsi" w:eastAsiaTheme="minorEastAsia" w:hAnsiTheme="minorHAnsi" w:cstheme="minorBidi"/>
          <w:noProof/>
          <w:sz w:val="22"/>
          <w:szCs w:val="22"/>
          <w:lang w:eastAsia="en-GB"/>
        </w:rPr>
      </w:pPr>
      <w:hyperlink w:anchor="_Toc497205707" w:history="1">
        <w:r w:rsidR="0062283F" w:rsidRPr="00C66271">
          <w:rPr>
            <w:rStyle w:val="Hyperlink"/>
            <w:noProof/>
          </w:rPr>
          <w:t>B.</w:t>
        </w:r>
        <w:r w:rsidR="0062283F">
          <w:rPr>
            <w:rFonts w:asciiTheme="minorHAnsi" w:eastAsiaTheme="minorEastAsia" w:hAnsiTheme="minorHAnsi" w:cstheme="minorBidi"/>
            <w:noProof/>
            <w:sz w:val="22"/>
            <w:szCs w:val="22"/>
            <w:lang w:eastAsia="en-GB"/>
          </w:rPr>
          <w:tab/>
        </w:r>
        <w:r w:rsidR="0062283F" w:rsidRPr="00C66271">
          <w:rPr>
            <w:rStyle w:val="Hyperlink"/>
            <w:noProof/>
          </w:rPr>
          <w:t>Attendance</w:t>
        </w:r>
        <w:r w:rsidR="0062283F">
          <w:rPr>
            <w:noProof/>
            <w:webHidden/>
          </w:rPr>
          <w:tab/>
        </w:r>
        <w:r w:rsidR="0062283F">
          <w:rPr>
            <w:noProof/>
            <w:webHidden/>
          </w:rPr>
          <w:fldChar w:fldCharType="begin"/>
        </w:r>
        <w:r w:rsidR="0062283F">
          <w:rPr>
            <w:noProof/>
            <w:webHidden/>
          </w:rPr>
          <w:instrText xml:space="preserve"> PAGEREF _Toc497205707 \h </w:instrText>
        </w:r>
        <w:r w:rsidR="0062283F">
          <w:rPr>
            <w:noProof/>
            <w:webHidden/>
          </w:rPr>
        </w:r>
        <w:r w:rsidR="0062283F">
          <w:rPr>
            <w:noProof/>
            <w:webHidden/>
          </w:rPr>
          <w:fldChar w:fldCharType="separate"/>
        </w:r>
        <w:r w:rsidR="00BB5DB7">
          <w:rPr>
            <w:noProof/>
            <w:webHidden/>
          </w:rPr>
          <w:t>4</w:t>
        </w:r>
        <w:r w:rsidR="0062283F">
          <w:rPr>
            <w:noProof/>
            <w:webHidden/>
          </w:rPr>
          <w:fldChar w:fldCharType="end"/>
        </w:r>
      </w:hyperlink>
    </w:p>
    <w:p w14:paraId="4AB9BFBD" w14:textId="2A973855" w:rsidR="0062283F" w:rsidRDefault="001B7645">
      <w:pPr>
        <w:pStyle w:val="TOC2"/>
        <w:rPr>
          <w:rFonts w:asciiTheme="minorHAnsi" w:eastAsiaTheme="minorEastAsia" w:hAnsiTheme="minorHAnsi" w:cstheme="minorBidi"/>
          <w:noProof/>
          <w:sz w:val="22"/>
          <w:szCs w:val="22"/>
          <w:lang w:eastAsia="en-GB"/>
        </w:rPr>
      </w:pPr>
      <w:hyperlink w:anchor="_Toc497205708" w:history="1">
        <w:r w:rsidR="0062283F" w:rsidRPr="00C66271">
          <w:rPr>
            <w:rStyle w:val="Hyperlink"/>
            <w:noProof/>
          </w:rPr>
          <w:t>C.</w:t>
        </w:r>
        <w:r w:rsidR="0062283F">
          <w:rPr>
            <w:rFonts w:asciiTheme="minorHAnsi" w:eastAsiaTheme="minorEastAsia" w:hAnsiTheme="minorHAnsi" w:cstheme="minorBidi"/>
            <w:noProof/>
            <w:sz w:val="22"/>
            <w:szCs w:val="22"/>
            <w:lang w:eastAsia="en-GB"/>
          </w:rPr>
          <w:tab/>
        </w:r>
        <w:r w:rsidR="0062283F" w:rsidRPr="00C66271">
          <w:rPr>
            <w:rStyle w:val="Hyperlink"/>
            <w:noProof/>
          </w:rPr>
          <w:t>Documentation</w:t>
        </w:r>
        <w:r w:rsidR="0062283F">
          <w:rPr>
            <w:noProof/>
            <w:webHidden/>
          </w:rPr>
          <w:tab/>
        </w:r>
        <w:r w:rsidR="0062283F">
          <w:rPr>
            <w:noProof/>
            <w:webHidden/>
          </w:rPr>
          <w:fldChar w:fldCharType="begin"/>
        </w:r>
        <w:r w:rsidR="0062283F">
          <w:rPr>
            <w:noProof/>
            <w:webHidden/>
          </w:rPr>
          <w:instrText xml:space="preserve"> PAGEREF _Toc497205708 \h </w:instrText>
        </w:r>
        <w:r w:rsidR="0062283F">
          <w:rPr>
            <w:noProof/>
            <w:webHidden/>
          </w:rPr>
        </w:r>
        <w:r w:rsidR="0062283F">
          <w:rPr>
            <w:noProof/>
            <w:webHidden/>
          </w:rPr>
          <w:fldChar w:fldCharType="separate"/>
        </w:r>
        <w:r w:rsidR="00BB5DB7">
          <w:rPr>
            <w:noProof/>
            <w:webHidden/>
          </w:rPr>
          <w:t>4</w:t>
        </w:r>
        <w:r w:rsidR="0062283F">
          <w:rPr>
            <w:noProof/>
            <w:webHidden/>
          </w:rPr>
          <w:fldChar w:fldCharType="end"/>
        </w:r>
      </w:hyperlink>
    </w:p>
    <w:p w14:paraId="52FDA53A" w14:textId="17DCF34B" w:rsidR="0062283F" w:rsidRDefault="001B7645">
      <w:pPr>
        <w:pStyle w:val="TOC2"/>
        <w:rPr>
          <w:rFonts w:asciiTheme="minorHAnsi" w:eastAsiaTheme="minorEastAsia" w:hAnsiTheme="minorHAnsi" w:cstheme="minorBidi"/>
          <w:noProof/>
          <w:sz w:val="22"/>
          <w:szCs w:val="22"/>
          <w:lang w:eastAsia="en-GB"/>
        </w:rPr>
      </w:pPr>
      <w:hyperlink w:anchor="_Toc497205709" w:history="1">
        <w:r w:rsidR="0062283F" w:rsidRPr="00C66271">
          <w:rPr>
            <w:rStyle w:val="Hyperlink"/>
            <w:noProof/>
          </w:rPr>
          <w:t>D.</w:t>
        </w:r>
        <w:r w:rsidR="0062283F">
          <w:rPr>
            <w:rFonts w:asciiTheme="minorHAnsi" w:eastAsiaTheme="minorEastAsia" w:hAnsiTheme="minorHAnsi" w:cstheme="minorBidi"/>
            <w:noProof/>
            <w:sz w:val="22"/>
            <w:szCs w:val="22"/>
            <w:lang w:eastAsia="en-GB"/>
          </w:rPr>
          <w:tab/>
        </w:r>
        <w:r w:rsidR="0062283F" w:rsidRPr="00C66271">
          <w:rPr>
            <w:rStyle w:val="Hyperlink"/>
            <w:noProof/>
          </w:rPr>
          <w:t>Adoption of the agenda and programme of work</w:t>
        </w:r>
        <w:r w:rsidR="0062283F">
          <w:rPr>
            <w:noProof/>
            <w:webHidden/>
          </w:rPr>
          <w:tab/>
        </w:r>
        <w:r w:rsidR="0062283F">
          <w:rPr>
            <w:noProof/>
            <w:webHidden/>
          </w:rPr>
          <w:fldChar w:fldCharType="begin"/>
        </w:r>
        <w:r w:rsidR="0062283F">
          <w:rPr>
            <w:noProof/>
            <w:webHidden/>
          </w:rPr>
          <w:instrText xml:space="preserve"> PAGEREF _Toc497205709 \h </w:instrText>
        </w:r>
        <w:r w:rsidR="0062283F">
          <w:rPr>
            <w:noProof/>
            <w:webHidden/>
          </w:rPr>
        </w:r>
        <w:r w:rsidR="0062283F">
          <w:rPr>
            <w:noProof/>
            <w:webHidden/>
          </w:rPr>
          <w:fldChar w:fldCharType="separate"/>
        </w:r>
        <w:r w:rsidR="00BB5DB7">
          <w:rPr>
            <w:noProof/>
            <w:webHidden/>
          </w:rPr>
          <w:t>4</w:t>
        </w:r>
        <w:r w:rsidR="0062283F">
          <w:rPr>
            <w:noProof/>
            <w:webHidden/>
          </w:rPr>
          <w:fldChar w:fldCharType="end"/>
        </w:r>
      </w:hyperlink>
    </w:p>
    <w:p w14:paraId="67B88DAA" w14:textId="2A341C2E" w:rsidR="0062283F" w:rsidRDefault="001B7645">
      <w:pPr>
        <w:pStyle w:val="TOC1"/>
        <w:rPr>
          <w:rFonts w:asciiTheme="minorHAnsi" w:eastAsiaTheme="minorEastAsia" w:hAnsiTheme="minorHAnsi" w:cstheme="minorBidi"/>
          <w:noProof/>
          <w:sz w:val="22"/>
          <w:szCs w:val="22"/>
          <w:lang w:eastAsia="en-GB"/>
        </w:rPr>
      </w:pPr>
      <w:hyperlink w:anchor="_Toc497205710" w:history="1">
        <w:r w:rsidR="0062283F" w:rsidRPr="00C66271">
          <w:rPr>
            <w:rStyle w:val="Hyperlink"/>
            <w:noProof/>
          </w:rPr>
          <w:t>III.</w:t>
        </w:r>
        <w:r w:rsidR="0062283F">
          <w:rPr>
            <w:rFonts w:asciiTheme="minorHAnsi" w:eastAsiaTheme="minorEastAsia" w:hAnsiTheme="minorHAnsi" w:cstheme="minorBidi"/>
            <w:noProof/>
            <w:sz w:val="22"/>
            <w:szCs w:val="22"/>
            <w:lang w:eastAsia="en-GB"/>
          </w:rPr>
          <w:tab/>
        </w:r>
        <w:r w:rsidR="0062283F" w:rsidRPr="00C66271">
          <w:rPr>
            <w:rStyle w:val="Hyperlink"/>
            <w:noProof/>
          </w:rPr>
          <w:t>Opening statements</w:t>
        </w:r>
        <w:r w:rsidR="0062283F">
          <w:rPr>
            <w:noProof/>
            <w:webHidden/>
          </w:rPr>
          <w:tab/>
        </w:r>
        <w:r w:rsidR="0062283F">
          <w:rPr>
            <w:noProof/>
            <w:webHidden/>
          </w:rPr>
          <w:fldChar w:fldCharType="begin"/>
        </w:r>
        <w:r w:rsidR="0062283F">
          <w:rPr>
            <w:noProof/>
            <w:webHidden/>
          </w:rPr>
          <w:instrText xml:space="preserve"> PAGEREF _Toc497205710 \h </w:instrText>
        </w:r>
        <w:r w:rsidR="0062283F">
          <w:rPr>
            <w:noProof/>
            <w:webHidden/>
          </w:rPr>
        </w:r>
        <w:r w:rsidR="0062283F">
          <w:rPr>
            <w:noProof/>
            <w:webHidden/>
          </w:rPr>
          <w:fldChar w:fldCharType="separate"/>
        </w:r>
        <w:r w:rsidR="00BB5DB7">
          <w:rPr>
            <w:noProof/>
            <w:webHidden/>
          </w:rPr>
          <w:t>6</w:t>
        </w:r>
        <w:r w:rsidR="0062283F">
          <w:rPr>
            <w:noProof/>
            <w:webHidden/>
          </w:rPr>
          <w:fldChar w:fldCharType="end"/>
        </w:r>
      </w:hyperlink>
    </w:p>
    <w:p w14:paraId="2E1FACAB" w14:textId="5EB3596B" w:rsidR="0062283F" w:rsidRDefault="001B7645">
      <w:pPr>
        <w:pStyle w:val="TOC2"/>
        <w:rPr>
          <w:rFonts w:asciiTheme="minorHAnsi" w:eastAsiaTheme="minorEastAsia" w:hAnsiTheme="minorHAnsi" w:cstheme="minorBidi"/>
          <w:noProof/>
          <w:sz w:val="22"/>
          <w:szCs w:val="22"/>
          <w:lang w:eastAsia="en-GB"/>
        </w:rPr>
      </w:pPr>
      <w:hyperlink w:anchor="_Toc497205711" w:history="1">
        <w:r w:rsidR="0062283F" w:rsidRPr="00C66271">
          <w:rPr>
            <w:rStyle w:val="Hyperlink"/>
            <w:noProof/>
          </w:rPr>
          <w:t>A.</w:t>
        </w:r>
        <w:r w:rsidR="0062283F">
          <w:rPr>
            <w:rFonts w:asciiTheme="minorHAnsi" w:eastAsiaTheme="minorEastAsia" w:hAnsiTheme="minorHAnsi" w:cstheme="minorBidi"/>
            <w:noProof/>
            <w:sz w:val="22"/>
            <w:szCs w:val="22"/>
            <w:lang w:eastAsia="en-GB"/>
          </w:rPr>
          <w:tab/>
        </w:r>
        <w:r w:rsidR="0062283F" w:rsidRPr="00C66271">
          <w:rPr>
            <w:rStyle w:val="Hyperlink"/>
            <w:noProof/>
          </w:rPr>
          <w:t>Keynote Speeches</w:t>
        </w:r>
        <w:r w:rsidR="0062283F">
          <w:rPr>
            <w:noProof/>
            <w:webHidden/>
          </w:rPr>
          <w:tab/>
        </w:r>
        <w:r w:rsidR="0062283F">
          <w:rPr>
            <w:noProof/>
            <w:webHidden/>
          </w:rPr>
          <w:fldChar w:fldCharType="begin"/>
        </w:r>
        <w:r w:rsidR="0062283F">
          <w:rPr>
            <w:noProof/>
            <w:webHidden/>
          </w:rPr>
          <w:instrText xml:space="preserve"> PAGEREF _Toc497205711 \h </w:instrText>
        </w:r>
        <w:r w:rsidR="0062283F">
          <w:rPr>
            <w:noProof/>
            <w:webHidden/>
          </w:rPr>
        </w:r>
        <w:r w:rsidR="0062283F">
          <w:rPr>
            <w:noProof/>
            <w:webHidden/>
          </w:rPr>
          <w:fldChar w:fldCharType="separate"/>
        </w:r>
        <w:r w:rsidR="00BB5DB7">
          <w:rPr>
            <w:noProof/>
            <w:webHidden/>
          </w:rPr>
          <w:t>6</w:t>
        </w:r>
        <w:r w:rsidR="0062283F">
          <w:rPr>
            <w:noProof/>
            <w:webHidden/>
          </w:rPr>
          <w:fldChar w:fldCharType="end"/>
        </w:r>
      </w:hyperlink>
    </w:p>
    <w:p w14:paraId="102FE3E8" w14:textId="6D050141" w:rsidR="0062283F" w:rsidRDefault="001B7645">
      <w:pPr>
        <w:pStyle w:val="TOC2"/>
        <w:rPr>
          <w:rFonts w:asciiTheme="minorHAnsi" w:eastAsiaTheme="minorEastAsia" w:hAnsiTheme="minorHAnsi" w:cstheme="minorBidi"/>
          <w:noProof/>
          <w:sz w:val="22"/>
          <w:szCs w:val="22"/>
          <w:lang w:eastAsia="en-GB"/>
        </w:rPr>
      </w:pPr>
      <w:hyperlink w:anchor="_Toc497205712" w:history="1">
        <w:r w:rsidR="0062283F" w:rsidRPr="00C66271">
          <w:rPr>
            <w:rStyle w:val="Hyperlink"/>
            <w:noProof/>
          </w:rPr>
          <w:t>B.</w:t>
        </w:r>
        <w:r w:rsidR="0062283F">
          <w:rPr>
            <w:rFonts w:asciiTheme="minorHAnsi" w:eastAsiaTheme="minorEastAsia" w:hAnsiTheme="minorHAnsi" w:cstheme="minorBidi"/>
            <w:noProof/>
            <w:sz w:val="22"/>
            <w:szCs w:val="22"/>
            <w:lang w:eastAsia="en-GB"/>
          </w:rPr>
          <w:tab/>
        </w:r>
        <w:r w:rsidR="0062283F" w:rsidRPr="00C66271">
          <w:rPr>
            <w:rStyle w:val="Hyperlink"/>
            <w:noProof/>
          </w:rPr>
          <w:t>General Statements</w:t>
        </w:r>
        <w:r w:rsidR="0062283F">
          <w:rPr>
            <w:noProof/>
            <w:webHidden/>
          </w:rPr>
          <w:tab/>
        </w:r>
        <w:r w:rsidR="0062283F">
          <w:rPr>
            <w:noProof/>
            <w:webHidden/>
          </w:rPr>
          <w:fldChar w:fldCharType="begin"/>
        </w:r>
        <w:r w:rsidR="0062283F">
          <w:rPr>
            <w:noProof/>
            <w:webHidden/>
          </w:rPr>
          <w:instrText xml:space="preserve"> PAGEREF _Toc497205712 \h </w:instrText>
        </w:r>
        <w:r w:rsidR="0062283F">
          <w:rPr>
            <w:noProof/>
            <w:webHidden/>
          </w:rPr>
        </w:r>
        <w:r w:rsidR="0062283F">
          <w:rPr>
            <w:noProof/>
            <w:webHidden/>
          </w:rPr>
          <w:fldChar w:fldCharType="separate"/>
        </w:r>
        <w:r w:rsidR="00BB5DB7">
          <w:rPr>
            <w:noProof/>
            <w:webHidden/>
          </w:rPr>
          <w:t>6</w:t>
        </w:r>
        <w:r w:rsidR="0062283F">
          <w:rPr>
            <w:noProof/>
            <w:webHidden/>
          </w:rPr>
          <w:fldChar w:fldCharType="end"/>
        </w:r>
      </w:hyperlink>
    </w:p>
    <w:p w14:paraId="1846EF36" w14:textId="5B447FD0" w:rsidR="0062283F" w:rsidRDefault="001B7645">
      <w:pPr>
        <w:pStyle w:val="TOC2"/>
        <w:rPr>
          <w:rFonts w:asciiTheme="minorHAnsi" w:eastAsiaTheme="minorEastAsia" w:hAnsiTheme="minorHAnsi" w:cstheme="minorBidi"/>
          <w:noProof/>
          <w:sz w:val="22"/>
          <w:szCs w:val="22"/>
          <w:lang w:eastAsia="en-GB"/>
        </w:rPr>
      </w:pPr>
      <w:hyperlink w:anchor="_Toc497205713" w:history="1">
        <w:r w:rsidR="0062283F" w:rsidRPr="00C66271">
          <w:rPr>
            <w:rStyle w:val="Hyperlink"/>
            <w:noProof/>
          </w:rPr>
          <w:t>C.</w:t>
        </w:r>
        <w:r w:rsidR="0062283F">
          <w:rPr>
            <w:rFonts w:asciiTheme="minorHAnsi" w:eastAsiaTheme="minorEastAsia" w:hAnsiTheme="minorHAnsi" w:cstheme="minorBidi"/>
            <w:noProof/>
            <w:sz w:val="22"/>
            <w:szCs w:val="22"/>
            <w:lang w:eastAsia="en-GB"/>
          </w:rPr>
          <w:tab/>
        </w:r>
        <w:r w:rsidR="0062283F" w:rsidRPr="00C66271">
          <w:rPr>
            <w:rStyle w:val="Hyperlink"/>
            <w:noProof/>
          </w:rPr>
          <w:t>Debate: Reflections on the implementation of the United Nations Guiding Principles on Business and Human Rights and other relevant international, regional and national frameworks</w:t>
        </w:r>
        <w:r w:rsidR="0062283F">
          <w:rPr>
            <w:noProof/>
            <w:webHidden/>
          </w:rPr>
          <w:tab/>
        </w:r>
        <w:r w:rsidR="0062283F">
          <w:rPr>
            <w:noProof/>
            <w:webHidden/>
          </w:rPr>
          <w:fldChar w:fldCharType="begin"/>
        </w:r>
        <w:r w:rsidR="0062283F">
          <w:rPr>
            <w:noProof/>
            <w:webHidden/>
          </w:rPr>
          <w:instrText xml:space="preserve"> PAGEREF _Toc497205713 \h </w:instrText>
        </w:r>
        <w:r w:rsidR="0062283F">
          <w:rPr>
            <w:noProof/>
            <w:webHidden/>
          </w:rPr>
        </w:r>
        <w:r w:rsidR="0062283F">
          <w:rPr>
            <w:noProof/>
            <w:webHidden/>
          </w:rPr>
          <w:fldChar w:fldCharType="separate"/>
        </w:r>
        <w:r w:rsidR="00BB5DB7">
          <w:rPr>
            <w:noProof/>
            <w:webHidden/>
          </w:rPr>
          <w:t>8</w:t>
        </w:r>
        <w:r w:rsidR="0062283F">
          <w:rPr>
            <w:noProof/>
            <w:webHidden/>
          </w:rPr>
          <w:fldChar w:fldCharType="end"/>
        </w:r>
      </w:hyperlink>
    </w:p>
    <w:p w14:paraId="7453995F" w14:textId="0120298A" w:rsidR="0062283F" w:rsidRDefault="001B7645">
      <w:pPr>
        <w:pStyle w:val="TOC1"/>
        <w:rPr>
          <w:rFonts w:asciiTheme="minorHAnsi" w:eastAsiaTheme="minorEastAsia" w:hAnsiTheme="minorHAnsi" w:cstheme="minorBidi"/>
          <w:noProof/>
          <w:sz w:val="22"/>
          <w:szCs w:val="22"/>
          <w:lang w:eastAsia="en-GB"/>
        </w:rPr>
      </w:pPr>
      <w:hyperlink w:anchor="_Toc497205714" w:history="1">
        <w:r w:rsidR="0062283F" w:rsidRPr="00C66271">
          <w:rPr>
            <w:rStyle w:val="Hyperlink"/>
            <w:noProof/>
          </w:rPr>
          <w:t>IV.</w:t>
        </w:r>
        <w:r w:rsidR="0062283F">
          <w:rPr>
            <w:rFonts w:asciiTheme="minorHAnsi" w:eastAsiaTheme="minorEastAsia" w:hAnsiTheme="minorHAnsi" w:cstheme="minorBidi"/>
            <w:noProof/>
            <w:sz w:val="22"/>
            <w:szCs w:val="22"/>
            <w:lang w:eastAsia="en-GB"/>
          </w:rPr>
          <w:tab/>
        </w:r>
        <w:r w:rsidR="0062283F" w:rsidRPr="00C66271">
          <w:rPr>
            <w:rStyle w:val="Hyperlink"/>
            <w:noProof/>
          </w:rPr>
          <w:t>Panel discussions</w:t>
        </w:r>
        <w:r w:rsidR="0062283F">
          <w:rPr>
            <w:noProof/>
            <w:webHidden/>
          </w:rPr>
          <w:tab/>
        </w:r>
        <w:r w:rsidR="0062283F">
          <w:rPr>
            <w:noProof/>
            <w:webHidden/>
          </w:rPr>
          <w:fldChar w:fldCharType="begin"/>
        </w:r>
        <w:r w:rsidR="0062283F">
          <w:rPr>
            <w:noProof/>
            <w:webHidden/>
          </w:rPr>
          <w:instrText xml:space="preserve"> PAGEREF _Toc497205714 \h </w:instrText>
        </w:r>
        <w:r w:rsidR="0062283F">
          <w:rPr>
            <w:noProof/>
            <w:webHidden/>
          </w:rPr>
        </w:r>
        <w:r w:rsidR="0062283F">
          <w:rPr>
            <w:noProof/>
            <w:webHidden/>
          </w:rPr>
          <w:fldChar w:fldCharType="separate"/>
        </w:r>
        <w:r w:rsidR="00BB5DB7">
          <w:rPr>
            <w:noProof/>
            <w:webHidden/>
          </w:rPr>
          <w:t>8</w:t>
        </w:r>
        <w:r w:rsidR="0062283F">
          <w:rPr>
            <w:noProof/>
            <w:webHidden/>
          </w:rPr>
          <w:fldChar w:fldCharType="end"/>
        </w:r>
      </w:hyperlink>
    </w:p>
    <w:p w14:paraId="462FB88A" w14:textId="20EDAED5" w:rsidR="0062283F" w:rsidRDefault="001B7645">
      <w:pPr>
        <w:pStyle w:val="TOC2"/>
        <w:rPr>
          <w:rFonts w:asciiTheme="minorHAnsi" w:eastAsiaTheme="minorEastAsia" w:hAnsiTheme="minorHAnsi" w:cstheme="minorBidi"/>
          <w:noProof/>
          <w:sz w:val="22"/>
          <w:szCs w:val="22"/>
          <w:lang w:eastAsia="en-GB"/>
        </w:rPr>
      </w:pPr>
      <w:hyperlink w:anchor="_Toc497205715" w:history="1">
        <w:r w:rsidR="0062283F" w:rsidRPr="00C66271">
          <w:rPr>
            <w:rStyle w:val="Hyperlink"/>
            <w:noProof/>
          </w:rPr>
          <w:t>A.</w:t>
        </w:r>
        <w:r w:rsidR="0062283F">
          <w:rPr>
            <w:rFonts w:asciiTheme="minorHAnsi" w:eastAsiaTheme="minorEastAsia" w:hAnsiTheme="minorHAnsi" w:cstheme="minorBidi"/>
            <w:noProof/>
            <w:sz w:val="22"/>
            <w:szCs w:val="22"/>
            <w:lang w:eastAsia="en-GB"/>
          </w:rPr>
          <w:tab/>
        </w:r>
        <w:r w:rsidR="0062283F" w:rsidRPr="00C66271">
          <w:rPr>
            <w:rStyle w:val="Hyperlink"/>
            <w:noProof/>
          </w:rPr>
          <w:t>Subject 1: General framework</w:t>
        </w:r>
        <w:r w:rsidR="0062283F">
          <w:rPr>
            <w:noProof/>
            <w:webHidden/>
          </w:rPr>
          <w:tab/>
        </w:r>
        <w:r w:rsidR="0062283F">
          <w:rPr>
            <w:noProof/>
            <w:webHidden/>
          </w:rPr>
          <w:fldChar w:fldCharType="begin"/>
        </w:r>
        <w:r w:rsidR="0062283F">
          <w:rPr>
            <w:noProof/>
            <w:webHidden/>
          </w:rPr>
          <w:instrText xml:space="preserve"> PAGEREF _Toc497205715 \h </w:instrText>
        </w:r>
        <w:r w:rsidR="0062283F">
          <w:rPr>
            <w:noProof/>
            <w:webHidden/>
          </w:rPr>
        </w:r>
        <w:r w:rsidR="0062283F">
          <w:rPr>
            <w:noProof/>
            <w:webHidden/>
          </w:rPr>
          <w:fldChar w:fldCharType="separate"/>
        </w:r>
        <w:r w:rsidR="00BB5DB7">
          <w:rPr>
            <w:noProof/>
            <w:webHidden/>
          </w:rPr>
          <w:t>8</w:t>
        </w:r>
        <w:r w:rsidR="0062283F">
          <w:rPr>
            <w:noProof/>
            <w:webHidden/>
          </w:rPr>
          <w:fldChar w:fldCharType="end"/>
        </w:r>
      </w:hyperlink>
    </w:p>
    <w:p w14:paraId="2FC756AF" w14:textId="41BF3227" w:rsidR="0062283F" w:rsidRDefault="001B7645">
      <w:pPr>
        <w:pStyle w:val="TOC2"/>
        <w:rPr>
          <w:rFonts w:asciiTheme="minorHAnsi" w:eastAsiaTheme="minorEastAsia" w:hAnsiTheme="minorHAnsi" w:cstheme="minorBidi"/>
          <w:noProof/>
          <w:sz w:val="22"/>
          <w:szCs w:val="22"/>
          <w:lang w:eastAsia="en-GB"/>
        </w:rPr>
      </w:pPr>
      <w:hyperlink w:anchor="_Toc497205716" w:history="1">
        <w:r w:rsidR="0062283F" w:rsidRPr="00C66271">
          <w:rPr>
            <w:rStyle w:val="Hyperlink"/>
            <w:noProof/>
          </w:rPr>
          <w:t>B.</w:t>
        </w:r>
        <w:r w:rsidR="0062283F">
          <w:rPr>
            <w:rFonts w:asciiTheme="minorHAnsi" w:eastAsiaTheme="minorEastAsia" w:hAnsiTheme="minorHAnsi" w:cstheme="minorBidi"/>
            <w:noProof/>
            <w:sz w:val="22"/>
            <w:szCs w:val="22"/>
            <w:lang w:eastAsia="en-GB"/>
          </w:rPr>
          <w:tab/>
        </w:r>
        <w:r w:rsidR="0062283F" w:rsidRPr="00C66271">
          <w:rPr>
            <w:rStyle w:val="Hyperlink"/>
            <w:noProof/>
          </w:rPr>
          <w:t>Subject 2: Scope of application</w:t>
        </w:r>
        <w:r w:rsidR="0062283F">
          <w:rPr>
            <w:noProof/>
            <w:webHidden/>
          </w:rPr>
          <w:tab/>
        </w:r>
        <w:r w:rsidR="0062283F">
          <w:rPr>
            <w:noProof/>
            <w:webHidden/>
          </w:rPr>
          <w:fldChar w:fldCharType="begin"/>
        </w:r>
        <w:r w:rsidR="0062283F">
          <w:rPr>
            <w:noProof/>
            <w:webHidden/>
          </w:rPr>
          <w:instrText xml:space="preserve"> PAGEREF _Toc497205716 \h </w:instrText>
        </w:r>
        <w:r w:rsidR="0062283F">
          <w:rPr>
            <w:noProof/>
            <w:webHidden/>
          </w:rPr>
        </w:r>
        <w:r w:rsidR="0062283F">
          <w:rPr>
            <w:noProof/>
            <w:webHidden/>
          </w:rPr>
          <w:fldChar w:fldCharType="separate"/>
        </w:r>
        <w:r w:rsidR="00BB5DB7">
          <w:rPr>
            <w:noProof/>
            <w:webHidden/>
          </w:rPr>
          <w:t>10</w:t>
        </w:r>
        <w:r w:rsidR="0062283F">
          <w:rPr>
            <w:noProof/>
            <w:webHidden/>
          </w:rPr>
          <w:fldChar w:fldCharType="end"/>
        </w:r>
      </w:hyperlink>
    </w:p>
    <w:p w14:paraId="0D55352B" w14:textId="494C8CEE" w:rsidR="0062283F" w:rsidRDefault="001B7645">
      <w:pPr>
        <w:pStyle w:val="TOC2"/>
        <w:rPr>
          <w:rFonts w:asciiTheme="minorHAnsi" w:eastAsiaTheme="minorEastAsia" w:hAnsiTheme="minorHAnsi" w:cstheme="minorBidi"/>
          <w:noProof/>
          <w:sz w:val="22"/>
          <w:szCs w:val="22"/>
          <w:lang w:eastAsia="en-GB"/>
        </w:rPr>
      </w:pPr>
      <w:hyperlink w:anchor="_Toc497205717" w:history="1">
        <w:r w:rsidR="0062283F" w:rsidRPr="00C66271">
          <w:rPr>
            <w:rStyle w:val="Hyperlink"/>
            <w:noProof/>
          </w:rPr>
          <w:t>C.</w:t>
        </w:r>
        <w:r w:rsidR="0062283F">
          <w:rPr>
            <w:rFonts w:asciiTheme="minorHAnsi" w:eastAsiaTheme="minorEastAsia" w:hAnsiTheme="minorHAnsi" w:cstheme="minorBidi"/>
            <w:noProof/>
            <w:sz w:val="22"/>
            <w:szCs w:val="22"/>
            <w:lang w:eastAsia="en-GB"/>
          </w:rPr>
          <w:tab/>
        </w:r>
        <w:r w:rsidR="0062283F" w:rsidRPr="00C66271">
          <w:rPr>
            <w:rStyle w:val="Hyperlink"/>
            <w:noProof/>
          </w:rPr>
          <w:t>Subject 3: General obligations</w:t>
        </w:r>
        <w:r w:rsidR="0062283F">
          <w:rPr>
            <w:noProof/>
            <w:webHidden/>
          </w:rPr>
          <w:tab/>
        </w:r>
        <w:r w:rsidR="0062283F">
          <w:rPr>
            <w:noProof/>
            <w:webHidden/>
          </w:rPr>
          <w:fldChar w:fldCharType="begin"/>
        </w:r>
        <w:r w:rsidR="0062283F">
          <w:rPr>
            <w:noProof/>
            <w:webHidden/>
          </w:rPr>
          <w:instrText xml:space="preserve"> PAGEREF _Toc497205717 \h </w:instrText>
        </w:r>
        <w:r w:rsidR="0062283F">
          <w:rPr>
            <w:noProof/>
            <w:webHidden/>
          </w:rPr>
        </w:r>
        <w:r w:rsidR="0062283F">
          <w:rPr>
            <w:noProof/>
            <w:webHidden/>
          </w:rPr>
          <w:fldChar w:fldCharType="separate"/>
        </w:r>
        <w:r w:rsidR="00BB5DB7">
          <w:rPr>
            <w:noProof/>
            <w:webHidden/>
          </w:rPr>
          <w:t>12</w:t>
        </w:r>
        <w:r w:rsidR="0062283F">
          <w:rPr>
            <w:noProof/>
            <w:webHidden/>
          </w:rPr>
          <w:fldChar w:fldCharType="end"/>
        </w:r>
      </w:hyperlink>
    </w:p>
    <w:p w14:paraId="18E571F0" w14:textId="31E07180" w:rsidR="0062283F" w:rsidRDefault="001B7645">
      <w:pPr>
        <w:pStyle w:val="TOC2"/>
        <w:rPr>
          <w:rFonts w:asciiTheme="minorHAnsi" w:eastAsiaTheme="minorEastAsia" w:hAnsiTheme="minorHAnsi" w:cstheme="minorBidi"/>
          <w:noProof/>
          <w:sz w:val="22"/>
          <w:szCs w:val="22"/>
          <w:lang w:eastAsia="en-GB"/>
        </w:rPr>
      </w:pPr>
      <w:hyperlink w:anchor="_Toc497205718" w:history="1">
        <w:r w:rsidR="0062283F" w:rsidRPr="00C66271">
          <w:rPr>
            <w:rStyle w:val="Hyperlink"/>
            <w:noProof/>
          </w:rPr>
          <w:t>D.</w:t>
        </w:r>
        <w:r w:rsidR="0062283F">
          <w:rPr>
            <w:rFonts w:asciiTheme="minorHAnsi" w:eastAsiaTheme="minorEastAsia" w:hAnsiTheme="minorHAnsi" w:cstheme="minorBidi"/>
            <w:noProof/>
            <w:sz w:val="22"/>
            <w:szCs w:val="22"/>
            <w:lang w:eastAsia="en-GB"/>
          </w:rPr>
          <w:tab/>
        </w:r>
        <w:r w:rsidR="0062283F" w:rsidRPr="00C66271">
          <w:rPr>
            <w:rStyle w:val="Hyperlink"/>
            <w:noProof/>
          </w:rPr>
          <w:t>Subject 4: Preventive measures</w:t>
        </w:r>
        <w:r w:rsidR="0062283F">
          <w:rPr>
            <w:noProof/>
            <w:webHidden/>
          </w:rPr>
          <w:tab/>
        </w:r>
        <w:r w:rsidR="0062283F">
          <w:rPr>
            <w:noProof/>
            <w:webHidden/>
          </w:rPr>
          <w:fldChar w:fldCharType="begin"/>
        </w:r>
        <w:r w:rsidR="0062283F">
          <w:rPr>
            <w:noProof/>
            <w:webHidden/>
          </w:rPr>
          <w:instrText xml:space="preserve"> PAGEREF _Toc497205718 \h </w:instrText>
        </w:r>
        <w:r w:rsidR="0062283F">
          <w:rPr>
            <w:noProof/>
            <w:webHidden/>
          </w:rPr>
        </w:r>
        <w:r w:rsidR="0062283F">
          <w:rPr>
            <w:noProof/>
            <w:webHidden/>
          </w:rPr>
          <w:fldChar w:fldCharType="separate"/>
        </w:r>
        <w:r w:rsidR="00BB5DB7">
          <w:rPr>
            <w:noProof/>
            <w:webHidden/>
          </w:rPr>
          <w:t>14</w:t>
        </w:r>
        <w:r w:rsidR="0062283F">
          <w:rPr>
            <w:noProof/>
            <w:webHidden/>
          </w:rPr>
          <w:fldChar w:fldCharType="end"/>
        </w:r>
      </w:hyperlink>
    </w:p>
    <w:p w14:paraId="3550CA52" w14:textId="636452D6" w:rsidR="0062283F" w:rsidRDefault="001B7645">
      <w:pPr>
        <w:pStyle w:val="TOC2"/>
        <w:rPr>
          <w:rFonts w:asciiTheme="minorHAnsi" w:eastAsiaTheme="minorEastAsia" w:hAnsiTheme="minorHAnsi" w:cstheme="minorBidi"/>
          <w:noProof/>
          <w:sz w:val="22"/>
          <w:szCs w:val="22"/>
          <w:lang w:eastAsia="en-GB"/>
        </w:rPr>
      </w:pPr>
      <w:hyperlink w:anchor="_Toc497205719" w:history="1">
        <w:r w:rsidR="0062283F" w:rsidRPr="00C66271">
          <w:rPr>
            <w:rStyle w:val="Hyperlink"/>
            <w:noProof/>
          </w:rPr>
          <w:t>E.</w:t>
        </w:r>
        <w:r w:rsidR="0062283F">
          <w:rPr>
            <w:rFonts w:asciiTheme="minorHAnsi" w:eastAsiaTheme="minorEastAsia" w:hAnsiTheme="minorHAnsi" w:cstheme="minorBidi"/>
            <w:noProof/>
            <w:sz w:val="22"/>
            <w:szCs w:val="22"/>
            <w:lang w:eastAsia="en-GB"/>
          </w:rPr>
          <w:tab/>
        </w:r>
        <w:r w:rsidR="0062283F" w:rsidRPr="00C66271">
          <w:rPr>
            <w:rStyle w:val="Hyperlink"/>
            <w:noProof/>
          </w:rPr>
          <w:t>Subject 5: Legal liability</w:t>
        </w:r>
        <w:r w:rsidR="0062283F">
          <w:rPr>
            <w:noProof/>
            <w:webHidden/>
          </w:rPr>
          <w:tab/>
        </w:r>
        <w:r w:rsidR="0062283F">
          <w:rPr>
            <w:noProof/>
            <w:webHidden/>
          </w:rPr>
          <w:fldChar w:fldCharType="begin"/>
        </w:r>
        <w:r w:rsidR="0062283F">
          <w:rPr>
            <w:noProof/>
            <w:webHidden/>
          </w:rPr>
          <w:instrText xml:space="preserve"> PAGEREF _Toc497205719 \h </w:instrText>
        </w:r>
        <w:r w:rsidR="0062283F">
          <w:rPr>
            <w:noProof/>
            <w:webHidden/>
          </w:rPr>
        </w:r>
        <w:r w:rsidR="0062283F">
          <w:rPr>
            <w:noProof/>
            <w:webHidden/>
          </w:rPr>
          <w:fldChar w:fldCharType="separate"/>
        </w:r>
        <w:r w:rsidR="00BB5DB7">
          <w:rPr>
            <w:noProof/>
            <w:webHidden/>
          </w:rPr>
          <w:t>15</w:t>
        </w:r>
        <w:r w:rsidR="0062283F">
          <w:rPr>
            <w:noProof/>
            <w:webHidden/>
          </w:rPr>
          <w:fldChar w:fldCharType="end"/>
        </w:r>
      </w:hyperlink>
    </w:p>
    <w:p w14:paraId="776E8639" w14:textId="6E7C7D19" w:rsidR="0062283F" w:rsidRDefault="001B7645">
      <w:pPr>
        <w:pStyle w:val="TOC2"/>
        <w:rPr>
          <w:rFonts w:asciiTheme="minorHAnsi" w:eastAsiaTheme="minorEastAsia" w:hAnsiTheme="minorHAnsi" w:cstheme="minorBidi"/>
          <w:noProof/>
          <w:sz w:val="22"/>
          <w:szCs w:val="22"/>
          <w:lang w:eastAsia="en-GB"/>
        </w:rPr>
      </w:pPr>
      <w:hyperlink w:anchor="_Toc497205720" w:history="1">
        <w:r w:rsidR="0062283F" w:rsidRPr="00C66271">
          <w:rPr>
            <w:rStyle w:val="Hyperlink"/>
            <w:noProof/>
          </w:rPr>
          <w:t>F.</w:t>
        </w:r>
        <w:r w:rsidR="0062283F">
          <w:rPr>
            <w:rFonts w:asciiTheme="minorHAnsi" w:eastAsiaTheme="minorEastAsia" w:hAnsiTheme="minorHAnsi" w:cstheme="minorBidi"/>
            <w:noProof/>
            <w:sz w:val="22"/>
            <w:szCs w:val="22"/>
            <w:lang w:eastAsia="en-GB"/>
          </w:rPr>
          <w:tab/>
        </w:r>
        <w:r w:rsidR="0062283F" w:rsidRPr="00C66271">
          <w:rPr>
            <w:rStyle w:val="Hyperlink"/>
            <w:noProof/>
          </w:rPr>
          <w:t>Subject 6: Access to justice, effective remedy and guarantees of non-repetition</w:t>
        </w:r>
        <w:r w:rsidR="0062283F">
          <w:rPr>
            <w:noProof/>
            <w:webHidden/>
          </w:rPr>
          <w:tab/>
        </w:r>
        <w:r w:rsidR="0062283F">
          <w:rPr>
            <w:noProof/>
            <w:webHidden/>
          </w:rPr>
          <w:fldChar w:fldCharType="begin"/>
        </w:r>
        <w:r w:rsidR="0062283F">
          <w:rPr>
            <w:noProof/>
            <w:webHidden/>
          </w:rPr>
          <w:instrText xml:space="preserve"> PAGEREF _Toc497205720 \h </w:instrText>
        </w:r>
        <w:r w:rsidR="0062283F">
          <w:rPr>
            <w:noProof/>
            <w:webHidden/>
          </w:rPr>
        </w:r>
        <w:r w:rsidR="0062283F">
          <w:rPr>
            <w:noProof/>
            <w:webHidden/>
          </w:rPr>
          <w:fldChar w:fldCharType="separate"/>
        </w:r>
        <w:r w:rsidR="00BB5DB7">
          <w:rPr>
            <w:noProof/>
            <w:webHidden/>
          </w:rPr>
          <w:t>17</w:t>
        </w:r>
        <w:r w:rsidR="0062283F">
          <w:rPr>
            <w:noProof/>
            <w:webHidden/>
          </w:rPr>
          <w:fldChar w:fldCharType="end"/>
        </w:r>
      </w:hyperlink>
    </w:p>
    <w:p w14:paraId="66204220" w14:textId="5729AEB7" w:rsidR="0062283F" w:rsidRDefault="001B7645">
      <w:pPr>
        <w:pStyle w:val="TOC2"/>
        <w:rPr>
          <w:rFonts w:asciiTheme="minorHAnsi" w:eastAsiaTheme="minorEastAsia" w:hAnsiTheme="minorHAnsi" w:cstheme="minorBidi"/>
          <w:noProof/>
          <w:sz w:val="22"/>
          <w:szCs w:val="22"/>
          <w:lang w:eastAsia="en-GB"/>
        </w:rPr>
      </w:pPr>
      <w:hyperlink w:anchor="_Toc497205721" w:history="1">
        <w:r w:rsidR="0062283F" w:rsidRPr="00C66271">
          <w:rPr>
            <w:rStyle w:val="Hyperlink"/>
            <w:noProof/>
          </w:rPr>
          <w:t>G.</w:t>
        </w:r>
        <w:r w:rsidR="0062283F">
          <w:rPr>
            <w:rFonts w:asciiTheme="minorHAnsi" w:eastAsiaTheme="minorEastAsia" w:hAnsiTheme="minorHAnsi" w:cstheme="minorBidi"/>
            <w:noProof/>
            <w:sz w:val="22"/>
            <w:szCs w:val="22"/>
            <w:lang w:eastAsia="en-GB"/>
          </w:rPr>
          <w:tab/>
        </w:r>
        <w:r w:rsidR="0062283F" w:rsidRPr="00C66271">
          <w:rPr>
            <w:rStyle w:val="Hyperlink"/>
            <w:noProof/>
          </w:rPr>
          <w:t>Subject 7: Jurisdiction</w:t>
        </w:r>
        <w:r w:rsidR="0062283F">
          <w:rPr>
            <w:noProof/>
            <w:webHidden/>
          </w:rPr>
          <w:tab/>
        </w:r>
        <w:r w:rsidR="0062283F">
          <w:rPr>
            <w:noProof/>
            <w:webHidden/>
          </w:rPr>
          <w:fldChar w:fldCharType="begin"/>
        </w:r>
        <w:r w:rsidR="0062283F">
          <w:rPr>
            <w:noProof/>
            <w:webHidden/>
          </w:rPr>
          <w:instrText xml:space="preserve"> PAGEREF _Toc497205721 \h </w:instrText>
        </w:r>
        <w:r w:rsidR="0062283F">
          <w:rPr>
            <w:noProof/>
            <w:webHidden/>
          </w:rPr>
        </w:r>
        <w:r w:rsidR="0062283F">
          <w:rPr>
            <w:noProof/>
            <w:webHidden/>
          </w:rPr>
          <w:fldChar w:fldCharType="separate"/>
        </w:r>
        <w:r w:rsidR="00BB5DB7">
          <w:rPr>
            <w:noProof/>
            <w:webHidden/>
          </w:rPr>
          <w:t>18</w:t>
        </w:r>
        <w:r w:rsidR="0062283F">
          <w:rPr>
            <w:noProof/>
            <w:webHidden/>
          </w:rPr>
          <w:fldChar w:fldCharType="end"/>
        </w:r>
      </w:hyperlink>
    </w:p>
    <w:p w14:paraId="7E95A48E" w14:textId="7E9B15ED" w:rsidR="0062283F" w:rsidRDefault="001B7645">
      <w:pPr>
        <w:pStyle w:val="TOC2"/>
        <w:rPr>
          <w:rFonts w:asciiTheme="minorHAnsi" w:eastAsiaTheme="minorEastAsia" w:hAnsiTheme="minorHAnsi" w:cstheme="minorBidi"/>
          <w:noProof/>
          <w:sz w:val="22"/>
          <w:szCs w:val="22"/>
          <w:lang w:eastAsia="en-GB"/>
        </w:rPr>
      </w:pPr>
      <w:hyperlink w:anchor="_Toc497205722" w:history="1">
        <w:r w:rsidR="0062283F" w:rsidRPr="00C66271">
          <w:rPr>
            <w:rStyle w:val="Hyperlink"/>
            <w:noProof/>
          </w:rPr>
          <w:t>H.</w:t>
        </w:r>
        <w:r w:rsidR="0062283F">
          <w:rPr>
            <w:rFonts w:asciiTheme="minorHAnsi" w:eastAsiaTheme="minorEastAsia" w:hAnsiTheme="minorHAnsi" w:cstheme="minorBidi"/>
            <w:noProof/>
            <w:sz w:val="22"/>
            <w:szCs w:val="22"/>
            <w:lang w:eastAsia="en-GB"/>
          </w:rPr>
          <w:tab/>
        </w:r>
        <w:r w:rsidR="0062283F" w:rsidRPr="00C66271">
          <w:rPr>
            <w:rStyle w:val="Hyperlink"/>
            <w:noProof/>
          </w:rPr>
          <w:t>Subject 8: International cooperation</w:t>
        </w:r>
        <w:r w:rsidR="0062283F">
          <w:rPr>
            <w:noProof/>
            <w:webHidden/>
          </w:rPr>
          <w:tab/>
        </w:r>
        <w:r w:rsidR="0062283F">
          <w:rPr>
            <w:noProof/>
            <w:webHidden/>
          </w:rPr>
          <w:fldChar w:fldCharType="begin"/>
        </w:r>
        <w:r w:rsidR="0062283F">
          <w:rPr>
            <w:noProof/>
            <w:webHidden/>
          </w:rPr>
          <w:instrText xml:space="preserve"> PAGEREF _Toc497205722 \h </w:instrText>
        </w:r>
        <w:r w:rsidR="0062283F">
          <w:rPr>
            <w:noProof/>
            <w:webHidden/>
          </w:rPr>
        </w:r>
        <w:r w:rsidR="0062283F">
          <w:rPr>
            <w:noProof/>
            <w:webHidden/>
          </w:rPr>
          <w:fldChar w:fldCharType="separate"/>
        </w:r>
        <w:r w:rsidR="00BB5DB7">
          <w:rPr>
            <w:noProof/>
            <w:webHidden/>
          </w:rPr>
          <w:t>20</w:t>
        </w:r>
        <w:r w:rsidR="0062283F">
          <w:rPr>
            <w:noProof/>
            <w:webHidden/>
          </w:rPr>
          <w:fldChar w:fldCharType="end"/>
        </w:r>
      </w:hyperlink>
    </w:p>
    <w:p w14:paraId="4DD6E11C" w14:textId="3FB496CF" w:rsidR="0062283F" w:rsidRDefault="001B7645">
      <w:pPr>
        <w:pStyle w:val="TOC2"/>
        <w:rPr>
          <w:rFonts w:asciiTheme="minorHAnsi" w:eastAsiaTheme="minorEastAsia" w:hAnsiTheme="minorHAnsi" w:cstheme="minorBidi"/>
          <w:noProof/>
          <w:sz w:val="22"/>
          <w:szCs w:val="22"/>
          <w:lang w:eastAsia="en-GB"/>
        </w:rPr>
      </w:pPr>
      <w:hyperlink w:anchor="_Toc497205723" w:history="1">
        <w:r w:rsidR="0062283F" w:rsidRPr="00C66271">
          <w:rPr>
            <w:rStyle w:val="Hyperlink"/>
            <w:noProof/>
          </w:rPr>
          <w:t>I.</w:t>
        </w:r>
        <w:r w:rsidR="0062283F">
          <w:rPr>
            <w:rFonts w:asciiTheme="minorHAnsi" w:eastAsiaTheme="minorEastAsia" w:hAnsiTheme="minorHAnsi" w:cstheme="minorBidi"/>
            <w:noProof/>
            <w:sz w:val="22"/>
            <w:szCs w:val="22"/>
            <w:lang w:eastAsia="en-GB"/>
          </w:rPr>
          <w:tab/>
        </w:r>
        <w:r w:rsidR="0062283F" w:rsidRPr="00C66271">
          <w:rPr>
            <w:rStyle w:val="Hyperlink"/>
            <w:noProof/>
          </w:rPr>
          <w:t>Subject 9: Mechanisms for promotion, implementation and monitoring</w:t>
        </w:r>
        <w:r w:rsidR="0062283F">
          <w:rPr>
            <w:noProof/>
            <w:webHidden/>
          </w:rPr>
          <w:tab/>
        </w:r>
        <w:r w:rsidR="0062283F">
          <w:rPr>
            <w:noProof/>
            <w:webHidden/>
          </w:rPr>
          <w:fldChar w:fldCharType="begin"/>
        </w:r>
        <w:r w:rsidR="0062283F">
          <w:rPr>
            <w:noProof/>
            <w:webHidden/>
          </w:rPr>
          <w:instrText xml:space="preserve"> PAGEREF _Toc497205723 \h </w:instrText>
        </w:r>
        <w:r w:rsidR="0062283F">
          <w:rPr>
            <w:noProof/>
            <w:webHidden/>
          </w:rPr>
        </w:r>
        <w:r w:rsidR="0062283F">
          <w:rPr>
            <w:noProof/>
            <w:webHidden/>
          </w:rPr>
          <w:fldChar w:fldCharType="separate"/>
        </w:r>
        <w:r w:rsidR="00BB5DB7">
          <w:rPr>
            <w:noProof/>
            <w:webHidden/>
          </w:rPr>
          <w:t>21</w:t>
        </w:r>
        <w:r w:rsidR="0062283F">
          <w:rPr>
            <w:noProof/>
            <w:webHidden/>
          </w:rPr>
          <w:fldChar w:fldCharType="end"/>
        </w:r>
      </w:hyperlink>
    </w:p>
    <w:p w14:paraId="4786BD06" w14:textId="3C08182E" w:rsidR="0062283F" w:rsidRDefault="001B7645">
      <w:pPr>
        <w:pStyle w:val="TOC2"/>
        <w:rPr>
          <w:rFonts w:asciiTheme="minorHAnsi" w:eastAsiaTheme="minorEastAsia" w:hAnsiTheme="minorHAnsi" w:cstheme="minorBidi"/>
          <w:noProof/>
          <w:sz w:val="22"/>
          <w:szCs w:val="22"/>
          <w:lang w:eastAsia="en-GB"/>
        </w:rPr>
      </w:pPr>
      <w:hyperlink w:anchor="_Toc497205724" w:history="1">
        <w:r w:rsidR="0062283F" w:rsidRPr="00C66271">
          <w:rPr>
            <w:rStyle w:val="Hyperlink"/>
            <w:noProof/>
          </w:rPr>
          <w:t>J.</w:t>
        </w:r>
        <w:r w:rsidR="0062283F">
          <w:rPr>
            <w:rFonts w:asciiTheme="minorHAnsi" w:eastAsiaTheme="minorEastAsia" w:hAnsiTheme="minorHAnsi" w:cstheme="minorBidi"/>
            <w:noProof/>
            <w:sz w:val="22"/>
            <w:szCs w:val="22"/>
            <w:lang w:eastAsia="en-GB"/>
          </w:rPr>
          <w:tab/>
        </w:r>
        <w:r w:rsidR="0062283F" w:rsidRPr="00C66271">
          <w:rPr>
            <w:rStyle w:val="Hyperlink"/>
            <w:noProof/>
          </w:rPr>
          <w:t>Subject 10: General provisions</w:t>
        </w:r>
        <w:r w:rsidR="0062283F">
          <w:rPr>
            <w:noProof/>
            <w:webHidden/>
          </w:rPr>
          <w:tab/>
        </w:r>
        <w:r w:rsidR="0062283F">
          <w:rPr>
            <w:noProof/>
            <w:webHidden/>
          </w:rPr>
          <w:fldChar w:fldCharType="begin"/>
        </w:r>
        <w:r w:rsidR="0062283F">
          <w:rPr>
            <w:noProof/>
            <w:webHidden/>
          </w:rPr>
          <w:instrText xml:space="preserve"> PAGEREF _Toc497205724 \h </w:instrText>
        </w:r>
        <w:r w:rsidR="0062283F">
          <w:rPr>
            <w:noProof/>
            <w:webHidden/>
          </w:rPr>
        </w:r>
        <w:r w:rsidR="0062283F">
          <w:rPr>
            <w:noProof/>
            <w:webHidden/>
          </w:rPr>
          <w:fldChar w:fldCharType="separate"/>
        </w:r>
        <w:r w:rsidR="00BB5DB7">
          <w:rPr>
            <w:noProof/>
            <w:webHidden/>
          </w:rPr>
          <w:t>22</w:t>
        </w:r>
        <w:r w:rsidR="0062283F">
          <w:rPr>
            <w:noProof/>
            <w:webHidden/>
          </w:rPr>
          <w:fldChar w:fldCharType="end"/>
        </w:r>
      </w:hyperlink>
    </w:p>
    <w:p w14:paraId="170E5E75" w14:textId="62727DF4" w:rsidR="0062283F" w:rsidRDefault="001B7645">
      <w:pPr>
        <w:pStyle w:val="TOC2"/>
        <w:rPr>
          <w:rFonts w:asciiTheme="minorHAnsi" w:eastAsiaTheme="minorEastAsia" w:hAnsiTheme="minorHAnsi" w:cstheme="minorBidi"/>
          <w:noProof/>
          <w:sz w:val="22"/>
          <w:szCs w:val="22"/>
          <w:lang w:eastAsia="en-GB"/>
        </w:rPr>
      </w:pPr>
      <w:hyperlink w:anchor="_Toc497205725" w:history="1">
        <w:r w:rsidR="0062283F" w:rsidRPr="00C66271">
          <w:rPr>
            <w:rStyle w:val="Hyperlink"/>
            <w:noProof/>
          </w:rPr>
          <w:t>K.</w:t>
        </w:r>
        <w:r w:rsidR="0062283F">
          <w:rPr>
            <w:rFonts w:asciiTheme="minorHAnsi" w:eastAsiaTheme="minorEastAsia" w:hAnsiTheme="minorHAnsi" w:cstheme="minorBidi"/>
            <w:noProof/>
            <w:sz w:val="22"/>
            <w:szCs w:val="22"/>
            <w:lang w:eastAsia="en-GB"/>
          </w:rPr>
          <w:tab/>
        </w:r>
        <w:r w:rsidR="0062283F" w:rsidRPr="00C66271">
          <w:rPr>
            <w:rStyle w:val="Hyperlink"/>
            <w:noProof/>
          </w:rPr>
          <w:t>Panel: The voices of the victims</w:t>
        </w:r>
        <w:r w:rsidR="0062283F">
          <w:rPr>
            <w:noProof/>
            <w:webHidden/>
          </w:rPr>
          <w:tab/>
        </w:r>
        <w:r w:rsidR="0062283F">
          <w:rPr>
            <w:noProof/>
            <w:webHidden/>
          </w:rPr>
          <w:fldChar w:fldCharType="begin"/>
        </w:r>
        <w:r w:rsidR="0062283F">
          <w:rPr>
            <w:noProof/>
            <w:webHidden/>
          </w:rPr>
          <w:instrText xml:space="preserve"> PAGEREF _Toc497205725 \h </w:instrText>
        </w:r>
        <w:r w:rsidR="0062283F">
          <w:rPr>
            <w:noProof/>
            <w:webHidden/>
          </w:rPr>
        </w:r>
        <w:r w:rsidR="0062283F">
          <w:rPr>
            <w:noProof/>
            <w:webHidden/>
          </w:rPr>
          <w:fldChar w:fldCharType="separate"/>
        </w:r>
        <w:r w:rsidR="00BB5DB7">
          <w:rPr>
            <w:noProof/>
            <w:webHidden/>
          </w:rPr>
          <w:t>22</w:t>
        </w:r>
        <w:r w:rsidR="0062283F">
          <w:rPr>
            <w:noProof/>
            <w:webHidden/>
          </w:rPr>
          <w:fldChar w:fldCharType="end"/>
        </w:r>
      </w:hyperlink>
    </w:p>
    <w:p w14:paraId="1D4A68BA" w14:textId="6BCD0FDF" w:rsidR="0062283F" w:rsidRDefault="001B7645">
      <w:pPr>
        <w:pStyle w:val="TOC1"/>
        <w:rPr>
          <w:rFonts w:asciiTheme="minorHAnsi" w:eastAsiaTheme="minorEastAsia" w:hAnsiTheme="minorHAnsi" w:cstheme="minorBidi"/>
          <w:noProof/>
          <w:sz w:val="22"/>
          <w:szCs w:val="22"/>
          <w:lang w:eastAsia="en-GB"/>
        </w:rPr>
      </w:pPr>
      <w:hyperlink w:anchor="_Toc497205726" w:history="1">
        <w:r w:rsidR="0062283F" w:rsidRPr="00C66271">
          <w:rPr>
            <w:rStyle w:val="Hyperlink"/>
            <w:noProof/>
          </w:rPr>
          <w:t>V.</w:t>
        </w:r>
        <w:r w:rsidR="0062283F">
          <w:rPr>
            <w:rFonts w:asciiTheme="minorHAnsi" w:eastAsiaTheme="minorEastAsia" w:hAnsiTheme="minorHAnsi" w:cstheme="minorBidi"/>
            <w:noProof/>
            <w:sz w:val="22"/>
            <w:szCs w:val="22"/>
            <w:lang w:eastAsia="en-GB"/>
          </w:rPr>
          <w:tab/>
        </w:r>
        <w:r w:rsidR="0062283F" w:rsidRPr="00C66271">
          <w:rPr>
            <w:rStyle w:val="Hyperlink"/>
            <w:noProof/>
          </w:rPr>
          <w:t>Recommendations of the Chair-Rapporteur and conclusions of the working group</w:t>
        </w:r>
        <w:r w:rsidR="0062283F">
          <w:rPr>
            <w:noProof/>
            <w:webHidden/>
          </w:rPr>
          <w:tab/>
        </w:r>
        <w:r w:rsidR="0062283F">
          <w:rPr>
            <w:noProof/>
            <w:webHidden/>
          </w:rPr>
          <w:fldChar w:fldCharType="begin"/>
        </w:r>
        <w:r w:rsidR="0062283F">
          <w:rPr>
            <w:noProof/>
            <w:webHidden/>
          </w:rPr>
          <w:instrText xml:space="preserve"> PAGEREF _Toc497205726 \h </w:instrText>
        </w:r>
        <w:r w:rsidR="0062283F">
          <w:rPr>
            <w:noProof/>
            <w:webHidden/>
          </w:rPr>
        </w:r>
        <w:r w:rsidR="0062283F">
          <w:rPr>
            <w:noProof/>
            <w:webHidden/>
          </w:rPr>
          <w:fldChar w:fldCharType="separate"/>
        </w:r>
        <w:r w:rsidR="00BB5DB7">
          <w:rPr>
            <w:noProof/>
            <w:webHidden/>
          </w:rPr>
          <w:t>23</w:t>
        </w:r>
        <w:r w:rsidR="0062283F">
          <w:rPr>
            <w:noProof/>
            <w:webHidden/>
          </w:rPr>
          <w:fldChar w:fldCharType="end"/>
        </w:r>
      </w:hyperlink>
    </w:p>
    <w:p w14:paraId="4AA06037" w14:textId="175ADC24" w:rsidR="0062283F" w:rsidRDefault="001B7645">
      <w:pPr>
        <w:pStyle w:val="TOC2"/>
        <w:rPr>
          <w:rFonts w:asciiTheme="minorHAnsi" w:eastAsiaTheme="minorEastAsia" w:hAnsiTheme="minorHAnsi" w:cstheme="minorBidi"/>
          <w:noProof/>
          <w:sz w:val="22"/>
          <w:szCs w:val="22"/>
          <w:lang w:eastAsia="en-GB"/>
        </w:rPr>
      </w:pPr>
      <w:hyperlink w:anchor="_Toc497205727" w:history="1">
        <w:r w:rsidR="0062283F" w:rsidRPr="00C66271">
          <w:rPr>
            <w:rStyle w:val="Hyperlink"/>
            <w:noProof/>
          </w:rPr>
          <w:t>A.</w:t>
        </w:r>
        <w:r w:rsidR="0062283F">
          <w:rPr>
            <w:rFonts w:asciiTheme="minorHAnsi" w:eastAsiaTheme="minorEastAsia" w:hAnsiTheme="minorHAnsi" w:cstheme="minorBidi"/>
            <w:noProof/>
            <w:sz w:val="22"/>
            <w:szCs w:val="22"/>
            <w:lang w:eastAsia="en-GB"/>
          </w:rPr>
          <w:tab/>
        </w:r>
        <w:r w:rsidR="0062283F" w:rsidRPr="00C66271">
          <w:rPr>
            <w:rStyle w:val="Hyperlink"/>
            <w:noProof/>
          </w:rPr>
          <w:t>Recommendations of the Chair-Rapporteur</w:t>
        </w:r>
        <w:r w:rsidR="0062283F">
          <w:rPr>
            <w:noProof/>
            <w:webHidden/>
          </w:rPr>
          <w:tab/>
        </w:r>
        <w:r w:rsidR="0062283F">
          <w:rPr>
            <w:noProof/>
            <w:webHidden/>
          </w:rPr>
          <w:fldChar w:fldCharType="begin"/>
        </w:r>
        <w:r w:rsidR="0062283F">
          <w:rPr>
            <w:noProof/>
            <w:webHidden/>
          </w:rPr>
          <w:instrText xml:space="preserve"> PAGEREF _Toc497205727 \h </w:instrText>
        </w:r>
        <w:r w:rsidR="0062283F">
          <w:rPr>
            <w:noProof/>
            <w:webHidden/>
          </w:rPr>
        </w:r>
        <w:r w:rsidR="0062283F">
          <w:rPr>
            <w:noProof/>
            <w:webHidden/>
          </w:rPr>
          <w:fldChar w:fldCharType="separate"/>
        </w:r>
        <w:r w:rsidR="00BB5DB7">
          <w:rPr>
            <w:noProof/>
            <w:webHidden/>
          </w:rPr>
          <w:t>23</w:t>
        </w:r>
        <w:r w:rsidR="0062283F">
          <w:rPr>
            <w:noProof/>
            <w:webHidden/>
          </w:rPr>
          <w:fldChar w:fldCharType="end"/>
        </w:r>
      </w:hyperlink>
    </w:p>
    <w:p w14:paraId="0598041D" w14:textId="32910485" w:rsidR="0062283F" w:rsidRDefault="001B7645">
      <w:pPr>
        <w:pStyle w:val="TOC2"/>
        <w:rPr>
          <w:rFonts w:asciiTheme="minorHAnsi" w:eastAsiaTheme="minorEastAsia" w:hAnsiTheme="minorHAnsi" w:cstheme="minorBidi"/>
          <w:noProof/>
          <w:sz w:val="22"/>
          <w:szCs w:val="22"/>
          <w:lang w:eastAsia="en-GB"/>
        </w:rPr>
      </w:pPr>
      <w:hyperlink w:anchor="_Toc497205728" w:history="1">
        <w:r w:rsidR="0062283F" w:rsidRPr="00C66271">
          <w:rPr>
            <w:rStyle w:val="Hyperlink"/>
            <w:noProof/>
          </w:rPr>
          <w:t>B.</w:t>
        </w:r>
        <w:r w:rsidR="0062283F">
          <w:rPr>
            <w:rFonts w:asciiTheme="minorHAnsi" w:eastAsiaTheme="minorEastAsia" w:hAnsiTheme="minorHAnsi" w:cstheme="minorBidi"/>
            <w:noProof/>
            <w:sz w:val="22"/>
            <w:szCs w:val="22"/>
            <w:lang w:eastAsia="en-GB"/>
          </w:rPr>
          <w:tab/>
        </w:r>
        <w:r w:rsidR="0062283F" w:rsidRPr="00C66271">
          <w:rPr>
            <w:rStyle w:val="Hyperlink"/>
            <w:noProof/>
          </w:rPr>
          <w:t>Conclusions of the working group</w:t>
        </w:r>
        <w:r w:rsidR="0062283F">
          <w:rPr>
            <w:noProof/>
            <w:webHidden/>
          </w:rPr>
          <w:tab/>
        </w:r>
        <w:r w:rsidR="0062283F">
          <w:rPr>
            <w:noProof/>
            <w:webHidden/>
          </w:rPr>
          <w:fldChar w:fldCharType="begin"/>
        </w:r>
        <w:r w:rsidR="0062283F">
          <w:rPr>
            <w:noProof/>
            <w:webHidden/>
          </w:rPr>
          <w:instrText xml:space="preserve"> PAGEREF _Toc497205728 \h </w:instrText>
        </w:r>
        <w:r w:rsidR="0062283F">
          <w:rPr>
            <w:noProof/>
            <w:webHidden/>
          </w:rPr>
        </w:r>
        <w:r w:rsidR="0062283F">
          <w:rPr>
            <w:noProof/>
            <w:webHidden/>
          </w:rPr>
          <w:fldChar w:fldCharType="separate"/>
        </w:r>
        <w:r w:rsidR="00BB5DB7">
          <w:rPr>
            <w:noProof/>
            <w:webHidden/>
          </w:rPr>
          <w:t>23</w:t>
        </w:r>
        <w:r w:rsidR="0062283F">
          <w:rPr>
            <w:noProof/>
            <w:webHidden/>
          </w:rPr>
          <w:fldChar w:fldCharType="end"/>
        </w:r>
      </w:hyperlink>
    </w:p>
    <w:p w14:paraId="33E26FC1" w14:textId="1458F23F" w:rsidR="0062283F" w:rsidRDefault="001B7645">
      <w:pPr>
        <w:pStyle w:val="TOC1"/>
        <w:rPr>
          <w:rFonts w:asciiTheme="minorHAnsi" w:eastAsiaTheme="minorEastAsia" w:hAnsiTheme="minorHAnsi" w:cstheme="minorBidi"/>
          <w:noProof/>
          <w:sz w:val="22"/>
          <w:szCs w:val="22"/>
          <w:lang w:eastAsia="en-GB"/>
        </w:rPr>
      </w:pPr>
      <w:hyperlink w:anchor="_Toc497205729" w:history="1">
        <w:r w:rsidR="0062283F" w:rsidRPr="00C66271">
          <w:rPr>
            <w:rStyle w:val="Hyperlink"/>
            <w:noProof/>
          </w:rPr>
          <w:t>VI.</w:t>
        </w:r>
        <w:r w:rsidR="0062283F">
          <w:rPr>
            <w:rFonts w:asciiTheme="minorHAnsi" w:eastAsiaTheme="minorEastAsia" w:hAnsiTheme="minorHAnsi" w:cstheme="minorBidi"/>
            <w:noProof/>
            <w:sz w:val="22"/>
            <w:szCs w:val="22"/>
            <w:lang w:eastAsia="en-GB"/>
          </w:rPr>
          <w:tab/>
        </w:r>
        <w:r w:rsidR="0062283F" w:rsidRPr="00C66271">
          <w:rPr>
            <w:rStyle w:val="Hyperlink"/>
            <w:noProof/>
          </w:rPr>
          <w:t>Adoption of the report</w:t>
        </w:r>
        <w:r w:rsidR="0062283F">
          <w:rPr>
            <w:noProof/>
            <w:webHidden/>
          </w:rPr>
          <w:tab/>
        </w:r>
        <w:r w:rsidR="0062283F">
          <w:rPr>
            <w:noProof/>
            <w:webHidden/>
          </w:rPr>
          <w:fldChar w:fldCharType="begin"/>
        </w:r>
        <w:r w:rsidR="0062283F">
          <w:rPr>
            <w:noProof/>
            <w:webHidden/>
          </w:rPr>
          <w:instrText xml:space="preserve"> PAGEREF _Toc497205729 \h </w:instrText>
        </w:r>
        <w:r w:rsidR="0062283F">
          <w:rPr>
            <w:noProof/>
            <w:webHidden/>
          </w:rPr>
        </w:r>
        <w:r w:rsidR="0062283F">
          <w:rPr>
            <w:noProof/>
            <w:webHidden/>
          </w:rPr>
          <w:fldChar w:fldCharType="separate"/>
        </w:r>
        <w:r w:rsidR="00BB5DB7">
          <w:rPr>
            <w:noProof/>
            <w:webHidden/>
          </w:rPr>
          <w:t>24</w:t>
        </w:r>
        <w:r w:rsidR="0062283F">
          <w:rPr>
            <w:noProof/>
            <w:webHidden/>
          </w:rPr>
          <w:fldChar w:fldCharType="end"/>
        </w:r>
      </w:hyperlink>
    </w:p>
    <w:p w14:paraId="41250C2D" w14:textId="0D11E916" w:rsidR="00D34C58" w:rsidRPr="00DB0EA6" w:rsidRDefault="009510CD" w:rsidP="00D34C58">
      <w:pPr>
        <w:spacing w:after="120"/>
        <w:rPr>
          <w:noProof/>
        </w:rPr>
      </w:pPr>
      <w:r w:rsidRPr="00DB0EA6">
        <w:rPr>
          <w:sz w:val="28"/>
        </w:rPr>
        <w:fldChar w:fldCharType="end"/>
      </w:r>
      <w:r w:rsidR="00D34C58" w:rsidRPr="00DB0EA6">
        <w:t>Annexes</w:t>
      </w:r>
      <w:r w:rsidR="00D34C58" w:rsidRPr="00DB0EA6">
        <w:rPr>
          <w:sz w:val="28"/>
        </w:rPr>
        <w:fldChar w:fldCharType="begin"/>
      </w:r>
      <w:r w:rsidR="00D34C58" w:rsidRPr="00DB0EA6">
        <w:rPr>
          <w:sz w:val="28"/>
        </w:rPr>
        <w:instrText xml:space="preserve"> TOC \h \z \t "_ H _Ch_G,1" \b Annex</w:instrText>
      </w:r>
      <w:r w:rsidR="00D34C58" w:rsidRPr="00DB0EA6">
        <w:rPr>
          <w:sz w:val="28"/>
        </w:rPr>
        <w:fldChar w:fldCharType="separate"/>
      </w:r>
    </w:p>
    <w:p w14:paraId="4550F251" w14:textId="13C246B7" w:rsidR="00D34C58" w:rsidRPr="00DB0EA6" w:rsidRDefault="001B7645">
      <w:pPr>
        <w:pStyle w:val="TOC1"/>
        <w:rPr>
          <w:rFonts w:asciiTheme="minorHAnsi" w:eastAsiaTheme="minorEastAsia" w:hAnsiTheme="minorHAnsi" w:cstheme="minorBidi"/>
          <w:noProof/>
          <w:sz w:val="22"/>
          <w:szCs w:val="22"/>
        </w:rPr>
      </w:pPr>
      <w:hyperlink w:anchor="_Toc496376081" w:history="1">
        <w:r w:rsidR="00D34C58" w:rsidRPr="00DB0EA6">
          <w:rPr>
            <w:rStyle w:val="Hyperlink"/>
            <w:noProof/>
          </w:rPr>
          <w:t xml:space="preserve">I. </w:t>
        </w:r>
        <w:r w:rsidR="00D34C58" w:rsidRPr="00DB0EA6">
          <w:rPr>
            <w:rStyle w:val="Hyperlink"/>
            <w:noProof/>
          </w:rPr>
          <w:tab/>
          <w:t>List of participants</w:t>
        </w:r>
        <w:r w:rsidR="00D34C58" w:rsidRPr="00DB0EA6">
          <w:rPr>
            <w:noProof/>
            <w:webHidden/>
          </w:rPr>
          <w:tab/>
        </w:r>
        <w:r w:rsidR="00D34C58" w:rsidRPr="00DB0EA6">
          <w:rPr>
            <w:noProof/>
            <w:webHidden/>
          </w:rPr>
          <w:fldChar w:fldCharType="begin"/>
        </w:r>
        <w:r w:rsidR="00D34C58" w:rsidRPr="00DB0EA6">
          <w:rPr>
            <w:noProof/>
            <w:webHidden/>
          </w:rPr>
          <w:instrText xml:space="preserve"> PAGEREF _Toc496376081 \h </w:instrText>
        </w:r>
        <w:r w:rsidR="00D34C58" w:rsidRPr="00DB0EA6">
          <w:rPr>
            <w:noProof/>
            <w:webHidden/>
          </w:rPr>
        </w:r>
        <w:r w:rsidR="00D34C58" w:rsidRPr="00DB0EA6">
          <w:rPr>
            <w:noProof/>
            <w:webHidden/>
          </w:rPr>
          <w:fldChar w:fldCharType="separate"/>
        </w:r>
        <w:r w:rsidR="00BB5DB7">
          <w:rPr>
            <w:noProof/>
            <w:webHidden/>
          </w:rPr>
          <w:t>25</w:t>
        </w:r>
        <w:r w:rsidR="00D34C58" w:rsidRPr="00DB0EA6">
          <w:rPr>
            <w:noProof/>
            <w:webHidden/>
          </w:rPr>
          <w:fldChar w:fldCharType="end"/>
        </w:r>
      </w:hyperlink>
    </w:p>
    <w:p w14:paraId="4D6CE158" w14:textId="1A984A87" w:rsidR="00D34C58" w:rsidRPr="00DB0EA6" w:rsidRDefault="001B7645">
      <w:pPr>
        <w:pStyle w:val="TOC1"/>
        <w:rPr>
          <w:rFonts w:asciiTheme="minorHAnsi" w:eastAsiaTheme="minorEastAsia" w:hAnsiTheme="minorHAnsi" w:cstheme="minorBidi"/>
          <w:noProof/>
          <w:sz w:val="22"/>
          <w:szCs w:val="22"/>
        </w:rPr>
      </w:pPr>
      <w:hyperlink w:anchor="_Toc496376082" w:history="1">
        <w:r w:rsidR="00D34C58" w:rsidRPr="00DB0EA6">
          <w:rPr>
            <w:rStyle w:val="Hyperlink"/>
            <w:noProof/>
          </w:rPr>
          <w:t xml:space="preserve">II. </w:t>
        </w:r>
        <w:r w:rsidR="00D34C58" w:rsidRPr="00DB0EA6">
          <w:rPr>
            <w:rStyle w:val="Hyperlink"/>
            <w:noProof/>
          </w:rPr>
          <w:tab/>
          <w:t>List of panellists and moderators</w:t>
        </w:r>
        <w:r w:rsidR="00D34C58" w:rsidRPr="00DB0EA6">
          <w:rPr>
            <w:noProof/>
            <w:webHidden/>
          </w:rPr>
          <w:tab/>
        </w:r>
        <w:r w:rsidR="00D34C58" w:rsidRPr="00DB0EA6">
          <w:rPr>
            <w:noProof/>
            <w:webHidden/>
          </w:rPr>
          <w:fldChar w:fldCharType="begin"/>
        </w:r>
        <w:r w:rsidR="00D34C58" w:rsidRPr="00DB0EA6">
          <w:rPr>
            <w:noProof/>
            <w:webHidden/>
          </w:rPr>
          <w:instrText xml:space="preserve"> PAGEREF _Toc496376082 \h </w:instrText>
        </w:r>
        <w:r w:rsidR="00D34C58" w:rsidRPr="00DB0EA6">
          <w:rPr>
            <w:noProof/>
            <w:webHidden/>
          </w:rPr>
        </w:r>
        <w:r w:rsidR="00D34C58" w:rsidRPr="00DB0EA6">
          <w:rPr>
            <w:noProof/>
            <w:webHidden/>
          </w:rPr>
          <w:fldChar w:fldCharType="separate"/>
        </w:r>
        <w:r w:rsidR="00BB5DB7">
          <w:rPr>
            <w:noProof/>
            <w:webHidden/>
          </w:rPr>
          <w:t>27</w:t>
        </w:r>
        <w:r w:rsidR="00D34C58" w:rsidRPr="00DB0EA6">
          <w:rPr>
            <w:noProof/>
            <w:webHidden/>
          </w:rPr>
          <w:fldChar w:fldCharType="end"/>
        </w:r>
      </w:hyperlink>
    </w:p>
    <w:p w14:paraId="650DD797" w14:textId="77777777" w:rsidR="009510CD" w:rsidRPr="00DB0EA6" w:rsidRDefault="00D34C58" w:rsidP="00786E59">
      <w:pPr>
        <w:spacing w:after="120"/>
        <w:rPr>
          <w:sz w:val="28"/>
        </w:rPr>
      </w:pPr>
      <w:r w:rsidRPr="00DB0EA6">
        <w:rPr>
          <w:sz w:val="28"/>
        </w:rPr>
        <w:fldChar w:fldCharType="end"/>
      </w:r>
    </w:p>
    <w:p w14:paraId="21AD595A" w14:textId="77777777" w:rsidR="009510CD" w:rsidRPr="00DB0EA6" w:rsidRDefault="009510CD" w:rsidP="00786E59">
      <w:pPr>
        <w:spacing w:after="120"/>
        <w:rPr>
          <w:sz w:val="28"/>
        </w:rPr>
      </w:pPr>
    </w:p>
    <w:p w14:paraId="124991B0" w14:textId="77777777" w:rsidR="00CE2983" w:rsidRPr="00DB0EA6" w:rsidRDefault="00CE2983" w:rsidP="00EA0D98">
      <w:pPr>
        <w:pStyle w:val="HChG"/>
        <w:ind w:left="0" w:firstLine="0"/>
      </w:pPr>
      <w:r w:rsidRPr="00DB0EA6">
        <w:br w:type="page"/>
      </w:r>
      <w:bookmarkStart w:id="0" w:name="ReportBody"/>
      <w:r w:rsidRPr="00DB0EA6">
        <w:lastRenderedPageBreak/>
        <w:tab/>
      </w:r>
      <w:bookmarkStart w:id="1" w:name="_Toc471217404"/>
      <w:bookmarkStart w:id="2" w:name="_Toc496373801"/>
      <w:bookmarkStart w:id="3" w:name="_Toc497205704"/>
      <w:r w:rsidRPr="00DB0EA6">
        <w:t>I.</w:t>
      </w:r>
      <w:r w:rsidRPr="00DB0EA6">
        <w:tab/>
        <w:t>Introduction</w:t>
      </w:r>
      <w:bookmarkEnd w:id="1"/>
      <w:bookmarkEnd w:id="2"/>
      <w:bookmarkEnd w:id="3"/>
    </w:p>
    <w:p w14:paraId="2B66C50F" w14:textId="1AA05109" w:rsidR="00CE2983" w:rsidRPr="00DB0EA6" w:rsidRDefault="00CE2983" w:rsidP="005E6CCF">
      <w:pPr>
        <w:pStyle w:val="SingleTxtG"/>
        <w:numPr>
          <w:ilvl w:val="0"/>
          <w:numId w:val="13"/>
        </w:numPr>
        <w:ind w:left="1138" w:right="1138" w:firstLine="0"/>
      </w:pPr>
      <w:r w:rsidRPr="00DB0EA6">
        <w:t xml:space="preserve">The open-ended intergovernmental working group on transnational corporations and other business enterprises with respect to human rights was established by the Human Rights Council in its resolution 26/9 of 26 June 2014, and mandated to elaborate an international legally binding instrument to regulate, in international human rights law, the activities of transnational corporations and other business enterprises with respect to human rights. In the resolution, the Council decided that </w:t>
      </w:r>
      <w:r w:rsidR="00AE0D9E" w:rsidRPr="00DB0EA6">
        <w:t xml:space="preserve">the Chairperson-Rapporteur </w:t>
      </w:r>
      <w:r w:rsidR="00FD2B28" w:rsidRPr="00DB0EA6">
        <w:t>s</w:t>
      </w:r>
      <w:r w:rsidR="00AE0D9E" w:rsidRPr="00DB0EA6">
        <w:t>hould prepare elements for the draft legally binding instrument for substantive negotiations at the commencement of the third session of the working group, taking into consideration the discussions held at its first two sessions.</w:t>
      </w:r>
      <w:r w:rsidR="00C00D93" w:rsidRPr="00DB0EA6">
        <w:rPr>
          <w:rStyle w:val="FootnoteReference"/>
        </w:rPr>
        <w:footnoteReference w:id="2"/>
      </w:r>
      <w:r w:rsidR="00AE0D9E" w:rsidRPr="00DB0EA6">
        <w:t xml:space="preserve">  </w:t>
      </w:r>
    </w:p>
    <w:p w14:paraId="20A2AC2A" w14:textId="02AA90D8" w:rsidR="00CE2983" w:rsidRPr="00DB0EA6" w:rsidRDefault="00CE2983" w:rsidP="00E27338">
      <w:pPr>
        <w:pStyle w:val="SingleTxtG"/>
        <w:numPr>
          <w:ilvl w:val="0"/>
          <w:numId w:val="13"/>
        </w:numPr>
        <w:ind w:left="1138" w:right="1138" w:firstLine="0"/>
      </w:pPr>
      <w:r w:rsidRPr="00DB0EA6">
        <w:t xml:space="preserve">The </w:t>
      </w:r>
      <w:r w:rsidR="00682B83" w:rsidRPr="00DB0EA6">
        <w:t>third</w:t>
      </w:r>
      <w:r w:rsidRPr="00DB0EA6">
        <w:t xml:space="preserve"> session, which </w:t>
      </w:r>
      <w:r w:rsidR="00682B83" w:rsidRPr="00DB0EA6">
        <w:t>took place from 23 to 27 October 2017</w:t>
      </w:r>
      <w:r w:rsidRPr="00DB0EA6">
        <w:t xml:space="preserve">, opened with a </w:t>
      </w:r>
      <w:r w:rsidR="00525474" w:rsidRPr="00DB0EA6">
        <w:t xml:space="preserve">video </w:t>
      </w:r>
      <w:r w:rsidR="00682B83" w:rsidRPr="00DB0EA6">
        <w:t xml:space="preserve">statement by the </w:t>
      </w:r>
      <w:r w:rsidRPr="00DB0EA6">
        <w:t xml:space="preserve">United Nations High Commissioner for Human Rights. </w:t>
      </w:r>
      <w:r w:rsidR="004571C9">
        <w:t xml:space="preserve"> He congratulated the former Chair-Rapporteur of the working group for successfully steering the first two sessions in a manner that laid a fertile ground for the preparation of the document of elements and recognized that the treaty process enters a new phase to discuss such document.  </w:t>
      </w:r>
      <w:r w:rsidR="002A71A4" w:rsidRPr="00DB0EA6">
        <w:t xml:space="preserve">He </w:t>
      </w:r>
      <w:r w:rsidR="00FD2B28" w:rsidRPr="00DB0EA6">
        <w:t>noted that the</w:t>
      </w:r>
      <w:r w:rsidR="00FF3717" w:rsidRPr="00DB0EA6">
        <w:t xml:space="preserve"> UN Guiding Principles on Business and Human Rights (UNGPs)</w:t>
      </w:r>
      <w:r w:rsidR="003C037F">
        <w:rPr>
          <w:rStyle w:val="FootnoteReference"/>
        </w:rPr>
        <w:footnoteReference w:id="3"/>
      </w:r>
      <w:r w:rsidR="00FF3717" w:rsidRPr="00DB0EA6">
        <w:t xml:space="preserve"> was an important step towards extending the human rights framework to corporate actors.  </w:t>
      </w:r>
      <w:r w:rsidR="00FD2B28" w:rsidRPr="00DB0EA6">
        <w:t xml:space="preserve">He stated that </w:t>
      </w:r>
      <w:r w:rsidR="00FF3717" w:rsidRPr="00DB0EA6">
        <w:t xml:space="preserve">there was no </w:t>
      </w:r>
      <w:r w:rsidR="0002492F" w:rsidRPr="00DB0EA6">
        <w:t xml:space="preserve">inherent </w:t>
      </w:r>
      <w:r w:rsidR="00FF3717" w:rsidRPr="00DB0EA6">
        <w:t xml:space="preserve">dichotomy between promoting the UNGPs and drafting new standards at the </w:t>
      </w:r>
      <w:r w:rsidR="004571C9">
        <w:t xml:space="preserve">national, regional, or </w:t>
      </w:r>
      <w:r w:rsidR="00FF3717" w:rsidRPr="00DB0EA6">
        <w:t>international level aimed at protecting rights and enhancing accountability and remedy for victims of corporate related human rights abuse</w:t>
      </w:r>
      <w:r w:rsidR="004571C9">
        <w:t>s</w:t>
      </w:r>
      <w:r w:rsidR="00FF3717" w:rsidRPr="00DB0EA6">
        <w:t>.</w:t>
      </w:r>
      <w:r w:rsidR="004F16DE" w:rsidRPr="00DB0EA6">
        <w:t xml:space="preserve">  </w:t>
      </w:r>
      <w:r w:rsidR="00FD2B28" w:rsidRPr="00DB0EA6">
        <w:t>He</w:t>
      </w:r>
      <w:r w:rsidR="00EA1843">
        <w:t xml:space="preserve"> reiterated his </w:t>
      </w:r>
      <w:r w:rsidR="004571C9">
        <w:t xml:space="preserve">commitment and full </w:t>
      </w:r>
      <w:r w:rsidR="004F16DE" w:rsidRPr="00DB0EA6">
        <w:t>support to the working group, and expressed his hope that the recommendations from the Accountability and Remedy Project</w:t>
      </w:r>
      <w:r w:rsidR="00414948" w:rsidRPr="00DB0EA6">
        <w:t>, conducted by the Office of the UN High Commissioner for Human Rights (OHCHR),</w:t>
      </w:r>
      <w:r w:rsidR="004F16DE" w:rsidRPr="00DB0EA6">
        <w:t xml:space="preserve"> could provide useful contributions to the discussion during the third session.</w:t>
      </w:r>
    </w:p>
    <w:p w14:paraId="1BB38753" w14:textId="2F2F0C1B" w:rsidR="00CE2983" w:rsidRPr="00DB0EA6" w:rsidRDefault="00CE2983" w:rsidP="00E27338">
      <w:pPr>
        <w:pStyle w:val="SingleTxtG"/>
        <w:numPr>
          <w:ilvl w:val="0"/>
          <w:numId w:val="13"/>
        </w:numPr>
        <w:ind w:left="1138" w:right="1138" w:firstLine="0"/>
      </w:pPr>
      <w:r w:rsidRPr="00DB0EA6">
        <w:t>The High Commissioner</w:t>
      </w:r>
      <w:r w:rsidR="00541A0B" w:rsidRPr="00DB0EA6">
        <w:t>’</w:t>
      </w:r>
      <w:r w:rsidRPr="00DB0EA6">
        <w:t xml:space="preserve">s </w:t>
      </w:r>
      <w:r w:rsidR="00580DD9" w:rsidRPr="00DB0EA6">
        <w:t xml:space="preserve">remarks were followed by a statement </w:t>
      </w:r>
      <w:r w:rsidR="00125450" w:rsidRPr="00DB0EA6">
        <w:t>of</w:t>
      </w:r>
      <w:r w:rsidR="00580DD9" w:rsidRPr="00DB0EA6">
        <w:t xml:space="preserve"> the Presid</w:t>
      </w:r>
      <w:r w:rsidR="00552606" w:rsidRPr="00DB0EA6">
        <w:t xml:space="preserve">ent of the Human Rights Council, who </w:t>
      </w:r>
      <w:r w:rsidR="00325E32">
        <w:t xml:space="preserve">emphasised </w:t>
      </w:r>
      <w:r w:rsidR="00552606" w:rsidRPr="00DB0EA6">
        <w:t xml:space="preserve">the role that human rights must have </w:t>
      </w:r>
      <w:r w:rsidR="00CD5A0F" w:rsidRPr="00DB0EA6">
        <w:t xml:space="preserve">in relation to business in a globalized world.  </w:t>
      </w:r>
      <w:r w:rsidR="0002492F" w:rsidRPr="00DB0EA6">
        <w:t xml:space="preserve">He noted that seeking consensus and engaging in constructive cooperation and dialogue </w:t>
      </w:r>
      <w:r w:rsidR="004571C9">
        <w:t xml:space="preserve">has been the spirit of the first two sessions and </w:t>
      </w:r>
      <w:r w:rsidR="0002492F" w:rsidRPr="00DB0EA6">
        <w:t xml:space="preserve">will be key to fulfilling the mandate provided by resolution 26/9.  </w:t>
      </w:r>
      <w:r w:rsidR="00CD5A0F" w:rsidRPr="00DB0EA6">
        <w:t xml:space="preserve">The President further recalled the </w:t>
      </w:r>
      <w:r w:rsidR="004571C9">
        <w:t xml:space="preserve">close </w:t>
      </w:r>
      <w:r w:rsidR="00CD5A0F" w:rsidRPr="00DB0EA6">
        <w:t xml:space="preserve">link </w:t>
      </w:r>
      <w:r w:rsidR="004571C9">
        <w:t xml:space="preserve">between the 2030 Agenda and the development </w:t>
      </w:r>
      <w:r w:rsidR="00CD5A0F" w:rsidRPr="00DB0EA6">
        <w:t xml:space="preserve">of human rights </w:t>
      </w:r>
      <w:r w:rsidR="004571C9">
        <w:t xml:space="preserve">which justifies its use as a starting point to </w:t>
      </w:r>
      <w:r w:rsidR="00CD5A0F" w:rsidRPr="00DB0EA6">
        <w:t>form the objectives of th</w:t>
      </w:r>
      <w:r w:rsidR="00F35497">
        <w:t>e working group</w:t>
      </w:r>
      <w:r w:rsidR="00CD5A0F" w:rsidRPr="00DB0EA6">
        <w:t xml:space="preserve"> process.</w:t>
      </w:r>
    </w:p>
    <w:p w14:paraId="515B3A3E" w14:textId="5665AB35" w:rsidR="00580DD9" w:rsidRPr="00DB0EA6" w:rsidRDefault="00414948" w:rsidP="00E27338">
      <w:pPr>
        <w:pStyle w:val="SingleTxtG"/>
        <w:numPr>
          <w:ilvl w:val="0"/>
          <w:numId w:val="13"/>
        </w:numPr>
        <w:ind w:left="1138" w:right="1138" w:firstLine="0"/>
      </w:pPr>
      <w:r w:rsidRPr="00DB0EA6">
        <w:t xml:space="preserve">The Director of the Thematic Engagement, Special Procedures and Right to Development Division of the OHCHR </w:t>
      </w:r>
      <w:r w:rsidR="00FD2B28" w:rsidRPr="00DB0EA6">
        <w:t xml:space="preserve">referred to </w:t>
      </w:r>
      <w:r w:rsidRPr="00DB0EA6">
        <w:t>the recommendations of the OHCHR Accountability and Remedy Project</w:t>
      </w:r>
      <w:r w:rsidR="00EA1843">
        <w:t>,</w:t>
      </w:r>
      <w:r w:rsidRPr="00DB0EA6">
        <w:t xml:space="preserve"> </w:t>
      </w:r>
      <w:r w:rsidR="00F35497">
        <w:t xml:space="preserve">aimed at </w:t>
      </w:r>
      <w:r w:rsidR="00125450" w:rsidRPr="00DB0EA6">
        <w:t>enhancing the effectiveness of domestic judicial systems in ensuring accountability and access to remedy, including in cross-border cases</w:t>
      </w:r>
      <w:r w:rsidR="00F35497">
        <w:t>, which could inform the working group process</w:t>
      </w:r>
      <w:r w:rsidR="00125450" w:rsidRPr="00DB0EA6">
        <w:t xml:space="preserve">.  </w:t>
      </w:r>
      <w:r w:rsidR="002A71A4" w:rsidRPr="00DB0EA6">
        <w:t xml:space="preserve">She </w:t>
      </w:r>
      <w:r w:rsidR="00125450" w:rsidRPr="00DB0EA6">
        <w:t xml:space="preserve">expressed the willingness of the OHCHR to provide further substantial or technical advice </w:t>
      </w:r>
      <w:r w:rsidR="00FD2B28" w:rsidRPr="00DB0EA6">
        <w:t xml:space="preserve">to the working group </w:t>
      </w:r>
      <w:r w:rsidR="00125450" w:rsidRPr="00DB0EA6">
        <w:t>as appropriate.</w:t>
      </w:r>
    </w:p>
    <w:p w14:paraId="33D6341E" w14:textId="77777777" w:rsidR="00CE2983" w:rsidRPr="00DB0EA6" w:rsidRDefault="00CE2983" w:rsidP="00541A0B">
      <w:pPr>
        <w:pStyle w:val="HChG"/>
      </w:pPr>
      <w:r w:rsidRPr="00DB0EA6">
        <w:tab/>
      </w:r>
      <w:bookmarkStart w:id="4" w:name="_Toc471217405"/>
      <w:bookmarkStart w:id="5" w:name="_Toc496373802"/>
      <w:bookmarkStart w:id="6" w:name="_Toc497205705"/>
      <w:r w:rsidRPr="00DB0EA6">
        <w:t>II.</w:t>
      </w:r>
      <w:r w:rsidRPr="00DB0EA6">
        <w:tab/>
        <w:t>Organization of the session</w:t>
      </w:r>
      <w:bookmarkEnd w:id="4"/>
      <w:bookmarkEnd w:id="5"/>
      <w:bookmarkEnd w:id="6"/>
    </w:p>
    <w:p w14:paraId="3B9A2356" w14:textId="77777777" w:rsidR="00CE2983" w:rsidRPr="00DB0EA6" w:rsidRDefault="00CE2983" w:rsidP="00541A0B">
      <w:pPr>
        <w:pStyle w:val="H1G"/>
      </w:pPr>
      <w:r w:rsidRPr="00DB0EA6">
        <w:tab/>
      </w:r>
      <w:bookmarkStart w:id="7" w:name="_Toc471217406"/>
      <w:bookmarkStart w:id="8" w:name="_Toc496373803"/>
      <w:bookmarkStart w:id="9" w:name="_Toc497205706"/>
      <w:r w:rsidRPr="00DB0EA6">
        <w:t>A.</w:t>
      </w:r>
      <w:r w:rsidRPr="00DB0EA6">
        <w:tab/>
        <w:t>Election of the Chair-Rapporteur</w:t>
      </w:r>
      <w:bookmarkEnd w:id="7"/>
      <w:bookmarkEnd w:id="8"/>
      <w:bookmarkEnd w:id="9"/>
    </w:p>
    <w:p w14:paraId="234A7C2D" w14:textId="4A602B3D" w:rsidR="00CE2983" w:rsidRPr="00DB0EA6" w:rsidRDefault="00CE2983" w:rsidP="00E27338">
      <w:pPr>
        <w:pStyle w:val="SingleTxtG"/>
        <w:numPr>
          <w:ilvl w:val="0"/>
          <w:numId w:val="13"/>
        </w:numPr>
        <w:ind w:left="1138" w:right="1138" w:firstLine="0"/>
      </w:pPr>
      <w:r w:rsidRPr="00DB0EA6">
        <w:t xml:space="preserve">The working group elected </w:t>
      </w:r>
      <w:r w:rsidR="00525474" w:rsidRPr="00DB0EA6">
        <w:t>Guillaume Long</w:t>
      </w:r>
      <w:r w:rsidRPr="00DB0EA6">
        <w:t>, Permanent Representative of Ecuador, as Chair-Rapport</w:t>
      </w:r>
      <w:r w:rsidR="00682B83" w:rsidRPr="00DB0EA6">
        <w:t>eur by acclamation following his</w:t>
      </w:r>
      <w:r w:rsidRPr="00DB0EA6">
        <w:t xml:space="preserve"> nomination by the </w:t>
      </w:r>
      <w:r w:rsidR="00F35497">
        <w:t>delegation</w:t>
      </w:r>
      <w:r w:rsidRPr="00DB0EA6">
        <w:t xml:space="preserve"> of </w:t>
      </w:r>
      <w:r w:rsidR="00525474" w:rsidRPr="00DB0EA6">
        <w:t>Jamaica</w:t>
      </w:r>
      <w:r w:rsidRPr="00DB0EA6">
        <w:t xml:space="preserve"> on behalf of the Group of Latin American and Caribbean States. </w:t>
      </w:r>
    </w:p>
    <w:p w14:paraId="7B8A8D55" w14:textId="77777777" w:rsidR="00CE2983" w:rsidRPr="00DB0EA6" w:rsidRDefault="00CE2983" w:rsidP="00541A0B">
      <w:pPr>
        <w:pStyle w:val="H1G"/>
      </w:pPr>
      <w:r w:rsidRPr="00DB0EA6">
        <w:tab/>
      </w:r>
      <w:bookmarkStart w:id="10" w:name="_Toc471217407"/>
      <w:bookmarkStart w:id="11" w:name="_Toc496373804"/>
      <w:bookmarkStart w:id="12" w:name="_Toc497205707"/>
      <w:r w:rsidRPr="00DB0EA6">
        <w:t>B.</w:t>
      </w:r>
      <w:r w:rsidRPr="00DB0EA6">
        <w:tab/>
        <w:t>Attendance</w:t>
      </w:r>
      <w:bookmarkEnd w:id="10"/>
      <w:bookmarkEnd w:id="11"/>
      <w:bookmarkEnd w:id="12"/>
    </w:p>
    <w:p w14:paraId="0D5CDE8F" w14:textId="77777777" w:rsidR="00CE2983" w:rsidRPr="00DB0EA6" w:rsidRDefault="00CE2983" w:rsidP="00E27338">
      <w:pPr>
        <w:pStyle w:val="SingleTxtG"/>
        <w:numPr>
          <w:ilvl w:val="0"/>
          <w:numId w:val="13"/>
        </w:numPr>
        <w:ind w:left="1138" w:right="1138" w:firstLine="0"/>
      </w:pPr>
      <w:r w:rsidRPr="00DB0EA6">
        <w:t xml:space="preserve">The list of participants and the list of panellists and moderators are contained in annexes I and II, respectively. </w:t>
      </w:r>
    </w:p>
    <w:p w14:paraId="3ED2BDFC" w14:textId="77777777" w:rsidR="00CE2983" w:rsidRPr="00DB0EA6" w:rsidRDefault="00CE2983" w:rsidP="00541A0B">
      <w:pPr>
        <w:pStyle w:val="H1G"/>
      </w:pPr>
      <w:r w:rsidRPr="00DB0EA6">
        <w:tab/>
      </w:r>
      <w:bookmarkStart w:id="13" w:name="_Toc471217408"/>
      <w:bookmarkStart w:id="14" w:name="_Toc496373805"/>
      <w:bookmarkStart w:id="15" w:name="_Toc497205708"/>
      <w:r w:rsidRPr="00DB0EA6">
        <w:t>C.</w:t>
      </w:r>
      <w:r w:rsidRPr="00DB0EA6">
        <w:tab/>
        <w:t>Documentation</w:t>
      </w:r>
      <w:bookmarkEnd w:id="13"/>
      <w:bookmarkEnd w:id="14"/>
      <w:bookmarkEnd w:id="15"/>
    </w:p>
    <w:p w14:paraId="35CF4291" w14:textId="77777777" w:rsidR="00CE2983" w:rsidRPr="00DB0EA6" w:rsidRDefault="00CE2983" w:rsidP="00E27338">
      <w:pPr>
        <w:pStyle w:val="SingleTxtG"/>
        <w:keepNext/>
        <w:keepLines/>
        <w:numPr>
          <w:ilvl w:val="0"/>
          <w:numId w:val="13"/>
        </w:numPr>
        <w:ind w:left="1138" w:right="1138" w:firstLine="0"/>
      </w:pPr>
      <w:r w:rsidRPr="00DB0EA6">
        <w:t>The working group had before it the following documents:</w:t>
      </w:r>
    </w:p>
    <w:p w14:paraId="6B397C3B" w14:textId="77777777" w:rsidR="00CE2983" w:rsidRPr="00DB0EA6" w:rsidRDefault="00CE2983" w:rsidP="00AE0892">
      <w:pPr>
        <w:pStyle w:val="SingleTxtG"/>
      </w:pPr>
      <w:r w:rsidRPr="00DB0EA6">
        <w:tab/>
        <w:t>(a)</w:t>
      </w:r>
      <w:r w:rsidRPr="00DB0EA6">
        <w:tab/>
        <w:t xml:space="preserve">Human Rights Council resolution 26/9; </w:t>
      </w:r>
    </w:p>
    <w:p w14:paraId="175FCF2F" w14:textId="77777777" w:rsidR="00CE2983" w:rsidRPr="00DB0EA6" w:rsidRDefault="00CE2983" w:rsidP="00AE0892">
      <w:pPr>
        <w:pStyle w:val="SingleTxtG"/>
      </w:pPr>
      <w:r w:rsidRPr="00DB0EA6">
        <w:tab/>
        <w:t>(b)</w:t>
      </w:r>
      <w:r w:rsidRPr="00DB0EA6">
        <w:tab/>
        <w:t>The provisional agenda of the working group (A/HRC/WG.16/2/1)</w:t>
      </w:r>
      <w:r w:rsidR="00300343" w:rsidRPr="00DB0EA6">
        <w:t>;</w:t>
      </w:r>
    </w:p>
    <w:p w14:paraId="519BF957" w14:textId="2C52EE89" w:rsidR="00CE2983" w:rsidRPr="00DB0EA6" w:rsidRDefault="00CE2983" w:rsidP="00AE0892">
      <w:pPr>
        <w:pStyle w:val="SingleTxtG"/>
      </w:pPr>
      <w:r w:rsidRPr="00DB0EA6">
        <w:tab/>
        <w:t>(c)</w:t>
      </w:r>
      <w:r w:rsidRPr="00DB0EA6">
        <w:tab/>
        <w:t xml:space="preserve">Other documents, </w:t>
      </w:r>
      <w:r w:rsidR="00325E32">
        <w:t>notably</w:t>
      </w:r>
      <w:r w:rsidR="00AE33B5" w:rsidRPr="00DB0EA6">
        <w:t xml:space="preserve"> </w:t>
      </w:r>
      <w:r w:rsidR="00F35497">
        <w:t xml:space="preserve">a document setting out </w:t>
      </w:r>
      <w:r w:rsidR="00AE33B5" w:rsidRPr="00DB0EA6">
        <w:t xml:space="preserve">elements for </w:t>
      </w:r>
      <w:r w:rsidR="008E28E6">
        <w:t xml:space="preserve">the </w:t>
      </w:r>
      <w:r w:rsidR="00AE33B5" w:rsidRPr="00DB0EA6">
        <w:t>draft legally binding instrument on transnational corporations and other business enterprises with respect to human rights</w:t>
      </w:r>
      <w:r w:rsidR="00F35497">
        <w:t xml:space="preserve"> (hereinafter “Elements Document”)</w:t>
      </w:r>
      <w:r w:rsidR="00AE33B5" w:rsidRPr="00DB0EA6">
        <w:t>, a programme of work,</w:t>
      </w:r>
      <w:r w:rsidR="00653588" w:rsidRPr="00DB0EA6">
        <w:t xml:space="preserve"> and contributions</w:t>
      </w:r>
      <w:r w:rsidRPr="00DB0EA6">
        <w:t xml:space="preserve"> from States and other relevant stakeholders</w:t>
      </w:r>
      <w:r w:rsidR="00653588" w:rsidRPr="00DB0EA6">
        <w:t>,</w:t>
      </w:r>
      <w:r w:rsidRPr="00DB0EA6">
        <w:t xml:space="preserve"> made available to the working group through </w:t>
      </w:r>
      <w:r w:rsidR="00325E32">
        <w:t>the dedicated</w:t>
      </w:r>
      <w:r w:rsidRPr="00DB0EA6">
        <w:t xml:space="preserve"> website.</w:t>
      </w:r>
      <w:r w:rsidRPr="00DB0EA6">
        <w:rPr>
          <w:rStyle w:val="FootnoteReference"/>
        </w:rPr>
        <w:footnoteReference w:id="4"/>
      </w:r>
      <w:r w:rsidRPr="00DB0EA6">
        <w:rPr>
          <w:rStyle w:val="FootnoteReference"/>
        </w:rPr>
        <w:t xml:space="preserve"> </w:t>
      </w:r>
    </w:p>
    <w:p w14:paraId="67B97271" w14:textId="77777777" w:rsidR="00CE2983" w:rsidRPr="00DB0EA6" w:rsidRDefault="00CE2983" w:rsidP="00541A0B">
      <w:pPr>
        <w:pStyle w:val="H1G"/>
      </w:pPr>
      <w:r w:rsidRPr="00DB0EA6">
        <w:tab/>
      </w:r>
      <w:bookmarkStart w:id="16" w:name="_Toc471217409"/>
      <w:bookmarkStart w:id="17" w:name="_Toc496373806"/>
      <w:bookmarkStart w:id="18" w:name="_Toc497205709"/>
      <w:r w:rsidRPr="00DB0EA6">
        <w:t>D.</w:t>
      </w:r>
      <w:r w:rsidRPr="00DB0EA6">
        <w:tab/>
        <w:t>Adoption of the agenda and programme of work</w:t>
      </w:r>
      <w:bookmarkEnd w:id="16"/>
      <w:bookmarkEnd w:id="17"/>
      <w:bookmarkEnd w:id="18"/>
    </w:p>
    <w:p w14:paraId="50685236" w14:textId="69A0D617" w:rsidR="00CE2983" w:rsidRPr="00DB0EA6" w:rsidRDefault="00CE2983" w:rsidP="00E27338">
      <w:pPr>
        <w:pStyle w:val="SingleTxtG"/>
        <w:numPr>
          <w:ilvl w:val="0"/>
          <w:numId w:val="13"/>
        </w:numPr>
        <w:ind w:left="1138" w:right="1138" w:firstLine="0"/>
      </w:pPr>
      <w:r w:rsidRPr="00DB0EA6">
        <w:t xml:space="preserve">In </w:t>
      </w:r>
      <w:r w:rsidR="00682B83" w:rsidRPr="00DB0EA6">
        <w:t>his</w:t>
      </w:r>
      <w:r w:rsidRPr="00DB0EA6">
        <w:t xml:space="preserve"> opening </w:t>
      </w:r>
      <w:r w:rsidR="00A17D2D" w:rsidRPr="00DB0EA6">
        <w:t xml:space="preserve">statement, the Chair-Rapporteur </w:t>
      </w:r>
      <w:r w:rsidR="00653588" w:rsidRPr="00DB0EA6">
        <w:t xml:space="preserve">explained </w:t>
      </w:r>
      <w:r w:rsidR="00FD0E0B" w:rsidRPr="00DB0EA6">
        <w:t xml:space="preserve">how the third session will involve substantive negotiations based on the </w:t>
      </w:r>
      <w:r w:rsidR="00F35497">
        <w:t>Elements Document</w:t>
      </w:r>
      <w:r w:rsidR="00FD0E0B" w:rsidRPr="00DB0EA6">
        <w:t xml:space="preserve"> that w</w:t>
      </w:r>
      <w:r w:rsidR="00F35497">
        <w:t>as</w:t>
      </w:r>
      <w:r w:rsidR="00FD0E0B" w:rsidRPr="00DB0EA6">
        <w:t xml:space="preserve"> distributed </w:t>
      </w:r>
      <w:r w:rsidR="00653588" w:rsidRPr="00DB0EA6">
        <w:t>in advance of</w:t>
      </w:r>
      <w:r w:rsidR="00FD0E0B" w:rsidRPr="00DB0EA6">
        <w:t xml:space="preserve"> the session.</w:t>
      </w:r>
      <w:r w:rsidR="00965CEB" w:rsidRPr="00DB0EA6">
        <w:t xml:space="preserve">  The elements </w:t>
      </w:r>
      <w:r w:rsidR="00F35497">
        <w:t xml:space="preserve">set out in the document </w:t>
      </w:r>
      <w:r w:rsidR="00965CEB" w:rsidRPr="00DB0EA6">
        <w:t xml:space="preserve">were based on </w:t>
      </w:r>
      <w:r w:rsidR="00653588" w:rsidRPr="00DB0EA6">
        <w:t>deliberations</w:t>
      </w:r>
      <w:r w:rsidR="00C00D93" w:rsidRPr="00DB0EA6">
        <w:t xml:space="preserve"> </w:t>
      </w:r>
      <w:r w:rsidR="00965CEB" w:rsidRPr="00DB0EA6">
        <w:t xml:space="preserve">during the first two sessions as well as over 200 meetings held since 2014 involving multiple stakeholders.  At the core of the elements is the protection of victims of business-related human rights abuse, the elimination of impunity, and </w:t>
      </w:r>
      <w:r w:rsidR="006016C2" w:rsidRPr="00DB0EA6">
        <w:t xml:space="preserve">access to justice.  </w:t>
      </w:r>
      <w:r w:rsidR="00653588" w:rsidRPr="00DB0EA6">
        <w:t>He</w:t>
      </w:r>
      <w:r w:rsidR="0002492F" w:rsidRPr="00DB0EA6">
        <w:t xml:space="preserve"> invited everyone to participate actively, including civil society, trade unions, </w:t>
      </w:r>
      <w:r w:rsidR="002A71A4" w:rsidRPr="00DB0EA6">
        <w:t>national human rights institutions (</w:t>
      </w:r>
      <w:r w:rsidR="0002492F" w:rsidRPr="00DB0EA6">
        <w:t>NHRIs</w:t>
      </w:r>
      <w:r w:rsidR="002A71A4" w:rsidRPr="00DB0EA6">
        <w:t>)</w:t>
      </w:r>
      <w:r w:rsidR="0002492F" w:rsidRPr="00DB0EA6">
        <w:t xml:space="preserve">, and victims organizations, as their role is crucial to the success of the process.  He </w:t>
      </w:r>
      <w:r w:rsidR="00F35497">
        <w:t>emphasized</w:t>
      </w:r>
      <w:r w:rsidR="0002492F" w:rsidRPr="00DB0EA6">
        <w:t xml:space="preserve"> that future generations should have the right to live in a world where human rights take primacy over capital and money.</w:t>
      </w:r>
      <w:r w:rsidR="006016C2" w:rsidRPr="00DB0EA6">
        <w:t xml:space="preserve"> </w:t>
      </w:r>
    </w:p>
    <w:p w14:paraId="4D26B071" w14:textId="6E997E75" w:rsidR="00CE2983" w:rsidRPr="00DB0EA6" w:rsidRDefault="00CE2983" w:rsidP="00E27338">
      <w:pPr>
        <w:pStyle w:val="SingleTxtG"/>
        <w:numPr>
          <w:ilvl w:val="0"/>
          <w:numId w:val="13"/>
        </w:numPr>
        <w:ind w:left="1138" w:right="1138" w:firstLine="0"/>
      </w:pPr>
      <w:r w:rsidRPr="00DB0EA6">
        <w:t>The Chair-Rapporteur presented the draft programme of work</w:t>
      </w:r>
      <w:r w:rsidR="006016C2" w:rsidRPr="00DB0EA6">
        <w:t xml:space="preserve"> and </w:t>
      </w:r>
      <w:r w:rsidR="00653588" w:rsidRPr="00DB0EA6">
        <w:t>invited</w:t>
      </w:r>
      <w:r w:rsidR="006016C2" w:rsidRPr="00DB0EA6">
        <w:t xml:space="preserve"> comments.  </w:t>
      </w:r>
      <w:r w:rsidR="004571C9">
        <w:t>T</w:t>
      </w:r>
      <w:r w:rsidR="006016C2" w:rsidRPr="00DB0EA6">
        <w:t>he European Union</w:t>
      </w:r>
      <w:r w:rsidR="004571C9">
        <w:t xml:space="preserve"> (EU)</w:t>
      </w:r>
      <w:r w:rsidR="00C00D93" w:rsidRPr="00DB0EA6">
        <w:rPr>
          <w:rStyle w:val="FootnoteReference"/>
        </w:rPr>
        <w:footnoteReference w:id="5"/>
      </w:r>
      <w:r w:rsidR="006016C2" w:rsidRPr="00DB0EA6">
        <w:t xml:space="preserve"> expressed its regret that consultations </w:t>
      </w:r>
      <w:r w:rsidR="002A71A4" w:rsidRPr="00DB0EA6">
        <w:t>on</w:t>
      </w:r>
      <w:r w:rsidR="006016C2" w:rsidRPr="00DB0EA6">
        <w:t xml:space="preserve"> the draft programme of work did not occur until 18 October, providing little time for negotiations on such an important document.  Despite </w:t>
      </w:r>
      <w:r w:rsidR="00F35497">
        <w:t xml:space="preserve">the </w:t>
      </w:r>
      <w:r w:rsidR="006016C2" w:rsidRPr="00DB0EA6">
        <w:t xml:space="preserve">short notice, </w:t>
      </w:r>
      <w:r w:rsidR="00F35497">
        <w:t xml:space="preserve">it was the understanding of the EU </w:t>
      </w:r>
      <w:r w:rsidR="006016C2" w:rsidRPr="00DB0EA6">
        <w:t xml:space="preserve">that a compromise had been reached </w:t>
      </w:r>
      <w:r w:rsidR="00A00B6E" w:rsidRPr="00DB0EA6">
        <w:t xml:space="preserve">over the objection of one State, </w:t>
      </w:r>
      <w:r w:rsidR="006016C2" w:rsidRPr="00DB0EA6">
        <w:t xml:space="preserve">whereby there would be </w:t>
      </w:r>
      <w:r w:rsidR="00A00B6E" w:rsidRPr="00DB0EA6">
        <w:t xml:space="preserve">two </w:t>
      </w:r>
      <w:r w:rsidR="00653588" w:rsidRPr="00DB0EA6">
        <w:t xml:space="preserve">additional </w:t>
      </w:r>
      <w:r w:rsidR="00A00B6E" w:rsidRPr="00DB0EA6">
        <w:t xml:space="preserve">elements included in the programme of work.  First, </w:t>
      </w:r>
      <w:r w:rsidR="006016C2" w:rsidRPr="00DB0EA6">
        <w:t>a panel debate reflecting on the implementation of the UNGPs</w:t>
      </w:r>
      <w:r w:rsidR="00A00B6E" w:rsidRPr="00DB0EA6">
        <w:t xml:space="preserve"> would be included at the start of the session.</w:t>
      </w:r>
      <w:r w:rsidR="006016C2" w:rsidRPr="00DB0EA6">
        <w:t xml:space="preserve"> </w:t>
      </w:r>
      <w:r w:rsidR="00A00B6E" w:rsidRPr="00DB0EA6">
        <w:t xml:space="preserve">Second, </w:t>
      </w:r>
      <w:r w:rsidR="006016C2" w:rsidRPr="00DB0EA6">
        <w:t>a footnote</w:t>
      </w:r>
      <w:r w:rsidR="00A00B6E" w:rsidRPr="00DB0EA6">
        <w:t xml:space="preserve"> </w:t>
      </w:r>
      <w:r w:rsidR="00264DA7" w:rsidRPr="00DB0EA6">
        <w:t xml:space="preserve">that was included in the second session programme of work </w:t>
      </w:r>
      <w:r w:rsidR="00A00B6E" w:rsidRPr="00DB0EA6">
        <w:t>would be</w:t>
      </w:r>
      <w:r w:rsidR="00264DA7" w:rsidRPr="00DB0EA6">
        <w:t xml:space="preserve"> reproduced, stating</w:t>
      </w:r>
      <w:r w:rsidR="006016C2" w:rsidRPr="00DB0EA6">
        <w:t xml:space="preserve"> “this Program of Work does not limit the discussions of this Intergovernmental Working Group, which can include TNCs as well as all other business enterprises</w:t>
      </w:r>
      <w:r w:rsidR="00264DA7" w:rsidRPr="00DB0EA6">
        <w:t>.</w:t>
      </w:r>
      <w:r w:rsidR="006016C2" w:rsidRPr="00DB0EA6">
        <w:t xml:space="preserve">” </w:t>
      </w:r>
      <w:r w:rsidR="00264DA7" w:rsidRPr="00DB0EA6">
        <w:t xml:space="preserve"> </w:t>
      </w:r>
      <w:r w:rsidR="00F944E4" w:rsidRPr="00DB0EA6">
        <w:t xml:space="preserve">While the </w:t>
      </w:r>
      <w:r w:rsidR="004571C9">
        <w:t>EU</w:t>
      </w:r>
      <w:r w:rsidR="00F944E4" w:rsidRPr="00DB0EA6">
        <w:t xml:space="preserve"> acknowledged that the first element of the compromise was mostly incorporated (albeit without any panellists to lead the discussion), it was concerned that the footnote was excluded.  </w:t>
      </w:r>
      <w:r w:rsidR="00E715F2" w:rsidRPr="00DB0EA6">
        <w:t>It</w:t>
      </w:r>
      <w:r w:rsidR="00F944E4" w:rsidRPr="00DB0EA6">
        <w:t xml:space="preserve"> stressed that this was not a procedural issue, but a substantive one with wide implications, as the inclusion of the footnote would ensure that the working group could </w:t>
      </w:r>
      <w:r w:rsidR="00325E32">
        <w:t>consider</w:t>
      </w:r>
      <w:r w:rsidR="00F944E4" w:rsidRPr="00DB0EA6">
        <w:t xml:space="preserve"> abuses </w:t>
      </w:r>
      <w:r w:rsidR="00F35497">
        <w:t>involving purely national companies</w:t>
      </w:r>
      <w:r w:rsidR="00F944E4" w:rsidRPr="00DB0EA6">
        <w:t xml:space="preserve">.  </w:t>
      </w:r>
      <w:r w:rsidR="004571C9">
        <w:t xml:space="preserve">Therefore, </w:t>
      </w:r>
      <w:r w:rsidR="00F35497">
        <w:t xml:space="preserve">it </w:t>
      </w:r>
      <w:r w:rsidR="00325E32">
        <w:t>requested a</w:t>
      </w:r>
      <w:r w:rsidR="00F944E4" w:rsidRPr="00DB0EA6">
        <w:t>n amendment to the programme of work to include the footnote.</w:t>
      </w:r>
    </w:p>
    <w:p w14:paraId="604BBC2F" w14:textId="3D2E07C7" w:rsidR="00F944E4" w:rsidRPr="00DB0EA6" w:rsidRDefault="004571C9" w:rsidP="00E27338">
      <w:pPr>
        <w:pStyle w:val="SingleTxtG"/>
        <w:numPr>
          <w:ilvl w:val="0"/>
          <w:numId w:val="13"/>
        </w:numPr>
        <w:ind w:left="1138" w:right="1138" w:firstLine="0"/>
      </w:pPr>
      <w:r>
        <w:t>Immediately after</w:t>
      </w:r>
      <w:r w:rsidR="00B95F0D">
        <w:t>,</w:t>
      </w:r>
      <w:r>
        <w:t xml:space="preserve"> several </w:t>
      </w:r>
      <w:r w:rsidR="00325E32">
        <w:t>delegations</w:t>
      </w:r>
      <w:r w:rsidR="00E715F2" w:rsidRPr="00DB0EA6">
        <w:t xml:space="preserve"> </w:t>
      </w:r>
      <w:r>
        <w:t xml:space="preserve">intervened to </w:t>
      </w:r>
      <w:r w:rsidR="0056395B" w:rsidRPr="00DB0EA6">
        <w:t xml:space="preserve">express their support </w:t>
      </w:r>
      <w:r w:rsidR="00B95F0D">
        <w:t>for the programme of work as proposed by the Chair-Rapporteur, disagreeing with the EU proposal and requesting the flexibility to adopt it to start negotiations.</w:t>
      </w:r>
      <w:r w:rsidR="0056395B" w:rsidRPr="00DB0EA6">
        <w:t xml:space="preserve"> </w:t>
      </w:r>
      <w:r w:rsidR="00B95F0D">
        <w:t xml:space="preserve"> Some other delegations supported the proposal of the EU and regretted the lack of consensus with regard to the programme of work.</w:t>
      </w:r>
    </w:p>
    <w:p w14:paraId="547F4ECF" w14:textId="21268F55" w:rsidR="0044607B" w:rsidRPr="00DB0EA6" w:rsidRDefault="00E715F2" w:rsidP="00E27338">
      <w:pPr>
        <w:pStyle w:val="SingleTxtG"/>
        <w:numPr>
          <w:ilvl w:val="0"/>
          <w:numId w:val="13"/>
        </w:numPr>
        <w:ind w:left="1138" w:right="1138" w:firstLine="0"/>
      </w:pPr>
      <w:r w:rsidRPr="00DB0EA6">
        <w:t xml:space="preserve"> </w:t>
      </w:r>
      <w:r w:rsidR="00B95F0D">
        <w:t xml:space="preserve">The </w:t>
      </w:r>
      <w:r w:rsidR="00325E32">
        <w:t>delegations</w:t>
      </w:r>
      <w:r w:rsidR="0056395B" w:rsidRPr="00DB0EA6">
        <w:t xml:space="preserve"> </w:t>
      </w:r>
      <w:r w:rsidR="00B95F0D">
        <w:t xml:space="preserve">that </w:t>
      </w:r>
      <w:r w:rsidR="0056395B" w:rsidRPr="00DB0EA6">
        <w:t>rejected the E</w:t>
      </w:r>
      <w:r w:rsidR="0070766E">
        <w:t xml:space="preserve">U </w:t>
      </w:r>
      <w:r w:rsidR="0056395B" w:rsidRPr="00DB0EA6">
        <w:t>proposal</w:t>
      </w:r>
      <w:r w:rsidRPr="00DB0EA6">
        <w:t xml:space="preserve"> to amend t</w:t>
      </w:r>
      <w:r w:rsidR="0056395B" w:rsidRPr="00DB0EA6">
        <w:t>he draft programme of work</w:t>
      </w:r>
      <w:r w:rsidR="0070766E">
        <w:t xml:space="preserve"> stressed that t</w:t>
      </w:r>
      <w:r w:rsidR="0056395B" w:rsidRPr="00DB0EA6">
        <w:t xml:space="preserve">he mandate in resolution 26/9 </w:t>
      </w:r>
      <w:r w:rsidR="0070766E">
        <w:t xml:space="preserve">is </w:t>
      </w:r>
      <w:r w:rsidR="0056395B" w:rsidRPr="00DB0EA6">
        <w:t xml:space="preserve">clear and </w:t>
      </w:r>
      <w:r w:rsidR="0070766E">
        <w:t xml:space="preserve">that there was no need to advance substance or prejudge content to be discussed and negotiated.  They considered that the footnote to the programme of work would </w:t>
      </w:r>
      <w:r w:rsidR="0056395B" w:rsidRPr="00DB0EA6">
        <w:t xml:space="preserve">improperly </w:t>
      </w:r>
      <w:r w:rsidR="0070766E">
        <w:t xml:space="preserve">attempt to </w:t>
      </w:r>
      <w:r w:rsidR="0056395B" w:rsidRPr="00DB0EA6">
        <w:t>amend a resolution of the Human Rights Council.</w:t>
      </w:r>
      <w:r w:rsidR="0044607B" w:rsidRPr="00DB0EA6">
        <w:t xml:space="preserve"> </w:t>
      </w:r>
    </w:p>
    <w:p w14:paraId="5FB87F82" w14:textId="664192CB" w:rsidR="0070766E" w:rsidRDefault="0070766E" w:rsidP="005A3E1B">
      <w:pPr>
        <w:pStyle w:val="SingleTxtG"/>
        <w:numPr>
          <w:ilvl w:val="0"/>
          <w:numId w:val="13"/>
        </w:numPr>
        <w:ind w:left="1138" w:right="1138" w:firstLine="0"/>
      </w:pPr>
      <w:r w:rsidRPr="00DB0EA6">
        <w:t xml:space="preserve">The </w:t>
      </w:r>
      <w:r>
        <w:t>EU did not agree</w:t>
      </w:r>
      <w:r w:rsidRPr="00DB0EA6">
        <w:t xml:space="preserve"> that including the footnote would prejudge the outcomes of the negotiations</w:t>
      </w:r>
      <w:r>
        <w:t xml:space="preserve"> or would amend resolution 26/9, which they respect, even though that resolution restricts the scope and, therefore, prejudges the outcome of the negotiations</w:t>
      </w:r>
      <w:r w:rsidRPr="00DB0EA6">
        <w:t>.  It found objections to this proposal puzzling</w:t>
      </w:r>
      <w:r w:rsidR="00B53C72">
        <w:t>,</w:t>
      </w:r>
      <w:r w:rsidRPr="00DB0EA6">
        <w:t xml:space="preserve"> as </w:t>
      </w:r>
      <w:r w:rsidR="00F35497">
        <w:t xml:space="preserve">they sent </w:t>
      </w:r>
      <w:r w:rsidRPr="00DB0EA6">
        <w:t>a message to civil society, human ri</w:t>
      </w:r>
      <w:r>
        <w:t xml:space="preserve">ghts defenders, and victims </w:t>
      </w:r>
      <w:r w:rsidR="00B53C72">
        <w:t xml:space="preserve">that </w:t>
      </w:r>
      <w:r w:rsidRPr="00DB0EA6">
        <w:t>abuses by domestic enterprises should not be treated with equal rigor.  Additionally, it</w:t>
      </w:r>
      <w:r>
        <w:t xml:space="preserve"> reaffirmed that this </w:t>
      </w:r>
      <w:r w:rsidR="00B53C72">
        <w:t>was a compromise proposal that nobody objected to during the consultations except for one State and questioned the future of the process and the trust in the ability to find an agreeable position.</w:t>
      </w:r>
    </w:p>
    <w:p w14:paraId="0523C0FB" w14:textId="4C4D0451" w:rsidR="00FB5C96" w:rsidRPr="00DB0EA6" w:rsidRDefault="00B53C72" w:rsidP="00B53C72">
      <w:pPr>
        <w:pStyle w:val="SingleTxtG"/>
        <w:numPr>
          <w:ilvl w:val="0"/>
          <w:numId w:val="13"/>
        </w:numPr>
        <w:ind w:left="1138" w:right="1138" w:firstLine="0"/>
      </w:pPr>
      <w:r>
        <w:t xml:space="preserve">Another </w:t>
      </w:r>
      <w:r w:rsidR="00565CCC">
        <w:t>delegation</w:t>
      </w:r>
      <w:r w:rsidR="00EA1843">
        <w:t xml:space="preserve"> did not agree</w:t>
      </w:r>
      <w:r w:rsidR="0044607B" w:rsidRPr="00DB0EA6">
        <w:t xml:space="preserve"> that any compromise was reached at the 18 October meeting since many </w:t>
      </w:r>
      <w:r w:rsidR="00565CCC">
        <w:t>delegations</w:t>
      </w:r>
      <w:r w:rsidR="0044607B" w:rsidRPr="00DB0EA6">
        <w:t xml:space="preserve"> </w:t>
      </w:r>
      <w:r w:rsidR="00D61A70">
        <w:t>had not</w:t>
      </w:r>
      <w:r w:rsidR="00565CCC">
        <w:t xml:space="preserve"> been present</w:t>
      </w:r>
      <w:r>
        <w:t xml:space="preserve"> and recalled that it is not just one State against the EU proposal</w:t>
      </w:r>
      <w:r w:rsidR="00EA1843">
        <w:t xml:space="preserve">.  Additionally, the delegation found it </w:t>
      </w:r>
      <w:r w:rsidR="005A3E1B" w:rsidRPr="00DB0EA6">
        <w:t xml:space="preserve">peculiar that the same </w:t>
      </w:r>
      <w:r w:rsidR="00565CCC">
        <w:t>delegations</w:t>
      </w:r>
      <w:r w:rsidR="005A3E1B" w:rsidRPr="00DB0EA6">
        <w:t xml:space="preserve"> </w:t>
      </w:r>
      <w:r w:rsidR="00F35497">
        <w:t xml:space="preserve">voting </w:t>
      </w:r>
      <w:r w:rsidR="005A3E1B" w:rsidRPr="00DB0EA6">
        <w:t>against resolution 26/9 are now calling for an expansion of the mandate</w:t>
      </w:r>
      <w:r>
        <w:t xml:space="preserve"> with the intention to block this session</w:t>
      </w:r>
      <w:r w:rsidR="005A3E1B" w:rsidRPr="00DB0EA6">
        <w:t xml:space="preserve">.  </w:t>
      </w:r>
      <w:r w:rsidR="00E715F2" w:rsidRPr="00DB0EA6">
        <w:t xml:space="preserve">Another </w:t>
      </w:r>
      <w:r w:rsidR="00565CCC">
        <w:t>delegation</w:t>
      </w:r>
      <w:r w:rsidR="00E715F2" w:rsidRPr="00DB0EA6">
        <w:t xml:space="preserve"> noted that the</w:t>
      </w:r>
      <w:r w:rsidR="00FB5C96" w:rsidRPr="00DB0EA6">
        <w:t xml:space="preserve"> discussion was unreasonably delaying negotiations and was ultimately harming those they were trying to protect through this process.</w:t>
      </w:r>
    </w:p>
    <w:p w14:paraId="47AF0113" w14:textId="3761B777" w:rsidR="00AE33B5" w:rsidRPr="00DB0EA6" w:rsidRDefault="005A3E1B" w:rsidP="005E6CCF">
      <w:pPr>
        <w:pStyle w:val="SingleTxtG"/>
        <w:numPr>
          <w:ilvl w:val="0"/>
          <w:numId w:val="13"/>
        </w:numPr>
        <w:ind w:left="1138" w:right="1138" w:firstLine="0"/>
      </w:pPr>
      <w:r w:rsidRPr="00DB0EA6">
        <w:t xml:space="preserve">The Chair-Rapporteur </w:t>
      </w:r>
      <w:r w:rsidR="00B53C72">
        <w:t xml:space="preserve">shared </w:t>
      </w:r>
      <w:r w:rsidR="00EA1843">
        <w:t>the view</w:t>
      </w:r>
      <w:r w:rsidR="00513BFD" w:rsidRPr="00DB0EA6">
        <w:t xml:space="preserve"> </w:t>
      </w:r>
      <w:r w:rsidRPr="00DB0EA6">
        <w:t xml:space="preserve">that a compromise had </w:t>
      </w:r>
      <w:r w:rsidR="00B53C72">
        <w:t xml:space="preserve">not </w:t>
      </w:r>
      <w:r w:rsidRPr="00DB0EA6">
        <w:t xml:space="preserve">been reached </w:t>
      </w:r>
      <w:r w:rsidR="00513BFD" w:rsidRPr="00DB0EA6">
        <w:t xml:space="preserve">to amend the program of work </w:t>
      </w:r>
      <w:r w:rsidRPr="00DB0EA6">
        <w:t xml:space="preserve">and pointed out that </w:t>
      </w:r>
      <w:r w:rsidR="00565CCC">
        <w:t>further discussion could take place during the</w:t>
      </w:r>
      <w:r w:rsidRPr="00DB0EA6">
        <w:t xml:space="preserve"> panel devoted to the scope of the treaty</w:t>
      </w:r>
      <w:r w:rsidR="00565CCC">
        <w:t>.</w:t>
      </w:r>
      <w:r w:rsidRPr="00DB0EA6">
        <w:t xml:space="preserve">  He suggested that the working group adopt the programme of work </w:t>
      </w:r>
      <w:r w:rsidR="00513BFD" w:rsidRPr="00DB0EA6">
        <w:t>as presented and</w:t>
      </w:r>
      <w:r w:rsidR="00B77E92" w:rsidRPr="00DB0EA6">
        <w:t xml:space="preserve"> that all delegations</w:t>
      </w:r>
      <w:r w:rsidR="00513BFD" w:rsidRPr="00DB0EA6">
        <w:t>’</w:t>
      </w:r>
      <w:r w:rsidR="00B77E92" w:rsidRPr="00DB0EA6">
        <w:t xml:space="preserve"> views be reflected in the report.</w:t>
      </w:r>
      <w:r w:rsidR="00A25DEA" w:rsidRPr="00DB0EA6">
        <w:t xml:space="preserve">  A</w:t>
      </w:r>
      <w:r w:rsidR="00513BFD" w:rsidRPr="00DB0EA6">
        <w:t>s</w:t>
      </w:r>
      <w:r w:rsidR="00A25DEA" w:rsidRPr="00DB0EA6">
        <w:t xml:space="preserve"> no delegation </w:t>
      </w:r>
      <w:r w:rsidR="00513BFD" w:rsidRPr="00DB0EA6">
        <w:t xml:space="preserve">expressed objections </w:t>
      </w:r>
      <w:r w:rsidR="00A25DEA" w:rsidRPr="00DB0EA6">
        <w:t>to this proposal, the programme of work was adopted.</w:t>
      </w:r>
    </w:p>
    <w:p w14:paraId="1FC90FF8" w14:textId="77777777" w:rsidR="00CE2983" w:rsidRPr="00DB0EA6" w:rsidRDefault="00CE2983" w:rsidP="00AA18E1">
      <w:pPr>
        <w:pStyle w:val="HChG"/>
      </w:pPr>
      <w:r w:rsidRPr="00DB0EA6">
        <w:tab/>
      </w:r>
      <w:bookmarkStart w:id="19" w:name="_Toc471217410"/>
      <w:bookmarkStart w:id="20" w:name="_Toc496373807"/>
      <w:bookmarkStart w:id="21" w:name="_Toc497205710"/>
      <w:r w:rsidRPr="00DB0EA6">
        <w:t>III.</w:t>
      </w:r>
      <w:r w:rsidRPr="00DB0EA6">
        <w:tab/>
      </w:r>
      <w:r w:rsidR="00A25DEA" w:rsidRPr="00DB0EA6">
        <w:t>Opening</w:t>
      </w:r>
      <w:r w:rsidRPr="00DB0EA6">
        <w:t xml:space="preserve"> statements</w:t>
      </w:r>
      <w:bookmarkEnd w:id="19"/>
      <w:bookmarkEnd w:id="20"/>
      <w:bookmarkEnd w:id="21"/>
    </w:p>
    <w:p w14:paraId="7F765D4E" w14:textId="77777777" w:rsidR="00A25DEA" w:rsidRPr="00DB0EA6" w:rsidRDefault="00A25DEA" w:rsidP="005E6CCF">
      <w:pPr>
        <w:pStyle w:val="H1G"/>
      </w:pPr>
      <w:r w:rsidRPr="00DB0EA6">
        <w:tab/>
      </w:r>
      <w:bookmarkStart w:id="22" w:name="_Toc497205711"/>
      <w:r w:rsidRPr="00DB0EA6">
        <w:t>A.</w:t>
      </w:r>
      <w:r w:rsidRPr="00DB0EA6">
        <w:tab/>
        <w:t>Keynote Speeches</w:t>
      </w:r>
      <w:bookmarkEnd w:id="22"/>
    </w:p>
    <w:p w14:paraId="7AE66CB9" w14:textId="3CD14401" w:rsidR="00A25DEA" w:rsidRPr="00DB0EA6" w:rsidRDefault="00A25DEA" w:rsidP="00E27338">
      <w:pPr>
        <w:pStyle w:val="SingleTxtG"/>
        <w:numPr>
          <w:ilvl w:val="0"/>
          <w:numId w:val="13"/>
        </w:numPr>
        <w:ind w:left="1138" w:right="1138" w:firstLine="0"/>
      </w:pPr>
      <w:r w:rsidRPr="00DB0EA6">
        <w:t>María Fernanda Espinosa, Minister of Foreign Affairs of Ecuador, and former Chairperson-Rapporteur of the working group</w:t>
      </w:r>
      <w:r w:rsidR="005E6CCF" w:rsidRPr="00DB0EA6">
        <w:t>,</w:t>
      </w:r>
      <w:r w:rsidRPr="00DB0EA6">
        <w:t xml:space="preserve"> delivered a keynote </w:t>
      </w:r>
      <w:r w:rsidR="002A71A4" w:rsidRPr="00DB0EA6">
        <w:t>statement</w:t>
      </w:r>
      <w:r w:rsidR="005E6CCF" w:rsidRPr="00DB0EA6">
        <w:t xml:space="preserve"> that </w:t>
      </w:r>
      <w:r w:rsidR="001F30D5" w:rsidRPr="00DB0EA6">
        <w:t xml:space="preserve">explained </w:t>
      </w:r>
      <w:r w:rsidR="00565CCC">
        <w:t>the background to the establishment of the working group</w:t>
      </w:r>
      <w:r w:rsidR="001F30D5" w:rsidRPr="00DB0EA6">
        <w:t xml:space="preserve">.  Discussions surrounding the regulation of TNCs at the international level </w:t>
      </w:r>
      <w:r w:rsidR="002A71A4" w:rsidRPr="00DB0EA6">
        <w:t xml:space="preserve">date back to </w:t>
      </w:r>
      <w:r w:rsidR="001F30D5" w:rsidRPr="00DB0EA6">
        <w:t xml:space="preserve">the 1970s.  </w:t>
      </w:r>
      <w:r w:rsidR="002A71A4" w:rsidRPr="00DB0EA6">
        <w:t>Since then</w:t>
      </w:r>
      <w:r w:rsidR="001F30D5" w:rsidRPr="00DB0EA6">
        <w:t xml:space="preserve">, globalization </w:t>
      </w:r>
      <w:r w:rsidR="002A71A4" w:rsidRPr="00DB0EA6">
        <w:t>ha</w:t>
      </w:r>
      <w:r w:rsidR="00565CCC">
        <w:t>d</w:t>
      </w:r>
      <w:r w:rsidR="002A71A4" w:rsidRPr="00DB0EA6">
        <w:t xml:space="preserve"> </w:t>
      </w:r>
      <w:r w:rsidR="001F30D5" w:rsidRPr="00DB0EA6">
        <w:t>brought great power to TNCs, leading to positive consequences for economic development but also many negative social consequences.  Non-binding, voluntary rules ha</w:t>
      </w:r>
      <w:r w:rsidR="00565CCC">
        <w:t>d</w:t>
      </w:r>
      <w:r w:rsidR="001F30D5" w:rsidRPr="00DB0EA6">
        <w:t xml:space="preserve"> been valuable but ha</w:t>
      </w:r>
      <w:r w:rsidR="00565CCC">
        <w:t>d</w:t>
      </w:r>
      <w:r w:rsidR="001F30D5" w:rsidRPr="00DB0EA6">
        <w:t xml:space="preserve"> been unable to ensure victims’ access to remedy in cases of corporate human rights violations.  </w:t>
      </w:r>
      <w:r w:rsidR="00BF2724" w:rsidRPr="00DB0EA6">
        <w:t>T</w:t>
      </w:r>
      <w:r w:rsidR="001F30D5" w:rsidRPr="00DB0EA6">
        <w:t xml:space="preserve">he </w:t>
      </w:r>
      <w:r w:rsidR="00B53C72">
        <w:t xml:space="preserve">particular date of 26 June 2014 of the </w:t>
      </w:r>
      <w:r w:rsidR="001F30D5" w:rsidRPr="00DB0EA6">
        <w:t>adoption of resolution 26/9</w:t>
      </w:r>
      <w:r w:rsidR="00BF2724" w:rsidRPr="00DB0EA6">
        <w:t xml:space="preserve"> was a milestone</w:t>
      </w:r>
      <w:r w:rsidR="001F30D5" w:rsidRPr="00DB0EA6">
        <w:t xml:space="preserve">, </w:t>
      </w:r>
      <w:r w:rsidR="00BF2724" w:rsidRPr="00DB0EA6">
        <w:t xml:space="preserve">representing a paradigm shift in the efforts </w:t>
      </w:r>
      <w:r w:rsidR="001F30D5" w:rsidRPr="00DB0EA6">
        <w:t>to address corporate abuse.  Th</w:t>
      </w:r>
      <w:r w:rsidR="00BF2724" w:rsidRPr="00DB0EA6">
        <w:t xml:space="preserve">e </w:t>
      </w:r>
      <w:r w:rsidR="00113A0F">
        <w:t xml:space="preserve">working group </w:t>
      </w:r>
      <w:r w:rsidR="00BF2724" w:rsidRPr="00DB0EA6">
        <w:t xml:space="preserve">process </w:t>
      </w:r>
      <w:r w:rsidR="00B53C72">
        <w:t xml:space="preserve">led by Ecuador and South Africa to fill a gap in international law </w:t>
      </w:r>
      <w:r w:rsidR="00BF2724" w:rsidRPr="00DB0EA6">
        <w:t xml:space="preserve">is supported by </w:t>
      </w:r>
      <w:r w:rsidR="001F30D5" w:rsidRPr="00DB0EA6">
        <w:t xml:space="preserve">a </w:t>
      </w:r>
      <w:r w:rsidR="00B53C72">
        <w:t xml:space="preserve">wide </w:t>
      </w:r>
      <w:r w:rsidR="001F30D5" w:rsidRPr="00DB0EA6">
        <w:t xml:space="preserve">range of stakeholders including </w:t>
      </w:r>
      <w:r w:rsidR="00B53C72">
        <w:t xml:space="preserve">a large number of </w:t>
      </w:r>
      <w:r w:rsidR="001F30D5" w:rsidRPr="00DB0EA6">
        <w:t>civil society</w:t>
      </w:r>
      <w:r w:rsidR="00B53C72">
        <w:t xml:space="preserve"> organizations</w:t>
      </w:r>
      <w:r w:rsidR="001F30D5" w:rsidRPr="00DB0EA6">
        <w:t xml:space="preserve">.  Serious companies support it since they want a level playing field.  </w:t>
      </w:r>
      <w:r w:rsidR="00B53C72">
        <w:t xml:space="preserve">She stressed the importance of prevention in the document of elements, which could have been a key tool to avoid disasters like Rana Plaza, the Niger Delta pollution, and the destruction of lives in the Amazon by Chevron-Texaco.  </w:t>
      </w:r>
      <w:r w:rsidR="001F30D5" w:rsidRPr="00DB0EA6">
        <w:t>States support it since they recognize that the two paths of obligatory and voluntary are mutually reinforcing</w:t>
      </w:r>
      <w:r w:rsidR="00B53C72">
        <w:t>, as demonstrated by the recent French law and several other examples</w:t>
      </w:r>
      <w:r w:rsidR="001F30D5" w:rsidRPr="00DB0EA6">
        <w:t xml:space="preserve">.  </w:t>
      </w:r>
      <w:r w:rsidR="004019A1" w:rsidRPr="00DB0EA6">
        <w:t xml:space="preserve">Ms. Espinosa expressed her appreciation </w:t>
      </w:r>
      <w:r w:rsidR="00565CCC">
        <w:t xml:space="preserve">that </w:t>
      </w:r>
      <w:r w:rsidR="004019A1" w:rsidRPr="00DB0EA6">
        <w:t>hundreds of people have signed up to participate in th</w:t>
      </w:r>
      <w:r w:rsidR="00565CCC">
        <w:t>e</w:t>
      </w:r>
      <w:r w:rsidR="004019A1" w:rsidRPr="00DB0EA6">
        <w:t xml:space="preserve"> process and hoped that everyo</w:t>
      </w:r>
      <w:r w:rsidR="00460B5B" w:rsidRPr="00DB0EA6">
        <w:t>ne would engage constructively and with respect for diverse viewpoints</w:t>
      </w:r>
      <w:r w:rsidR="004019A1" w:rsidRPr="00DB0EA6">
        <w:t>.</w:t>
      </w:r>
    </w:p>
    <w:p w14:paraId="74E5EAEB" w14:textId="1AAF90C6" w:rsidR="00A25DEA" w:rsidRPr="00DB0EA6" w:rsidRDefault="00A25DEA" w:rsidP="00FE6698">
      <w:pPr>
        <w:pStyle w:val="SingleTxtG"/>
        <w:numPr>
          <w:ilvl w:val="0"/>
          <w:numId w:val="13"/>
        </w:numPr>
        <w:ind w:left="1138" w:right="1138" w:firstLine="0"/>
      </w:pPr>
      <w:r w:rsidRPr="00DB0EA6">
        <w:t>Dominique Potier, Member of the French National Assembly</w:t>
      </w:r>
      <w:r w:rsidR="004019A1" w:rsidRPr="00DB0EA6">
        <w:t xml:space="preserve"> highlighted the importance of ethics in guiding </w:t>
      </w:r>
      <w:r w:rsidR="00B53C72">
        <w:t>any discussion on human rights</w:t>
      </w:r>
      <w:r w:rsidR="004019A1" w:rsidRPr="00DB0EA6">
        <w:t>.  At the heart of th</w:t>
      </w:r>
      <w:r w:rsidR="00B53C72">
        <w:t>ose regulatory</w:t>
      </w:r>
      <w:r w:rsidR="004019A1" w:rsidRPr="00DB0EA6">
        <w:t xml:space="preserve"> process</w:t>
      </w:r>
      <w:r w:rsidR="00B53C72">
        <w:t>es, there</w:t>
      </w:r>
      <w:r w:rsidR="004019A1" w:rsidRPr="00DB0EA6">
        <w:t xml:space="preserve"> </w:t>
      </w:r>
      <w:r w:rsidR="00B53C72">
        <w:t xml:space="preserve">always </w:t>
      </w:r>
      <w:r w:rsidR="00942E18">
        <w:t>was</w:t>
      </w:r>
      <w:r w:rsidR="004019A1" w:rsidRPr="00DB0EA6">
        <w:t xml:space="preserve"> </w:t>
      </w:r>
      <w:r w:rsidR="00B53C72">
        <w:t xml:space="preserve">the </w:t>
      </w:r>
      <w:r w:rsidR="004019A1" w:rsidRPr="00DB0EA6">
        <w:t xml:space="preserve">respect for human dignity.  Historically, attempts to fight slavery and provide </w:t>
      </w:r>
      <w:r w:rsidR="001A1BD8" w:rsidRPr="00DB0EA6">
        <w:t>labour</w:t>
      </w:r>
      <w:r w:rsidR="004019A1" w:rsidRPr="00DB0EA6">
        <w:t xml:space="preserve"> protections were challenged as regulations </w:t>
      </w:r>
      <w:r w:rsidR="002A71A4" w:rsidRPr="00DB0EA6">
        <w:t xml:space="preserve">leading to </w:t>
      </w:r>
      <w:r w:rsidR="00BF2724" w:rsidRPr="00DB0EA6">
        <w:t>“</w:t>
      </w:r>
      <w:r w:rsidR="004019A1" w:rsidRPr="00DB0EA6">
        <w:t>the end of the world</w:t>
      </w:r>
      <w:r w:rsidR="00BF2724" w:rsidRPr="00DB0EA6">
        <w:t>”</w:t>
      </w:r>
      <w:r w:rsidR="004019A1" w:rsidRPr="00DB0EA6">
        <w:t xml:space="preserve">, but ended up being the </w:t>
      </w:r>
      <w:r w:rsidR="00C00D93" w:rsidRPr="00DB0EA6">
        <w:t>“</w:t>
      </w:r>
      <w:r w:rsidR="004019A1" w:rsidRPr="00DB0EA6">
        <w:t>dawn of a new era.</w:t>
      </w:r>
      <w:r w:rsidR="00C00D93" w:rsidRPr="00DB0EA6">
        <w:t>”</w:t>
      </w:r>
      <w:r w:rsidR="004019A1" w:rsidRPr="00DB0EA6">
        <w:t xml:space="preserve">  Such efforts led to significant drops in abuse.  The recent French duty of vigilance law </w:t>
      </w:r>
      <w:r w:rsidR="00942E18">
        <w:t>was</w:t>
      </w:r>
      <w:r w:rsidR="004019A1" w:rsidRPr="00DB0EA6">
        <w:t xml:space="preserve"> a contemporary regulation that can serve as an inspiration for this working group.  The law is based on UN principles, including the UNGPs; is process-oriented; </w:t>
      </w:r>
      <w:r w:rsidR="0021599A" w:rsidRPr="00DB0EA6">
        <w:t xml:space="preserve">focuses on nationality rather than be restricted by territory; and is progressive in that it targets the largest companies so they can lead by example.  </w:t>
      </w:r>
    </w:p>
    <w:p w14:paraId="337220FF" w14:textId="77777777" w:rsidR="00A25DEA" w:rsidRPr="00DB0EA6" w:rsidRDefault="00A25DEA" w:rsidP="00A25DEA">
      <w:pPr>
        <w:pStyle w:val="H1G"/>
      </w:pPr>
      <w:r w:rsidRPr="00DB0EA6">
        <w:tab/>
      </w:r>
      <w:bookmarkStart w:id="23" w:name="_Toc497205712"/>
      <w:r w:rsidRPr="00DB0EA6">
        <w:t>B.</w:t>
      </w:r>
      <w:r w:rsidRPr="00DB0EA6">
        <w:tab/>
        <w:t>General Statements</w:t>
      </w:r>
      <w:bookmarkEnd w:id="23"/>
    </w:p>
    <w:p w14:paraId="3C68B892" w14:textId="181A634F" w:rsidR="00760579" w:rsidRPr="00DB0EA6" w:rsidRDefault="00113A0F" w:rsidP="00E27338">
      <w:pPr>
        <w:pStyle w:val="SingleTxtG"/>
        <w:numPr>
          <w:ilvl w:val="0"/>
          <w:numId w:val="13"/>
        </w:numPr>
        <w:ind w:left="1138" w:right="1138" w:firstLine="0"/>
      </w:pPr>
      <w:r>
        <w:t>D</w:t>
      </w:r>
      <w:r w:rsidR="00CE2983" w:rsidRPr="00DB0EA6">
        <w:t xml:space="preserve">elegations </w:t>
      </w:r>
      <w:r w:rsidR="00760579" w:rsidRPr="00DB0EA6">
        <w:t xml:space="preserve">congratulated the Chair-Rapporteur on his election and thanked the former Chair-Rapporteur on her success leading the first two sessions.  </w:t>
      </w:r>
      <w:r w:rsidR="00942E18">
        <w:t>Many delegations</w:t>
      </w:r>
      <w:r w:rsidR="00760579" w:rsidRPr="00DB0EA6">
        <w:t xml:space="preserve"> </w:t>
      </w:r>
      <w:r>
        <w:t xml:space="preserve">expressed appreciation for </w:t>
      </w:r>
      <w:r w:rsidR="00942E18">
        <w:t>what they considered a</w:t>
      </w:r>
      <w:r w:rsidR="00760579" w:rsidRPr="00DB0EA6">
        <w:t xml:space="preserve"> transparent and inclusive pr</w:t>
      </w:r>
      <w:r w:rsidR="00D338AD">
        <w:t xml:space="preserve">ocess </w:t>
      </w:r>
      <w:r w:rsidR="00760579" w:rsidRPr="00DB0EA6">
        <w:t>and reaffirmed their trust in the Chair delegation in overseeing this third session.</w:t>
      </w:r>
    </w:p>
    <w:p w14:paraId="187D7C07" w14:textId="1A37154D" w:rsidR="00760579" w:rsidRPr="00DB0EA6" w:rsidRDefault="008537A2" w:rsidP="00E27338">
      <w:pPr>
        <w:pStyle w:val="SingleTxtG"/>
        <w:numPr>
          <w:ilvl w:val="0"/>
          <w:numId w:val="13"/>
        </w:numPr>
        <w:ind w:left="1138" w:right="1138" w:firstLine="0"/>
      </w:pPr>
      <w:r w:rsidRPr="00DB0EA6">
        <w:t xml:space="preserve">Many delegations voiced their support for establishing a legally binding instrument to regulate, in international human rights law, the activities of transnational corporations and other business enterprises.  While recognizing that business can and do have a positive </w:t>
      </w:r>
      <w:r w:rsidR="00113A0F">
        <w:t>impact</w:t>
      </w:r>
      <w:r w:rsidRPr="00DB0EA6">
        <w:t xml:space="preserve"> on human rights, especially with respect to economic development, several delegations</w:t>
      </w:r>
      <w:r w:rsidR="00B53C72">
        <w:t>, including a regional group,</w:t>
      </w:r>
      <w:r w:rsidRPr="00DB0EA6">
        <w:t xml:space="preserve"> and NGOs </w:t>
      </w:r>
      <w:r w:rsidR="00942E18">
        <w:t>stated</w:t>
      </w:r>
      <w:r w:rsidRPr="00DB0EA6">
        <w:t xml:space="preserve"> that </w:t>
      </w:r>
      <w:r w:rsidR="00367B22" w:rsidRPr="00DB0EA6">
        <w:t>companies</w:t>
      </w:r>
      <w:r w:rsidRPr="00DB0EA6">
        <w:t xml:space="preserve"> ha</w:t>
      </w:r>
      <w:r w:rsidR="00367B22" w:rsidRPr="00DB0EA6">
        <w:t>ve</w:t>
      </w:r>
      <w:r w:rsidRPr="00DB0EA6">
        <w:t xml:space="preserve"> undermined human rights and contributed to adverse human rights impacts with impunity.  Efforts to address this accountability gap have been ongoing for over 40 years with little success.</w:t>
      </w:r>
    </w:p>
    <w:p w14:paraId="210BDADB" w14:textId="499EF019" w:rsidR="008537A2" w:rsidRPr="00DB0EA6" w:rsidRDefault="00942E18" w:rsidP="00E27338">
      <w:pPr>
        <w:pStyle w:val="SingleTxtG"/>
        <w:numPr>
          <w:ilvl w:val="0"/>
          <w:numId w:val="13"/>
        </w:numPr>
        <w:ind w:left="1138" w:right="1138" w:firstLine="0"/>
      </w:pPr>
      <w:r>
        <w:t>D</w:t>
      </w:r>
      <w:r w:rsidR="008537A2" w:rsidRPr="00DB0EA6">
        <w:t>elegations</w:t>
      </w:r>
      <w:r w:rsidR="0020676C" w:rsidRPr="00DB0EA6">
        <w:t xml:space="preserve"> recognised </w:t>
      </w:r>
      <w:r w:rsidR="008537A2" w:rsidRPr="00DB0EA6">
        <w:t xml:space="preserve">that initiatives such as the UNGPs have been a large step forward, but </w:t>
      </w:r>
      <w:r w:rsidR="0020676C" w:rsidRPr="00DB0EA6">
        <w:t>found that</w:t>
      </w:r>
      <w:r w:rsidR="00367B22" w:rsidRPr="00DB0EA6">
        <w:t xml:space="preserve"> </w:t>
      </w:r>
      <w:r w:rsidR="008537A2" w:rsidRPr="00DB0EA6">
        <w:t>voluntary principles have not been enough</w:t>
      </w:r>
      <w:r w:rsidR="00367B22" w:rsidRPr="00DB0EA6">
        <w:t xml:space="preserve">; a mandatory regulatory framework </w:t>
      </w:r>
      <w:r>
        <w:t>was</w:t>
      </w:r>
      <w:r w:rsidR="00367B22" w:rsidRPr="00DB0EA6">
        <w:t xml:space="preserve"> needed to ensure accountability and access to justice.  Creating a legally binding instrument </w:t>
      </w:r>
      <w:r>
        <w:t>w</w:t>
      </w:r>
      <w:r w:rsidR="00367B22" w:rsidRPr="00DB0EA6">
        <w:t>ould be complementary to, and not in opposition of, the UNGPs.  Legal lacuna</w:t>
      </w:r>
      <w:r w:rsidR="00D1709E" w:rsidRPr="00DB0EA6">
        <w:t>e</w:t>
      </w:r>
      <w:r w:rsidR="00367B22" w:rsidRPr="00DB0EA6">
        <w:t xml:space="preserve"> in the UNGPs c</w:t>
      </w:r>
      <w:r>
        <w:t>ould</w:t>
      </w:r>
      <w:r w:rsidR="00367B22" w:rsidRPr="00DB0EA6">
        <w:t xml:space="preserve"> be </w:t>
      </w:r>
      <w:r>
        <w:t>addressed</w:t>
      </w:r>
      <w:r w:rsidR="00367B22" w:rsidRPr="00DB0EA6">
        <w:t xml:space="preserve"> with international obligations, and certain aspects of the UNGPs should be made manda</w:t>
      </w:r>
      <w:r w:rsidR="00030849" w:rsidRPr="00DB0EA6">
        <w:t>tory.</w:t>
      </w:r>
    </w:p>
    <w:p w14:paraId="5ED7D3E1" w14:textId="4017DC4A" w:rsidR="00367B22" w:rsidRPr="00DB0EA6" w:rsidRDefault="00367B22" w:rsidP="00E27338">
      <w:pPr>
        <w:pStyle w:val="SingleTxtG"/>
        <w:numPr>
          <w:ilvl w:val="0"/>
          <w:numId w:val="13"/>
        </w:numPr>
        <w:ind w:left="1138" w:right="1138" w:firstLine="0"/>
      </w:pPr>
      <w:r w:rsidRPr="00DB0EA6">
        <w:t xml:space="preserve">A legally binding instrument </w:t>
      </w:r>
      <w:r w:rsidR="0020676C" w:rsidRPr="00DB0EA6">
        <w:t>w</w:t>
      </w:r>
      <w:r w:rsidRPr="00DB0EA6">
        <w:t>ould benefit victims of business-related human rights abuse</w:t>
      </w:r>
      <w:r w:rsidR="00D338AD">
        <w:t xml:space="preserve"> by ensuring that companies are held</w:t>
      </w:r>
      <w:r w:rsidRPr="00DB0EA6">
        <w:t xml:space="preserve"> accountable and that victims have access to prompt, effective, and adequate remedies.</w:t>
      </w:r>
      <w:r w:rsidR="003969EB" w:rsidRPr="00DB0EA6">
        <w:t xml:space="preserve">  Additionally, several delegations considered that such an instrument could be beneficial to business since it would create a level playing field.  </w:t>
      </w:r>
      <w:r w:rsidR="002A71A4" w:rsidRPr="00DB0EA6">
        <w:t>U</w:t>
      </w:r>
      <w:r w:rsidR="003969EB" w:rsidRPr="00DB0EA6">
        <w:t>niform rules across jurisdictions</w:t>
      </w:r>
      <w:r w:rsidR="002A71A4" w:rsidRPr="00DB0EA6">
        <w:t xml:space="preserve"> </w:t>
      </w:r>
      <w:r w:rsidR="003969EB" w:rsidRPr="00DB0EA6">
        <w:t>would create legal certainty</w:t>
      </w:r>
      <w:r w:rsidR="00D00B99" w:rsidRPr="00DB0EA6">
        <w:t xml:space="preserve"> that business would appreciate</w:t>
      </w:r>
      <w:r w:rsidR="003969EB" w:rsidRPr="00DB0EA6">
        <w:t>.</w:t>
      </w:r>
    </w:p>
    <w:p w14:paraId="18E85427" w14:textId="30E43CFD" w:rsidR="003969EB" w:rsidRPr="00DB0EA6" w:rsidRDefault="003969EB" w:rsidP="00E27338">
      <w:pPr>
        <w:pStyle w:val="SingleTxtG"/>
        <w:numPr>
          <w:ilvl w:val="0"/>
          <w:numId w:val="13"/>
        </w:numPr>
        <w:ind w:left="1138" w:right="1138" w:firstLine="0"/>
      </w:pPr>
      <w:r w:rsidRPr="00DB0EA6">
        <w:t xml:space="preserve">Many delegations welcomed the </w:t>
      </w:r>
      <w:r w:rsidR="00113A0F">
        <w:t>E</w:t>
      </w:r>
      <w:r w:rsidRPr="00DB0EA6">
        <w:t xml:space="preserve">lements </w:t>
      </w:r>
      <w:r w:rsidR="00113A0F">
        <w:t xml:space="preserve">Document put forward </w:t>
      </w:r>
      <w:r w:rsidRPr="00DB0EA6">
        <w:t xml:space="preserve">by the Chair delegation </w:t>
      </w:r>
      <w:r w:rsidR="0020676C" w:rsidRPr="00DB0EA6">
        <w:t>as</w:t>
      </w:r>
      <w:r w:rsidRPr="00DB0EA6">
        <w:t xml:space="preserve"> </w:t>
      </w:r>
      <w:r w:rsidR="0020676C" w:rsidRPr="00DB0EA6">
        <w:t xml:space="preserve">being </w:t>
      </w:r>
      <w:r w:rsidRPr="00DB0EA6">
        <w:t>comprehensive, impos</w:t>
      </w:r>
      <w:r w:rsidR="0020676C" w:rsidRPr="00DB0EA6">
        <w:t>ing</w:t>
      </w:r>
      <w:r w:rsidRPr="00DB0EA6">
        <w:t xml:space="preserve"> obligations on TNCs and other business enterprises, and </w:t>
      </w:r>
      <w:r w:rsidR="0020676C" w:rsidRPr="00DB0EA6">
        <w:t xml:space="preserve">contributing to </w:t>
      </w:r>
      <w:r w:rsidR="0024664B" w:rsidRPr="00DB0EA6">
        <w:t xml:space="preserve">victims’ </w:t>
      </w:r>
      <w:r w:rsidRPr="00DB0EA6">
        <w:t>access to justice.</w:t>
      </w:r>
    </w:p>
    <w:p w14:paraId="23F127D9" w14:textId="4EF76E16" w:rsidR="003969EB" w:rsidRPr="00DB0EA6" w:rsidRDefault="003969EB" w:rsidP="00E27338">
      <w:pPr>
        <w:pStyle w:val="SingleTxtG"/>
        <w:numPr>
          <w:ilvl w:val="0"/>
          <w:numId w:val="13"/>
        </w:numPr>
        <w:ind w:left="1138" w:right="1138" w:firstLine="0"/>
      </w:pPr>
      <w:r w:rsidRPr="00DB0EA6">
        <w:t xml:space="preserve">Other delegations voiced concern over the elements, believing there was a risk of undermining the UNGPs.  </w:t>
      </w:r>
      <w:r w:rsidR="00942E18">
        <w:t xml:space="preserve">These </w:t>
      </w:r>
      <w:r w:rsidR="00D338AD">
        <w:t>d</w:t>
      </w:r>
      <w:r w:rsidR="00FE6698" w:rsidRPr="00DB0EA6">
        <w:t>elegations</w:t>
      </w:r>
      <w:r w:rsidR="00030849" w:rsidRPr="00DB0EA6">
        <w:t xml:space="preserve">, as well as </w:t>
      </w:r>
      <w:r w:rsidR="009F03F9">
        <w:t>some NGOs</w:t>
      </w:r>
      <w:r w:rsidR="00030849" w:rsidRPr="00DB0EA6">
        <w:t xml:space="preserve">, regretted that the </w:t>
      </w:r>
      <w:r w:rsidR="00113A0F">
        <w:t>E</w:t>
      </w:r>
      <w:r w:rsidR="00030849" w:rsidRPr="00DB0EA6">
        <w:t xml:space="preserve">lements </w:t>
      </w:r>
      <w:r w:rsidR="00113A0F">
        <w:t>Document was</w:t>
      </w:r>
      <w:r w:rsidR="00030849" w:rsidRPr="00DB0EA6">
        <w:t xml:space="preserve"> publi</w:t>
      </w:r>
      <w:r w:rsidR="00D338AD">
        <w:t>shed</w:t>
      </w:r>
      <w:r w:rsidR="00030849" w:rsidRPr="00DB0EA6">
        <w:t xml:space="preserve"> three weeks before the session</w:t>
      </w:r>
      <w:r w:rsidR="002A71A4" w:rsidRPr="00DB0EA6">
        <w:t xml:space="preserve">, allowing </w:t>
      </w:r>
      <w:r w:rsidR="00942E18">
        <w:t>insufficient</w:t>
      </w:r>
      <w:r w:rsidR="00030849" w:rsidRPr="00DB0EA6">
        <w:t xml:space="preserve"> time to fully analyse and formulate official positions on the </w:t>
      </w:r>
      <w:r w:rsidR="00113A0F">
        <w:t>content</w:t>
      </w:r>
      <w:r w:rsidR="00030849" w:rsidRPr="00DB0EA6">
        <w:t xml:space="preserve">.  </w:t>
      </w:r>
    </w:p>
    <w:p w14:paraId="759274D7" w14:textId="4DA784A3" w:rsidR="00030849" w:rsidRPr="00DB0EA6" w:rsidRDefault="00030849" w:rsidP="00E27338">
      <w:pPr>
        <w:pStyle w:val="SingleTxtG"/>
        <w:numPr>
          <w:ilvl w:val="0"/>
          <w:numId w:val="13"/>
        </w:numPr>
        <w:ind w:left="1138" w:right="1138" w:firstLine="0"/>
      </w:pPr>
      <w:r w:rsidRPr="00DB0EA6">
        <w:t xml:space="preserve">Some delegations thought that discussions on a legally binding instrument were premature.  </w:t>
      </w:r>
      <w:r w:rsidR="00942E18">
        <w:t>T</w:t>
      </w:r>
      <w:r w:rsidRPr="00DB0EA6">
        <w:t xml:space="preserve">he </w:t>
      </w:r>
      <w:r w:rsidR="002A71A4" w:rsidRPr="00DB0EA6">
        <w:t xml:space="preserve">UNGPs were </w:t>
      </w:r>
      <w:r w:rsidRPr="00DB0EA6">
        <w:t>unanimously</w:t>
      </w:r>
      <w:r w:rsidR="00942E18">
        <w:t xml:space="preserve"> </w:t>
      </w:r>
      <w:r w:rsidRPr="00DB0EA6">
        <w:t>adopted six years</w:t>
      </w:r>
      <w:r w:rsidR="002A71A4" w:rsidRPr="00DB0EA6">
        <w:t xml:space="preserve"> ago</w:t>
      </w:r>
      <w:r w:rsidRPr="00DB0EA6">
        <w:t xml:space="preserve">, </w:t>
      </w:r>
      <w:r w:rsidR="00942E18">
        <w:t>and more time was needed</w:t>
      </w:r>
      <w:r w:rsidRPr="00DB0EA6">
        <w:t xml:space="preserve"> to allow for States to implement the UNGPs</w:t>
      </w:r>
      <w:r w:rsidR="00942E18">
        <w:t xml:space="preserve">. This </w:t>
      </w:r>
      <w:r w:rsidRPr="00DB0EA6">
        <w:t xml:space="preserve">process </w:t>
      </w:r>
      <w:r w:rsidR="00942E18">
        <w:t xml:space="preserve">risked </w:t>
      </w:r>
      <w:r w:rsidRPr="00DB0EA6">
        <w:t xml:space="preserve">distracting attention away from such implementation.  </w:t>
      </w:r>
      <w:r w:rsidR="00113A0F">
        <w:t xml:space="preserve">Other </w:t>
      </w:r>
      <w:r w:rsidR="00942E18">
        <w:t>delegations</w:t>
      </w:r>
      <w:r w:rsidRPr="00DB0EA6">
        <w:t xml:space="preserve"> </w:t>
      </w:r>
      <w:r w:rsidR="00942E18">
        <w:t>agreed that</w:t>
      </w:r>
      <w:r w:rsidRPr="00DB0EA6">
        <w:t xml:space="preserve"> primacy </w:t>
      </w:r>
      <w:r w:rsidR="00113A0F">
        <w:t>should be afforded to the UNGPs</w:t>
      </w:r>
      <w:r w:rsidRPr="00DB0EA6">
        <w:t xml:space="preserve"> </w:t>
      </w:r>
      <w:r w:rsidR="00113A0F">
        <w:t xml:space="preserve">but </w:t>
      </w:r>
      <w:r w:rsidRPr="00DB0EA6">
        <w:t xml:space="preserve">acknowledged that both the UNGPs and </w:t>
      </w:r>
      <w:r w:rsidR="00414A86">
        <w:t>a</w:t>
      </w:r>
      <w:r w:rsidRPr="00DB0EA6">
        <w:t xml:space="preserve"> legally binding instrument </w:t>
      </w:r>
      <w:r w:rsidR="00414A86">
        <w:t>would have common</w:t>
      </w:r>
      <w:r w:rsidRPr="00DB0EA6">
        <w:t xml:space="preserve"> objectives, and that a smart mix of voluntary and regulatory measures could be beneficial.</w:t>
      </w:r>
    </w:p>
    <w:p w14:paraId="0E99411D" w14:textId="68270CF8" w:rsidR="00183848" w:rsidRPr="00DB0EA6" w:rsidRDefault="00183848" w:rsidP="00E27338">
      <w:pPr>
        <w:pStyle w:val="SingleTxtG"/>
        <w:numPr>
          <w:ilvl w:val="0"/>
          <w:numId w:val="13"/>
        </w:numPr>
        <w:ind w:left="1138" w:right="1138" w:firstLine="0"/>
      </w:pPr>
      <w:r w:rsidRPr="00DB0EA6">
        <w:t xml:space="preserve">Many delegations agreed that States </w:t>
      </w:r>
      <w:r w:rsidR="00113A0F">
        <w:t>have</w:t>
      </w:r>
      <w:r w:rsidRPr="00DB0EA6">
        <w:t xml:space="preserve"> the primary duty to protect against human rights abuse by third parties, including business enterprises, and commended the </w:t>
      </w:r>
      <w:r w:rsidR="00113A0F">
        <w:t>Elements Document</w:t>
      </w:r>
      <w:r w:rsidRPr="00DB0EA6">
        <w:t xml:space="preserve"> for reflecting this consensus.  However, there was disagreement as to which business enterprises should be </w:t>
      </w:r>
      <w:r w:rsidR="00D338AD">
        <w:t xml:space="preserve">covered </w:t>
      </w:r>
      <w:r w:rsidRPr="00DB0EA6">
        <w:t xml:space="preserve">by a legally binding instrument.  Several </w:t>
      </w:r>
      <w:r w:rsidR="0084437F" w:rsidRPr="00DB0EA6">
        <w:t>delegations expressed the view</w:t>
      </w:r>
      <w:r w:rsidRPr="00DB0EA6">
        <w:t xml:space="preserve"> that transnational corporations and all other business enterprises should be covered by the instrument, a view shared </w:t>
      </w:r>
      <w:r w:rsidR="0084437F" w:rsidRPr="00DB0EA6">
        <w:t>by</w:t>
      </w:r>
      <w:r w:rsidRPr="00DB0EA6">
        <w:t xml:space="preserve"> </w:t>
      </w:r>
      <w:r w:rsidR="00D338AD">
        <w:t>many</w:t>
      </w:r>
      <w:r w:rsidRPr="00DB0EA6">
        <w:t xml:space="preserve"> NGOs.  Given the complex nature of corporate structures and the prevalence of domestically</w:t>
      </w:r>
      <w:r w:rsidR="00414A86">
        <w:t xml:space="preserve"> </w:t>
      </w:r>
      <w:r w:rsidRPr="00DB0EA6">
        <w:t xml:space="preserve">incorporated subsidiaries, </w:t>
      </w:r>
      <w:r w:rsidR="00805143" w:rsidRPr="00DB0EA6">
        <w:t xml:space="preserve">these delegations feared that transnational corporations could find ways to fall outside the scope of an instrument regulating </w:t>
      </w:r>
      <w:r w:rsidR="00F3594E" w:rsidRPr="00DB0EA6">
        <w:t xml:space="preserve">only </w:t>
      </w:r>
      <w:r w:rsidR="00805143" w:rsidRPr="00DB0EA6">
        <w:t xml:space="preserve">transnational activities.  While some </w:t>
      </w:r>
      <w:r w:rsidR="0084437F" w:rsidRPr="00DB0EA6">
        <w:t>delegations expressed the view</w:t>
      </w:r>
      <w:r w:rsidR="00805143" w:rsidRPr="00DB0EA6">
        <w:t xml:space="preserve"> that resolution 26/9 and the</w:t>
      </w:r>
      <w:r w:rsidR="00113A0F">
        <w:t xml:space="preserve"> proposed</w:t>
      </w:r>
      <w:r w:rsidR="00805143" w:rsidRPr="00DB0EA6">
        <w:t xml:space="preserve"> elements permitted </w:t>
      </w:r>
      <w:r w:rsidR="00D61A70">
        <w:t>all business enterprises to be c</w:t>
      </w:r>
      <w:r w:rsidR="000B067C">
        <w:t>overed</w:t>
      </w:r>
      <w:r w:rsidR="00805143" w:rsidRPr="00DB0EA6">
        <w:t xml:space="preserve">, </w:t>
      </w:r>
      <w:r w:rsidR="0084437F" w:rsidRPr="00DB0EA6">
        <w:t>other delegations</w:t>
      </w:r>
      <w:r w:rsidR="00805143" w:rsidRPr="00DB0EA6">
        <w:t xml:space="preserve"> rejected this</w:t>
      </w:r>
      <w:r w:rsidR="0084437F" w:rsidRPr="00DB0EA6">
        <w:t xml:space="preserve"> as</w:t>
      </w:r>
      <w:r w:rsidR="00805143" w:rsidRPr="00DB0EA6">
        <w:t xml:space="preserve"> expand</w:t>
      </w:r>
      <w:r w:rsidR="0084437F" w:rsidRPr="00DB0EA6">
        <w:t>ing</w:t>
      </w:r>
      <w:r w:rsidR="00805143" w:rsidRPr="00DB0EA6">
        <w:t xml:space="preserve"> the mandate in resolution 26/9 and </w:t>
      </w:r>
      <w:r w:rsidR="0084437F" w:rsidRPr="00DB0EA6">
        <w:t xml:space="preserve">noted </w:t>
      </w:r>
      <w:r w:rsidR="00805143" w:rsidRPr="00DB0EA6">
        <w:t xml:space="preserve">that domestic laws </w:t>
      </w:r>
      <w:r w:rsidR="0084437F" w:rsidRPr="00DB0EA6">
        <w:t xml:space="preserve">already </w:t>
      </w:r>
      <w:r w:rsidR="00805143" w:rsidRPr="00DB0EA6">
        <w:t>regulate domestic companies.</w:t>
      </w:r>
    </w:p>
    <w:p w14:paraId="2863A351" w14:textId="2E7EB74E" w:rsidR="00805143" w:rsidRPr="00DB0EA6" w:rsidRDefault="0084437F" w:rsidP="00E27338">
      <w:pPr>
        <w:pStyle w:val="SingleTxtG"/>
        <w:numPr>
          <w:ilvl w:val="0"/>
          <w:numId w:val="13"/>
        </w:numPr>
        <w:ind w:left="1138" w:right="1138" w:firstLine="0"/>
      </w:pPr>
      <w:r w:rsidRPr="00DB0EA6">
        <w:t>Delegations</w:t>
      </w:r>
      <w:r w:rsidR="00805143" w:rsidRPr="00DB0EA6">
        <w:t xml:space="preserve"> disagreed </w:t>
      </w:r>
      <w:r w:rsidR="00B61AC7">
        <w:t>about</w:t>
      </w:r>
      <w:r w:rsidR="00805143" w:rsidRPr="00DB0EA6">
        <w:t xml:space="preserve"> the extent to which </w:t>
      </w:r>
      <w:r w:rsidR="00B61AC7">
        <w:t>an</w:t>
      </w:r>
      <w:r w:rsidR="00805143" w:rsidRPr="00DB0EA6">
        <w:t xml:space="preserve"> instrument should permit the exercise of extraterritorial jurisdiction.  One delegation suggested that the </w:t>
      </w:r>
      <w:r w:rsidR="00827691" w:rsidRPr="00DB0EA6">
        <w:t>instrument could incorporate</w:t>
      </w:r>
      <w:r w:rsidR="00B53C72">
        <w:t xml:space="preserve"> extraterritorial obligations as laid out in </w:t>
      </w:r>
      <w:r w:rsidR="00827691" w:rsidRPr="00DB0EA6">
        <w:t xml:space="preserve">the Maastricht Principles, while another delegation rejected the idea that </w:t>
      </w:r>
      <w:r w:rsidR="00414A86">
        <w:t>a</w:t>
      </w:r>
      <w:r w:rsidR="00827691" w:rsidRPr="00DB0EA6">
        <w:t xml:space="preserve"> legally binding instrument </w:t>
      </w:r>
      <w:r w:rsidR="00414A86">
        <w:t xml:space="preserve">should </w:t>
      </w:r>
      <w:r w:rsidR="00827691" w:rsidRPr="00DB0EA6">
        <w:t>permit States to exercise any form of extraterritorial jurisdiction.</w:t>
      </w:r>
    </w:p>
    <w:p w14:paraId="117D3398" w14:textId="69ED794B" w:rsidR="00827691" w:rsidRPr="00DB0EA6" w:rsidRDefault="00827691" w:rsidP="00E27338">
      <w:pPr>
        <w:pStyle w:val="SingleTxtG"/>
        <w:numPr>
          <w:ilvl w:val="0"/>
          <w:numId w:val="13"/>
        </w:numPr>
        <w:ind w:left="1138" w:right="1138" w:firstLine="0"/>
      </w:pPr>
      <w:r w:rsidRPr="00DB0EA6">
        <w:t xml:space="preserve">Multiple delegations </w:t>
      </w:r>
      <w:r w:rsidR="00625BD7" w:rsidRPr="00DB0EA6">
        <w:t>welcomed t</w:t>
      </w:r>
      <w:r w:rsidRPr="00DB0EA6">
        <w:t xml:space="preserve">hat the </w:t>
      </w:r>
      <w:r w:rsidR="0077163B">
        <w:t>E</w:t>
      </w:r>
      <w:r w:rsidRPr="00DB0EA6">
        <w:t xml:space="preserve">lements </w:t>
      </w:r>
      <w:r w:rsidR="0077163B">
        <w:t xml:space="preserve">Document </w:t>
      </w:r>
      <w:r w:rsidRPr="00DB0EA6">
        <w:t>include provisions on international cooperation and capacity building.  The legally binding instrument should recognize the differing capacities of States and allow for assistance in order to ensure effective implementation of the treaty.</w:t>
      </w:r>
    </w:p>
    <w:p w14:paraId="0B31078B" w14:textId="77777777" w:rsidR="00827691" w:rsidRPr="00DB0EA6" w:rsidRDefault="00827691" w:rsidP="00E27338">
      <w:pPr>
        <w:pStyle w:val="SingleTxtG"/>
        <w:numPr>
          <w:ilvl w:val="0"/>
          <w:numId w:val="13"/>
        </w:numPr>
        <w:ind w:left="1138" w:right="1138" w:firstLine="0"/>
      </w:pPr>
      <w:r w:rsidRPr="00DB0EA6">
        <w:t>Some delegations and multiple NGOs insisted that the treaty ensure specific protections for certain vulnerable populations, such as indigenous peoples.  Given the disproportionate effect that human rights abuse has on women and girls, there was a call for a gendered approach to the treaty.</w:t>
      </w:r>
    </w:p>
    <w:p w14:paraId="72FB113F" w14:textId="7758A8F0" w:rsidR="00827691" w:rsidRPr="00DB0EA6" w:rsidRDefault="00625BD7" w:rsidP="00E27338">
      <w:pPr>
        <w:pStyle w:val="SingleTxtG"/>
        <w:numPr>
          <w:ilvl w:val="0"/>
          <w:numId w:val="13"/>
        </w:numPr>
        <w:ind w:left="1138" w:right="1138" w:firstLine="0"/>
      </w:pPr>
      <w:r w:rsidRPr="00DB0EA6">
        <w:t>Some</w:t>
      </w:r>
      <w:r w:rsidR="00827691" w:rsidRPr="00DB0EA6">
        <w:t xml:space="preserve"> delegations and NGOs also discussed the need for the instrument to take account of conflict situations and provide special protections in cases of occupation and other types of armed conflict.</w:t>
      </w:r>
    </w:p>
    <w:p w14:paraId="24D18F1B" w14:textId="7D859DAD" w:rsidR="00D00B99" w:rsidRPr="00DB0EA6" w:rsidRDefault="00D00B99" w:rsidP="00E27338">
      <w:pPr>
        <w:pStyle w:val="SingleTxtG"/>
        <w:numPr>
          <w:ilvl w:val="0"/>
          <w:numId w:val="13"/>
        </w:numPr>
        <w:ind w:left="1138" w:right="1138" w:firstLine="0"/>
      </w:pPr>
      <w:r w:rsidRPr="00DB0EA6">
        <w:t xml:space="preserve">While several NGOs </w:t>
      </w:r>
      <w:r w:rsidR="00625BD7" w:rsidRPr="00DB0EA6">
        <w:t xml:space="preserve">called for the </w:t>
      </w:r>
      <w:r w:rsidRPr="00DB0EA6">
        <w:t xml:space="preserve">instrument </w:t>
      </w:r>
      <w:r w:rsidR="00625BD7" w:rsidRPr="00DB0EA6">
        <w:t xml:space="preserve">to </w:t>
      </w:r>
      <w:r w:rsidRPr="00DB0EA6">
        <w:t xml:space="preserve">clearly assert the primacy of human rights over trade and investment agreements, one delegation argued that there is no hierarchy between norms in international law, with the exception of </w:t>
      </w:r>
      <w:r w:rsidRPr="00DB0EA6">
        <w:rPr>
          <w:i/>
        </w:rPr>
        <w:t>jus cogens</w:t>
      </w:r>
      <w:r w:rsidRPr="00DB0EA6">
        <w:t xml:space="preserve"> norms.</w:t>
      </w:r>
    </w:p>
    <w:p w14:paraId="3F49CDAC" w14:textId="0495D7C3" w:rsidR="00A25DEA" w:rsidRPr="00DB0EA6" w:rsidRDefault="00D00B99" w:rsidP="0062283F">
      <w:pPr>
        <w:pStyle w:val="SingleTxtG"/>
        <w:numPr>
          <w:ilvl w:val="0"/>
          <w:numId w:val="13"/>
        </w:numPr>
        <w:ind w:left="1138" w:right="1138" w:firstLine="0"/>
      </w:pPr>
      <w:r w:rsidRPr="00DB0EA6">
        <w:t xml:space="preserve">There was wide consensus among most </w:t>
      </w:r>
      <w:r w:rsidR="00625BD7" w:rsidRPr="00DB0EA6">
        <w:t>delegations</w:t>
      </w:r>
      <w:r w:rsidRPr="00DB0EA6">
        <w:t xml:space="preserve"> and civil society that, going forward, th</w:t>
      </w:r>
      <w:r w:rsidR="00625BD7" w:rsidRPr="00DB0EA6">
        <w:t xml:space="preserve">e </w:t>
      </w:r>
      <w:r w:rsidRPr="00DB0EA6">
        <w:t xml:space="preserve">process would benefit from a transparent, inclusive, and constructive dialogue involving multiple stakeholders.  However, some delegations and </w:t>
      </w:r>
      <w:r w:rsidR="00F22278">
        <w:t>business organizations</w:t>
      </w:r>
      <w:r w:rsidRPr="00DB0EA6">
        <w:t xml:space="preserve"> were concerned that business w</w:t>
      </w:r>
      <w:r w:rsidR="00B61AC7">
        <w:t>as</w:t>
      </w:r>
      <w:r w:rsidRPr="00DB0EA6">
        <w:t xml:space="preserve"> not well represented</w:t>
      </w:r>
      <w:r w:rsidR="00B61AC7">
        <w:t xml:space="preserve"> in the process</w:t>
      </w:r>
      <w:r w:rsidRPr="00DB0EA6">
        <w:t xml:space="preserve">.  </w:t>
      </w:r>
    </w:p>
    <w:p w14:paraId="0D640B64" w14:textId="77777777" w:rsidR="00A25DEA" w:rsidRPr="00DB0EA6" w:rsidRDefault="00A25DEA" w:rsidP="00956C1E">
      <w:pPr>
        <w:pStyle w:val="H1G"/>
      </w:pPr>
      <w:r w:rsidRPr="00DB0EA6">
        <w:tab/>
      </w:r>
      <w:bookmarkStart w:id="24" w:name="_Toc497205713"/>
      <w:r w:rsidRPr="00DB0EA6">
        <w:t>C.</w:t>
      </w:r>
      <w:r w:rsidRPr="00DB0EA6">
        <w:tab/>
        <w:t>Debate: Reflections on the implementation of the United Nations Guiding Principles on Business and Human Rights and other relevant international, regional and national frameworks</w:t>
      </w:r>
      <w:bookmarkEnd w:id="24"/>
    </w:p>
    <w:p w14:paraId="5215AEE1" w14:textId="745ECF82" w:rsidR="00A25DEA" w:rsidRPr="00DB0EA6" w:rsidRDefault="00F61439" w:rsidP="00A25DEA">
      <w:pPr>
        <w:pStyle w:val="SingleTxtG"/>
        <w:numPr>
          <w:ilvl w:val="0"/>
          <w:numId w:val="13"/>
        </w:numPr>
        <w:ind w:left="1138" w:right="1138" w:firstLine="0"/>
      </w:pPr>
      <w:r w:rsidRPr="00DB0EA6">
        <w:t>One regional group</w:t>
      </w:r>
      <w:r w:rsidR="00956C1E" w:rsidRPr="00DB0EA6">
        <w:t xml:space="preserve"> expressed its appreciation for including this session </w:t>
      </w:r>
      <w:r w:rsidRPr="00DB0EA6">
        <w:t>in the Programme of Work</w:t>
      </w:r>
      <w:r w:rsidR="00956C1E" w:rsidRPr="00DB0EA6">
        <w:t>.  It recalled how in the last six years, there have been numerous positive initiatives aimed at implementing the UNGPs.  Since the</w:t>
      </w:r>
      <w:r w:rsidR="00E140EF" w:rsidRPr="00DB0EA6">
        <w:t xml:space="preserve"> working group</w:t>
      </w:r>
      <w:r w:rsidR="00956C1E" w:rsidRPr="00DB0EA6">
        <w:t xml:space="preserve"> process </w:t>
      </w:r>
      <w:r w:rsidR="00E140EF" w:rsidRPr="00DB0EA6">
        <w:t>can be expected to</w:t>
      </w:r>
      <w:r w:rsidR="00956C1E" w:rsidRPr="00DB0EA6">
        <w:t xml:space="preserve"> take a long time to conclude, </w:t>
      </w:r>
      <w:r w:rsidR="00E140EF" w:rsidRPr="00DB0EA6">
        <w:t xml:space="preserve">it was </w:t>
      </w:r>
      <w:r w:rsidR="00956C1E" w:rsidRPr="00DB0EA6">
        <w:t>suggested that States should take steps to implement the UNGPs now in order to ensure protection for victims.</w:t>
      </w:r>
    </w:p>
    <w:p w14:paraId="24E2C661" w14:textId="0F2CC8B7" w:rsidR="00A25DEA" w:rsidRPr="00DB0EA6" w:rsidRDefault="000B067C" w:rsidP="00A25DEA">
      <w:pPr>
        <w:pStyle w:val="SingleTxtG"/>
        <w:numPr>
          <w:ilvl w:val="0"/>
          <w:numId w:val="13"/>
        </w:numPr>
        <w:ind w:left="1138" w:right="1138" w:firstLine="0"/>
      </w:pPr>
      <w:r>
        <w:t>A number of d</w:t>
      </w:r>
      <w:r w:rsidR="00956C1E" w:rsidRPr="00DB0EA6">
        <w:t xml:space="preserve">elegations expressed their support for the UNGPs, as they were unanimously endorsed as an authoritative global standard.  Additionally, </w:t>
      </w:r>
      <w:r w:rsidR="00E140EF" w:rsidRPr="00DB0EA6">
        <w:t>delegations</w:t>
      </w:r>
      <w:r w:rsidR="00956C1E" w:rsidRPr="00DB0EA6">
        <w:t xml:space="preserve"> discussed different initiatives </w:t>
      </w:r>
      <w:r w:rsidR="00FE5AB9" w:rsidRPr="00DB0EA6">
        <w:t xml:space="preserve">implementing the UNGPs, in particular national action plans.  Support was </w:t>
      </w:r>
      <w:r w:rsidR="00E140EF" w:rsidRPr="00DB0EA6">
        <w:t>expressed</w:t>
      </w:r>
      <w:r w:rsidR="00FE5AB9" w:rsidRPr="00DB0EA6">
        <w:t xml:space="preserve"> for the OHCHR Accountability and Remedy Project, the Working Group on Business and Human Rights, as well as the annual Forum on Business and Human Rights.</w:t>
      </w:r>
    </w:p>
    <w:p w14:paraId="2040E5D4" w14:textId="11BF9051" w:rsidR="00A25DEA" w:rsidRPr="00DB0EA6" w:rsidRDefault="00E140EF" w:rsidP="0024664B">
      <w:pPr>
        <w:pStyle w:val="SingleTxtG"/>
        <w:numPr>
          <w:ilvl w:val="0"/>
          <w:numId w:val="13"/>
        </w:numPr>
        <w:ind w:left="1138" w:right="1138" w:firstLine="0"/>
      </w:pPr>
      <w:r w:rsidRPr="00DB0EA6">
        <w:t xml:space="preserve">Some delegations noted that </w:t>
      </w:r>
      <w:r w:rsidR="00FE5AB9" w:rsidRPr="00DB0EA6">
        <w:t xml:space="preserve">the UNGPs </w:t>
      </w:r>
      <w:r w:rsidRPr="00DB0EA6">
        <w:t xml:space="preserve">are not purely </w:t>
      </w:r>
      <w:r w:rsidR="00FE5AB9" w:rsidRPr="00DB0EA6">
        <w:t xml:space="preserve">voluntary since they discuss substantive obligations of States under international human rights law.  </w:t>
      </w:r>
      <w:r w:rsidR="0077163B">
        <w:t>O</w:t>
      </w:r>
      <w:r w:rsidR="0024664B" w:rsidRPr="00DB0EA6">
        <w:t xml:space="preserve">ther </w:t>
      </w:r>
      <w:r w:rsidRPr="00DB0EA6">
        <w:t>delegations</w:t>
      </w:r>
      <w:r w:rsidR="00FE5AB9" w:rsidRPr="00DB0EA6">
        <w:t xml:space="preserve"> and one NGO did not </w:t>
      </w:r>
      <w:r w:rsidRPr="00DB0EA6">
        <w:t>agree</w:t>
      </w:r>
      <w:r w:rsidR="00FE5AB9" w:rsidRPr="00DB0EA6">
        <w:t xml:space="preserve"> that the UNGPs could guarantee protection of human rights.  </w:t>
      </w:r>
    </w:p>
    <w:p w14:paraId="74BDBE3E" w14:textId="77777777" w:rsidR="00CE2983" w:rsidRPr="00DB0EA6" w:rsidRDefault="00CE2983" w:rsidP="00421CBA">
      <w:pPr>
        <w:pStyle w:val="HChG"/>
      </w:pPr>
      <w:r w:rsidRPr="00DB0EA6">
        <w:tab/>
      </w:r>
      <w:bookmarkStart w:id="25" w:name="_Toc471217411"/>
      <w:bookmarkStart w:id="26" w:name="_Toc496373808"/>
      <w:bookmarkStart w:id="27" w:name="_Toc497205714"/>
      <w:r w:rsidRPr="00DB0EA6">
        <w:t>IV.</w:t>
      </w:r>
      <w:r w:rsidRPr="00DB0EA6">
        <w:tab/>
        <w:t>Panel discussions</w:t>
      </w:r>
      <w:bookmarkEnd w:id="25"/>
      <w:bookmarkEnd w:id="26"/>
      <w:bookmarkEnd w:id="27"/>
    </w:p>
    <w:p w14:paraId="2E3854A0" w14:textId="77777777" w:rsidR="00CE2983" w:rsidRPr="00DB0EA6" w:rsidRDefault="00CE2983" w:rsidP="00421CBA">
      <w:pPr>
        <w:pStyle w:val="H1G"/>
      </w:pPr>
      <w:r w:rsidRPr="00DB0EA6">
        <w:tab/>
      </w:r>
      <w:bookmarkStart w:id="28" w:name="_Toc471217412"/>
      <w:bookmarkStart w:id="29" w:name="_Toc496373809"/>
      <w:bookmarkStart w:id="30" w:name="_Toc497205715"/>
      <w:r w:rsidRPr="00DB0EA6">
        <w:t>A.</w:t>
      </w:r>
      <w:r w:rsidRPr="00DB0EA6">
        <w:tab/>
      </w:r>
      <w:bookmarkEnd w:id="28"/>
      <w:r w:rsidR="005D716F" w:rsidRPr="00DB0EA6">
        <w:t>Subject 1: General framework</w:t>
      </w:r>
      <w:bookmarkEnd w:id="29"/>
      <w:bookmarkEnd w:id="30"/>
    </w:p>
    <w:p w14:paraId="42133A98" w14:textId="02E66149" w:rsidR="00A722BC" w:rsidRPr="00DB0EA6" w:rsidRDefault="00A722BC" w:rsidP="00FE6698">
      <w:pPr>
        <w:pStyle w:val="ListParagraph"/>
        <w:numPr>
          <w:ilvl w:val="0"/>
          <w:numId w:val="13"/>
        </w:numPr>
        <w:spacing w:after="120"/>
        <w:ind w:left="1138" w:right="1138" w:firstLine="0"/>
        <w:contextualSpacing w:val="0"/>
        <w:jc w:val="both"/>
        <w:rPr>
          <w:rFonts w:eastAsia="Times New Roman"/>
        </w:rPr>
      </w:pPr>
      <w:r w:rsidRPr="00DB0EA6">
        <w:rPr>
          <w:rFonts w:eastAsia="Times New Roman"/>
        </w:rPr>
        <w:t xml:space="preserve">The first panellist noted that these negotiations are the product of a strong grassroots process.  Consumers need access to information to </w:t>
      </w:r>
      <w:r w:rsidR="00375C06" w:rsidRPr="00DB0EA6">
        <w:rPr>
          <w:rFonts w:eastAsia="Times New Roman"/>
        </w:rPr>
        <w:t>influence business habits</w:t>
      </w:r>
      <w:r w:rsidRPr="00DB0EA6">
        <w:rPr>
          <w:rFonts w:eastAsia="Times New Roman"/>
        </w:rPr>
        <w:t xml:space="preserve">; thus, there should be transparent human rights due diligence processes throughout supply chains.  She noted that the European Parliament has mandated its representative to maintain a constructive dialogue </w:t>
      </w:r>
      <w:r w:rsidR="00154506">
        <w:rPr>
          <w:rFonts w:eastAsia="Times New Roman"/>
        </w:rPr>
        <w:t>with the working group</w:t>
      </w:r>
      <w:r w:rsidRPr="00DB0EA6">
        <w:rPr>
          <w:rFonts w:eastAsia="Times New Roman"/>
        </w:rPr>
        <w:t xml:space="preserve"> because it believes that there needs to be a legally binding instrument regulating business and human rights.  The panellist lamented the position of </w:t>
      </w:r>
      <w:r w:rsidR="00B53C72">
        <w:rPr>
          <w:rFonts w:eastAsia="Times New Roman"/>
        </w:rPr>
        <w:t>the EU delegation</w:t>
      </w:r>
      <w:r w:rsidRPr="00DB0EA6">
        <w:rPr>
          <w:rFonts w:eastAsia="Times New Roman"/>
        </w:rPr>
        <w:t xml:space="preserve"> </w:t>
      </w:r>
      <w:r w:rsidR="005C17F0" w:rsidRPr="00DB0EA6">
        <w:rPr>
          <w:rFonts w:eastAsia="Times New Roman"/>
        </w:rPr>
        <w:t xml:space="preserve">as it </w:t>
      </w:r>
      <w:r w:rsidRPr="00DB0EA6">
        <w:rPr>
          <w:rFonts w:eastAsia="Times New Roman"/>
        </w:rPr>
        <w:t>goes against the common position of the European Parliament</w:t>
      </w:r>
      <w:r w:rsidR="00B53C72">
        <w:rPr>
          <w:rFonts w:eastAsia="Times New Roman"/>
        </w:rPr>
        <w:t xml:space="preserve"> and therefore does not represent it</w:t>
      </w:r>
      <w:r w:rsidRPr="00DB0EA6">
        <w:rPr>
          <w:rFonts w:eastAsia="Times New Roman"/>
        </w:rPr>
        <w:t>.</w:t>
      </w:r>
    </w:p>
    <w:p w14:paraId="76BBA318" w14:textId="3D6F7881" w:rsidR="00A722BC" w:rsidRPr="00DB0EA6" w:rsidRDefault="00A722BC" w:rsidP="00A722BC">
      <w:pPr>
        <w:pStyle w:val="ListParagraph"/>
        <w:numPr>
          <w:ilvl w:val="0"/>
          <w:numId w:val="13"/>
        </w:numPr>
        <w:spacing w:after="120"/>
        <w:ind w:left="1138" w:right="1138" w:firstLine="0"/>
        <w:contextualSpacing w:val="0"/>
        <w:jc w:val="both"/>
        <w:rPr>
          <w:rFonts w:eastAsia="Times New Roman"/>
        </w:rPr>
      </w:pPr>
      <w:r w:rsidRPr="00DB0EA6">
        <w:rPr>
          <w:rFonts w:eastAsia="Times New Roman"/>
        </w:rPr>
        <w:t xml:space="preserve">The second panellist offered a development perspective to the discussion. He discussed </w:t>
      </w:r>
      <w:r w:rsidRPr="00DB0EA6">
        <w:rPr>
          <w:rFonts w:eastAsia="Times New Roman"/>
          <w:color w:val="000000" w:themeColor="text1"/>
        </w:rPr>
        <w:t xml:space="preserve">the economist, </w:t>
      </w:r>
      <w:r w:rsidRPr="00DB0EA6">
        <w:rPr>
          <w:rFonts w:eastAsia="Times New Roman"/>
          <w:color w:val="000000" w:themeColor="text1"/>
          <w:shd w:val="clear" w:color="auto" w:fill="FFFFFF"/>
        </w:rPr>
        <w:t xml:space="preserve">Joseph Stiglitz, </w:t>
      </w:r>
      <w:r w:rsidRPr="00DB0EA6">
        <w:rPr>
          <w:rFonts w:eastAsia="Times New Roman"/>
          <w:color w:val="000000" w:themeColor="text1"/>
        </w:rPr>
        <w:t xml:space="preserve">who has argued that </w:t>
      </w:r>
      <w:r w:rsidRPr="00DB0EA6">
        <w:rPr>
          <w:rFonts w:eastAsia="Times New Roman"/>
        </w:rPr>
        <w:t>globalization distinctly disadvantaged developing countries, and that large financial corporations pose a particular barrier to development in the Global South.</w:t>
      </w:r>
      <w:r w:rsidR="008165AF">
        <w:rPr>
          <w:rFonts w:eastAsia="Times New Roman"/>
        </w:rPr>
        <w:t xml:space="preserve"> M</w:t>
      </w:r>
      <w:r w:rsidRPr="00DB0EA6">
        <w:rPr>
          <w:rFonts w:eastAsia="Times New Roman"/>
        </w:rPr>
        <w:t xml:space="preserve">arket failure and the dominant role of finance not only affected inequality between nations, but also within nations, including within advanced economies. </w:t>
      </w:r>
      <w:r w:rsidR="00375C06" w:rsidRPr="00DB0EA6">
        <w:rPr>
          <w:rFonts w:eastAsia="Times New Roman"/>
        </w:rPr>
        <w:t>T</w:t>
      </w:r>
      <w:r w:rsidRPr="00DB0EA6">
        <w:rPr>
          <w:rFonts w:eastAsia="Times New Roman"/>
        </w:rPr>
        <w:t xml:space="preserve">he high prevalence of rent-seeking </w:t>
      </w:r>
      <w:r w:rsidR="001A1BD8" w:rsidRPr="00DB0EA6">
        <w:rPr>
          <w:rFonts w:eastAsia="Times New Roman"/>
        </w:rPr>
        <w:t>behaviour</w:t>
      </w:r>
      <w:r w:rsidRPr="00DB0EA6">
        <w:rPr>
          <w:rFonts w:eastAsia="Times New Roman"/>
        </w:rPr>
        <w:t xml:space="preserve"> by corporations </w:t>
      </w:r>
      <w:r w:rsidR="00375C06" w:rsidRPr="00DB0EA6">
        <w:rPr>
          <w:rFonts w:eastAsia="Times New Roman"/>
        </w:rPr>
        <w:t>creates</w:t>
      </w:r>
      <w:r w:rsidRPr="00DB0EA6">
        <w:rPr>
          <w:rFonts w:eastAsia="Times New Roman"/>
        </w:rPr>
        <w:t xml:space="preserve"> a “winner takes most society.”  For example, intellectual property rights have become a way for corporations to corner markets and gouge citizens rather than being </w:t>
      </w:r>
      <w:r w:rsidR="00F2150D" w:rsidRPr="00DB0EA6">
        <w:rPr>
          <w:rFonts w:eastAsia="Times New Roman"/>
        </w:rPr>
        <w:t xml:space="preserve">a </w:t>
      </w:r>
      <w:r w:rsidRPr="00DB0EA6">
        <w:rPr>
          <w:rFonts w:eastAsia="Times New Roman"/>
        </w:rPr>
        <w:t xml:space="preserve">source of innovation and entrepreneurial drive. </w:t>
      </w:r>
      <w:r w:rsidR="00360617" w:rsidRPr="00DB0EA6">
        <w:rPr>
          <w:rFonts w:eastAsia="Times New Roman"/>
        </w:rPr>
        <w:t xml:space="preserve"> It was argued </w:t>
      </w:r>
      <w:r w:rsidRPr="00DB0EA6">
        <w:rPr>
          <w:rFonts w:eastAsia="Times New Roman"/>
        </w:rPr>
        <w:t>that the predato</w:t>
      </w:r>
      <w:r w:rsidR="00F2150D" w:rsidRPr="00DB0EA6">
        <w:rPr>
          <w:rFonts w:eastAsia="Times New Roman"/>
        </w:rPr>
        <w:t>ry features of</w:t>
      </w:r>
      <w:r w:rsidRPr="00DB0EA6">
        <w:rPr>
          <w:rFonts w:eastAsia="Times New Roman"/>
        </w:rPr>
        <w:t xml:space="preserve"> the current economy impede </w:t>
      </w:r>
      <w:r w:rsidR="00F2150D" w:rsidRPr="00DB0EA6">
        <w:rPr>
          <w:rFonts w:eastAsia="Times New Roman"/>
        </w:rPr>
        <w:t xml:space="preserve">the </w:t>
      </w:r>
      <w:r w:rsidRPr="00DB0EA6">
        <w:rPr>
          <w:rFonts w:eastAsia="Times New Roman"/>
        </w:rPr>
        <w:t>SDGs</w:t>
      </w:r>
      <w:r w:rsidR="00F2150D" w:rsidRPr="00DB0EA6">
        <w:rPr>
          <w:rFonts w:eastAsia="Times New Roman"/>
        </w:rPr>
        <w:t>, but</w:t>
      </w:r>
      <w:r w:rsidRPr="00DB0EA6">
        <w:rPr>
          <w:rFonts w:eastAsia="Times New Roman"/>
        </w:rPr>
        <w:t xml:space="preserve"> that there is </w:t>
      </w:r>
      <w:r w:rsidR="00F2150D" w:rsidRPr="00DB0EA6">
        <w:rPr>
          <w:rFonts w:eastAsia="Times New Roman"/>
        </w:rPr>
        <w:t xml:space="preserve">a </w:t>
      </w:r>
      <w:r w:rsidRPr="00DB0EA6">
        <w:rPr>
          <w:rFonts w:eastAsia="Times New Roman"/>
        </w:rPr>
        <w:t xml:space="preserve">growing </w:t>
      </w:r>
      <w:r w:rsidR="00F2150D" w:rsidRPr="00DB0EA6">
        <w:rPr>
          <w:rFonts w:eastAsia="Times New Roman"/>
        </w:rPr>
        <w:t xml:space="preserve">trend </w:t>
      </w:r>
      <w:r w:rsidRPr="00DB0EA6">
        <w:rPr>
          <w:rFonts w:eastAsia="Times New Roman"/>
        </w:rPr>
        <w:t>to combat this.  For example, the United States is revisiting its long history of anti-trust legislation and the OECD is attacking tax avoidance by large internet companies.</w:t>
      </w:r>
    </w:p>
    <w:p w14:paraId="176CD3AC" w14:textId="63EDF283" w:rsidR="00A722BC" w:rsidRPr="00DB0EA6" w:rsidRDefault="00A722BC" w:rsidP="00A722BC">
      <w:pPr>
        <w:pStyle w:val="ListParagraph"/>
        <w:numPr>
          <w:ilvl w:val="0"/>
          <w:numId w:val="13"/>
        </w:numPr>
        <w:spacing w:after="120"/>
        <w:ind w:left="1138" w:right="1138" w:firstLine="0"/>
        <w:contextualSpacing w:val="0"/>
        <w:jc w:val="both"/>
        <w:rPr>
          <w:rFonts w:eastAsia="Times New Roman"/>
        </w:rPr>
      </w:pPr>
      <w:r w:rsidRPr="00DB0EA6">
        <w:rPr>
          <w:rFonts w:eastAsia="Times New Roman"/>
        </w:rPr>
        <w:t>The third panel</w:t>
      </w:r>
      <w:r w:rsidR="00F2150D" w:rsidRPr="00DB0EA6">
        <w:rPr>
          <w:rFonts w:eastAsia="Times New Roman"/>
        </w:rPr>
        <w:t>l</w:t>
      </w:r>
      <w:r w:rsidRPr="00DB0EA6">
        <w:rPr>
          <w:rFonts w:eastAsia="Times New Roman"/>
        </w:rPr>
        <w:t xml:space="preserve">ist addressed the accelerating pace of challenges faced by the global community </w:t>
      </w:r>
      <w:r w:rsidR="00F2150D" w:rsidRPr="00DB0EA6">
        <w:rPr>
          <w:rFonts w:eastAsia="Times New Roman"/>
        </w:rPr>
        <w:t xml:space="preserve">with respect </w:t>
      </w:r>
      <w:r w:rsidRPr="00DB0EA6">
        <w:rPr>
          <w:rFonts w:eastAsia="Times New Roman"/>
        </w:rPr>
        <w:t xml:space="preserve">to development and the recognition of human rights. He </w:t>
      </w:r>
      <w:r w:rsidR="00561E3D" w:rsidRPr="00DB0EA6">
        <w:rPr>
          <w:rFonts w:eastAsia="Times New Roman"/>
        </w:rPr>
        <w:t>found</w:t>
      </w:r>
      <w:r w:rsidRPr="00DB0EA6">
        <w:rPr>
          <w:rFonts w:eastAsia="Times New Roman"/>
        </w:rPr>
        <w:t xml:space="preserve"> the </w:t>
      </w:r>
      <w:r w:rsidR="008165AF">
        <w:rPr>
          <w:rFonts w:eastAsia="Times New Roman"/>
        </w:rPr>
        <w:t xml:space="preserve">proposed </w:t>
      </w:r>
      <w:r w:rsidRPr="00DB0EA6">
        <w:rPr>
          <w:rFonts w:eastAsia="Times New Roman"/>
        </w:rPr>
        <w:t xml:space="preserve">elements useful in </w:t>
      </w:r>
      <w:r w:rsidR="00561E3D" w:rsidRPr="00DB0EA6">
        <w:rPr>
          <w:rFonts w:eastAsia="Times New Roman"/>
        </w:rPr>
        <w:t>reflecting the main perspectives expressed during</w:t>
      </w:r>
      <w:r w:rsidRPr="00DB0EA6">
        <w:rPr>
          <w:rFonts w:eastAsia="Times New Roman"/>
        </w:rPr>
        <w:t xml:space="preserve"> the previous two sessions</w:t>
      </w:r>
      <w:r w:rsidR="0024664B" w:rsidRPr="00DB0EA6">
        <w:rPr>
          <w:rFonts w:eastAsia="Times New Roman"/>
        </w:rPr>
        <w:t xml:space="preserve">. </w:t>
      </w:r>
      <w:r w:rsidRPr="00DB0EA6">
        <w:rPr>
          <w:rFonts w:eastAsia="Times New Roman"/>
        </w:rPr>
        <w:t xml:space="preserve"> The panel</w:t>
      </w:r>
      <w:r w:rsidR="00F2150D" w:rsidRPr="00DB0EA6">
        <w:rPr>
          <w:rFonts w:eastAsia="Times New Roman"/>
        </w:rPr>
        <w:t>l</w:t>
      </w:r>
      <w:r w:rsidRPr="00DB0EA6">
        <w:rPr>
          <w:rFonts w:eastAsia="Times New Roman"/>
        </w:rPr>
        <w:t xml:space="preserve">ist </w:t>
      </w:r>
      <w:r w:rsidR="005C17F0" w:rsidRPr="00DB0EA6">
        <w:rPr>
          <w:rFonts w:eastAsia="Times New Roman"/>
        </w:rPr>
        <w:t xml:space="preserve">highlighted </w:t>
      </w:r>
      <w:r w:rsidRPr="00DB0EA6">
        <w:rPr>
          <w:rFonts w:eastAsia="Times New Roman"/>
        </w:rPr>
        <w:t xml:space="preserve">three objectives </w:t>
      </w:r>
      <w:r w:rsidR="00F2150D" w:rsidRPr="00DB0EA6">
        <w:rPr>
          <w:rFonts w:eastAsia="Times New Roman"/>
        </w:rPr>
        <w:t>in the draft elements</w:t>
      </w:r>
      <w:r w:rsidRPr="00DB0EA6">
        <w:rPr>
          <w:rFonts w:eastAsia="Times New Roman"/>
        </w:rPr>
        <w:t xml:space="preserve">: (1) guaranteeing the </w:t>
      </w:r>
      <w:r w:rsidR="00F2150D" w:rsidRPr="00DB0EA6">
        <w:rPr>
          <w:rFonts w:eastAsia="Times New Roman"/>
        </w:rPr>
        <w:t>respect, promotion, and fulfi</w:t>
      </w:r>
      <w:r w:rsidR="0024664B" w:rsidRPr="00DB0EA6">
        <w:rPr>
          <w:rFonts w:eastAsia="Times New Roman"/>
        </w:rPr>
        <w:t>lment of human rights,</w:t>
      </w:r>
      <w:r w:rsidRPr="00DB0EA6">
        <w:rPr>
          <w:rFonts w:eastAsia="Times New Roman"/>
        </w:rPr>
        <w:t xml:space="preserve"> (2) guaranteeing access to remedies</w:t>
      </w:r>
      <w:r w:rsidR="0024664B" w:rsidRPr="00DB0EA6">
        <w:rPr>
          <w:rFonts w:eastAsia="Times New Roman"/>
        </w:rPr>
        <w:t>,</w:t>
      </w:r>
      <w:r w:rsidRPr="00DB0EA6">
        <w:rPr>
          <w:rFonts w:eastAsia="Times New Roman"/>
        </w:rPr>
        <w:t xml:space="preserve"> and (3) strengthening international cooperation. </w:t>
      </w:r>
    </w:p>
    <w:p w14:paraId="45011C04" w14:textId="4CC85EFC" w:rsidR="00CE2983" w:rsidRPr="00DB0EA6" w:rsidRDefault="00CF07F7" w:rsidP="00E27338">
      <w:pPr>
        <w:pStyle w:val="SingleTxtG"/>
        <w:numPr>
          <w:ilvl w:val="0"/>
          <w:numId w:val="13"/>
        </w:numPr>
        <w:ind w:left="1138" w:right="1138" w:firstLine="0"/>
      </w:pPr>
      <w:r w:rsidRPr="00DB0EA6">
        <w:t xml:space="preserve">Some delegations found </w:t>
      </w:r>
      <w:r w:rsidR="00497C5F" w:rsidRPr="00DB0EA6">
        <w:t xml:space="preserve">that the chapter on the </w:t>
      </w:r>
      <w:r w:rsidR="00C7751D">
        <w:t>“G</w:t>
      </w:r>
      <w:r w:rsidR="00497C5F" w:rsidRPr="00DB0EA6">
        <w:t>eneral framework</w:t>
      </w:r>
      <w:r w:rsidR="00C7751D">
        <w:t>”</w:t>
      </w:r>
      <w:r w:rsidR="00497C5F" w:rsidRPr="00DB0EA6">
        <w:t xml:space="preserve"> </w:t>
      </w:r>
      <w:r w:rsidR="0077163B">
        <w:t xml:space="preserve">in the Elements Document </w:t>
      </w:r>
      <w:r w:rsidR="00497C5F" w:rsidRPr="00DB0EA6">
        <w:t xml:space="preserve">should be made more concise, </w:t>
      </w:r>
      <w:r w:rsidR="0077163B">
        <w:t>while</w:t>
      </w:r>
      <w:r w:rsidR="00497C5F" w:rsidRPr="00DB0EA6">
        <w:t xml:space="preserve"> </w:t>
      </w:r>
      <w:r w:rsidR="00B53C72">
        <w:t xml:space="preserve">others </w:t>
      </w:r>
      <w:r w:rsidRPr="00DB0EA6">
        <w:t xml:space="preserve">expressed appreciation for </w:t>
      </w:r>
      <w:r w:rsidR="00497C5F" w:rsidRPr="00DB0EA6">
        <w:t xml:space="preserve">the comprehensive approach.  </w:t>
      </w:r>
      <w:r w:rsidR="00C55CFD" w:rsidRPr="00DB0EA6">
        <w:t xml:space="preserve">To facilitate shortening the chapter, </w:t>
      </w:r>
      <w:r w:rsidR="008165AF">
        <w:t xml:space="preserve">it was </w:t>
      </w:r>
      <w:r w:rsidR="00C55CFD" w:rsidRPr="00DB0EA6">
        <w:t xml:space="preserve">proposed merging the subsections on </w:t>
      </w:r>
      <w:r w:rsidR="0077163B">
        <w:t>“P</w:t>
      </w:r>
      <w:r w:rsidR="00C55CFD" w:rsidRPr="00DB0EA6">
        <w:t>rinciples,</w:t>
      </w:r>
      <w:r w:rsidR="0077163B">
        <w:t>”</w:t>
      </w:r>
      <w:r w:rsidR="00C55CFD" w:rsidRPr="00DB0EA6">
        <w:t xml:space="preserve"> </w:t>
      </w:r>
      <w:r w:rsidR="0077163B">
        <w:t>“P</w:t>
      </w:r>
      <w:r w:rsidR="00C55CFD" w:rsidRPr="00DB0EA6">
        <w:t>urpose,</w:t>
      </w:r>
      <w:r w:rsidR="0077163B">
        <w:t>”</w:t>
      </w:r>
      <w:r w:rsidR="00C55CFD" w:rsidRPr="00DB0EA6">
        <w:t xml:space="preserve"> and </w:t>
      </w:r>
      <w:r w:rsidR="0077163B">
        <w:t>“O</w:t>
      </w:r>
      <w:r w:rsidR="00C55CFD" w:rsidRPr="00DB0EA6">
        <w:t>bjectives.</w:t>
      </w:r>
      <w:r w:rsidR="0077163B">
        <w:t>”</w:t>
      </w:r>
      <w:r w:rsidR="00C55CFD" w:rsidRPr="00DB0EA6">
        <w:t xml:space="preserve">  Other delegations thought that only the subsections on </w:t>
      </w:r>
      <w:r w:rsidR="0077163B">
        <w:t>“P</w:t>
      </w:r>
      <w:r w:rsidR="00C55CFD" w:rsidRPr="00DB0EA6">
        <w:t>urpose</w:t>
      </w:r>
      <w:r w:rsidR="0077163B">
        <w:t>”</w:t>
      </w:r>
      <w:r w:rsidR="00C55CFD" w:rsidRPr="00DB0EA6">
        <w:t xml:space="preserve"> and </w:t>
      </w:r>
      <w:r w:rsidR="0077163B">
        <w:t>“O</w:t>
      </w:r>
      <w:r w:rsidR="00C55CFD" w:rsidRPr="00DB0EA6">
        <w:t>bjectives</w:t>
      </w:r>
      <w:r w:rsidR="0077163B">
        <w:t>”</w:t>
      </w:r>
      <w:r w:rsidR="00C55CFD" w:rsidRPr="00DB0EA6">
        <w:t xml:space="preserve"> should be merged and questioned what the difference was between the two given that there were similar elements in both categories.</w:t>
      </w:r>
    </w:p>
    <w:p w14:paraId="0C6C8EFC" w14:textId="2606DB62" w:rsidR="00C55CFD" w:rsidRPr="00DB0EA6" w:rsidRDefault="00C55CFD" w:rsidP="00E27338">
      <w:pPr>
        <w:pStyle w:val="SingleTxtG"/>
        <w:numPr>
          <w:ilvl w:val="0"/>
          <w:numId w:val="13"/>
        </w:numPr>
        <w:ind w:left="1138" w:right="1138" w:firstLine="0"/>
      </w:pPr>
      <w:r w:rsidRPr="00DB0EA6">
        <w:t xml:space="preserve">With respect to the </w:t>
      </w:r>
      <w:r w:rsidR="0077163B">
        <w:t>“P</w:t>
      </w:r>
      <w:r w:rsidRPr="00DB0EA6">
        <w:t>reamble,</w:t>
      </w:r>
      <w:r w:rsidR="0077163B">
        <w:t>”</w:t>
      </w:r>
      <w:r w:rsidRPr="00DB0EA6">
        <w:t xml:space="preserve"> several delegations commented on the selection of instruments </w:t>
      </w:r>
      <w:r w:rsidR="0077163B">
        <w:t>listed</w:t>
      </w:r>
      <w:r w:rsidRPr="00DB0EA6">
        <w:t>, with some arguing that there were too many</w:t>
      </w:r>
      <w:r w:rsidR="00E13C4C" w:rsidRPr="00DB0EA6">
        <w:t xml:space="preserve"> instruments</w:t>
      </w:r>
      <w:r w:rsidRPr="00DB0EA6">
        <w:t xml:space="preserve"> and others arguing that certain instruments were missing (e.g., ILO Declaration on Social Justice for a Fair Globalization, Sustainable Development Goals, environmental treaties and declarations, Declaration on Human Rights Defenders, Declaration on the Rights of Indigenous Peoples</w:t>
      </w:r>
      <w:r w:rsidR="00E13C4C" w:rsidRPr="00DB0EA6">
        <w:t xml:space="preserve">, and WHO Framework Convention on Tobacco Control). One regional group and </w:t>
      </w:r>
      <w:r w:rsidR="008165AF">
        <w:t>some</w:t>
      </w:r>
      <w:r w:rsidR="00E13C4C" w:rsidRPr="00DB0EA6">
        <w:t xml:space="preserve"> NGOs questioned why treaties were contained in the same list as non-binding instruments.</w:t>
      </w:r>
    </w:p>
    <w:p w14:paraId="03FB9669" w14:textId="61E43844" w:rsidR="00E13C4C" w:rsidRPr="00DB0EA6" w:rsidRDefault="000B067C" w:rsidP="00E27338">
      <w:pPr>
        <w:pStyle w:val="SingleTxtG"/>
        <w:numPr>
          <w:ilvl w:val="0"/>
          <w:numId w:val="13"/>
        </w:numPr>
        <w:ind w:left="1138" w:right="1138" w:firstLine="0"/>
      </w:pPr>
      <w:r>
        <w:t>Some d</w:t>
      </w:r>
      <w:r w:rsidR="00E13C4C" w:rsidRPr="00DB0EA6">
        <w:t xml:space="preserve">elegations </w:t>
      </w:r>
      <w:r w:rsidR="00CF07F7" w:rsidRPr="00DB0EA6">
        <w:t>suggested that</w:t>
      </w:r>
      <w:r w:rsidR="00E13C4C" w:rsidRPr="00DB0EA6">
        <w:t xml:space="preserve"> there should be reference to the positive impact business can have on human rights</w:t>
      </w:r>
      <w:r w:rsidR="0077163B">
        <w:t xml:space="preserve">, while other </w:t>
      </w:r>
      <w:r w:rsidR="00E13C4C" w:rsidRPr="00DB0EA6">
        <w:t xml:space="preserve">delegations suggested </w:t>
      </w:r>
      <w:r w:rsidR="00CF07F7" w:rsidRPr="00DB0EA6">
        <w:t>including reference to</w:t>
      </w:r>
      <w:r w:rsidR="00E13C4C" w:rsidRPr="00DB0EA6">
        <w:t xml:space="preserve"> the negative effects </w:t>
      </w:r>
      <w:r w:rsidR="00CF07F7" w:rsidRPr="00DB0EA6">
        <w:t>of</w:t>
      </w:r>
      <w:r w:rsidR="00E13C4C" w:rsidRPr="00DB0EA6">
        <w:t xml:space="preserve"> TNCs in the context of globalization.  Additionally, NGOs recommended that language should be included regarding corporate capture.</w:t>
      </w:r>
    </w:p>
    <w:p w14:paraId="33DFA76E" w14:textId="5599D623" w:rsidR="00E13C4C" w:rsidRPr="00DB0EA6" w:rsidRDefault="00E13C4C" w:rsidP="00B84CAB">
      <w:pPr>
        <w:pStyle w:val="SingleTxtG"/>
        <w:numPr>
          <w:ilvl w:val="0"/>
          <w:numId w:val="13"/>
        </w:numPr>
        <w:ind w:left="1138" w:right="1138" w:firstLine="0"/>
      </w:pPr>
      <w:r w:rsidRPr="00DB0EA6">
        <w:t>Sever</w:t>
      </w:r>
      <w:r w:rsidR="0057582F" w:rsidRPr="00DB0EA6">
        <w:t xml:space="preserve">al delegations appreciated the references made to the right to development and economic, social, and cultural rights.  Additionally, delegations and NGOs welcomed the reaffirmation of the UNGPs, </w:t>
      </w:r>
      <w:r w:rsidR="005C17F0" w:rsidRPr="00DB0EA6">
        <w:t xml:space="preserve">showing </w:t>
      </w:r>
      <w:r w:rsidR="0057582F" w:rsidRPr="00DB0EA6">
        <w:t xml:space="preserve">this process is complementary to the UNGPs.  </w:t>
      </w:r>
      <w:r w:rsidR="00C94FA7" w:rsidRPr="00DB0EA6">
        <w:t xml:space="preserve">However, </w:t>
      </w:r>
      <w:r w:rsidR="000B067C">
        <w:t xml:space="preserve">one </w:t>
      </w:r>
      <w:r w:rsidR="00B331C9" w:rsidRPr="00DB0EA6">
        <w:t>delegation</w:t>
      </w:r>
      <w:r w:rsidR="00C94FA7" w:rsidRPr="00DB0EA6">
        <w:t xml:space="preserve"> found it inappropriate to include reference to the UNGPs since they were not developed and negotiated by States.  </w:t>
      </w:r>
      <w:r w:rsidR="0057582F" w:rsidRPr="00DB0EA6">
        <w:t xml:space="preserve">One </w:t>
      </w:r>
      <w:r w:rsidR="00F22278">
        <w:t>business organization</w:t>
      </w:r>
      <w:r w:rsidR="00F22278" w:rsidRPr="00DB0EA6">
        <w:t xml:space="preserve"> </w:t>
      </w:r>
      <w:r w:rsidR="0057582F" w:rsidRPr="00DB0EA6">
        <w:t>questioned why there was a reference to the norms on the responsibilities of TNCs when that process was abandoned by the UN over a decade ago</w:t>
      </w:r>
      <w:r w:rsidR="00CF07F7" w:rsidRPr="00DB0EA6">
        <w:t xml:space="preserve">. In his response, </w:t>
      </w:r>
      <w:r w:rsidR="0057582F" w:rsidRPr="00DB0EA6">
        <w:t>the Chair Rapporteur pointed out that many elements contained in those norms were</w:t>
      </w:r>
      <w:r w:rsidR="00C95066" w:rsidRPr="00DB0EA6">
        <w:t xml:space="preserve"> cited</w:t>
      </w:r>
      <w:r w:rsidR="0057582F" w:rsidRPr="00DB0EA6">
        <w:t xml:space="preserve"> approvingly in the first two sessions.</w:t>
      </w:r>
    </w:p>
    <w:p w14:paraId="406A2F8F" w14:textId="5102CFE5" w:rsidR="0057582F" w:rsidRPr="00DB0EA6" w:rsidRDefault="008165AF" w:rsidP="00E27338">
      <w:pPr>
        <w:pStyle w:val="SingleTxtG"/>
        <w:numPr>
          <w:ilvl w:val="0"/>
          <w:numId w:val="13"/>
        </w:numPr>
        <w:ind w:left="1138" w:right="1138" w:firstLine="0"/>
      </w:pPr>
      <w:r>
        <w:t>Much</w:t>
      </w:r>
      <w:r w:rsidR="0057582F" w:rsidRPr="00DB0EA6">
        <w:t xml:space="preserve"> discussion focused on the sub-section of the elements on </w:t>
      </w:r>
      <w:r w:rsidR="00C7751D">
        <w:t>“P</w:t>
      </w:r>
      <w:r w:rsidR="0057582F" w:rsidRPr="00DB0EA6">
        <w:t>rinciples</w:t>
      </w:r>
      <w:r w:rsidR="00C7751D">
        <w:t>”</w:t>
      </w:r>
      <w:r w:rsidR="0057582F" w:rsidRPr="00DB0EA6">
        <w:t xml:space="preserve">.  Many delegations and NGOs welcomed the recognition of the primacy of human rights obligations over trade and investment agreements.  </w:t>
      </w:r>
      <w:r w:rsidR="007E1918" w:rsidRPr="00DB0EA6">
        <w:t xml:space="preserve">However, one regional group and </w:t>
      </w:r>
      <w:r w:rsidR="00CF07F7" w:rsidRPr="00DB0EA6">
        <w:t>other</w:t>
      </w:r>
      <w:r w:rsidR="007E1918" w:rsidRPr="00DB0EA6">
        <w:t xml:space="preserve"> delegations questioned the legal basis for this and wondered how it would apply in law and practice.  </w:t>
      </w:r>
      <w:r w:rsidR="00CF07F7" w:rsidRPr="00DB0EA6">
        <w:t xml:space="preserve">It was queried whether </w:t>
      </w:r>
      <w:r w:rsidR="007E1918" w:rsidRPr="00DB0EA6">
        <w:t xml:space="preserve">this </w:t>
      </w:r>
      <w:r w:rsidR="00CF07F7" w:rsidRPr="00DB0EA6">
        <w:t xml:space="preserve">would </w:t>
      </w:r>
      <w:r w:rsidR="007E1918" w:rsidRPr="00DB0EA6">
        <w:t>require the renegotiation of existing treaties</w:t>
      </w:r>
      <w:r w:rsidR="00CF07F7" w:rsidRPr="00DB0EA6">
        <w:t>, and whether this implied that</w:t>
      </w:r>
      <w:r w:rsidR="007E1918" w:rsidRPr="00DB0EA6">
        <w:t xml:space="preserve"> States </w:t>
      </w:r>
      <w:r w:rsidR="00CF07F7" w:rsidRPr="00DB0EA6">
        <w:t xml:space="preserve">could </w:t>
      </w:r>
      <w:r w:rsidR="007E1918" w:rsidRPr="00DB0EA6">
        <w:t>disregard provisions of trade and investment treaties, citing human rights</w:t>
      </w:r>
      <w:r w:rsidR="00CF07F7" w:rsidRPr="00DB0EA6">
        <w:t>. Concern was also expressed whether this could result in</w:t>
      </w:r>
      <w:r w:rsidR="00E12E30" w:rsidRPr="00DB0EA6">
        <w:t xml:space="preserve"> the</w:t>
      </w:r>
      <w:r w:rsidR="007E1918" w:rsidRPr="00DB0EA6">
        <w:t xml:space="preserve"> fragmentation </w:t>
      </w:r>
      <w:r w:rsidR="00E12E30" w:rsidRPr="00DB0EA6">
        <w:t xml:space="preserve">of </w:t>
      </w:r>
      <w:r w:rsidR="007E1918" w:rsidRPr="00DB0EA6">
        <w:t>international law</w:t>
      </w:r>
      <w:r w:rsidR="00CF07F7" w:rsidRPr="00DB0EA6">
        <w:t>.</w:t>
      </w:r>
      <w:r w:rsidR="007E1918" w:rsidRPr="00DB0EA6">
        <w:t xml:space="preserve"> </w:t>
      </w:r>
    </w:p>
    <w:p w14:paraId="5987524A" w14:textId="41B9A76C" w:rsidR="007E1918" w:rsidRPr="00DB0EA6" w:rsidRDefault="00CF07F7" w:rsidP="00E27338">
      <w:pPr>
        <w:pStyle w:val="SingleTxtG"/>
        <w:numPr>
          <w:ilvl w:val="0"/>
          <w:numId w:val="13"/>
        </w:numPr>
        <w:ind w:left="1138" w:right="1138" w:firstLine="0"/>
      </w:pPr>
      <w:r w:rsidRPr="00DB0EA6">
        <w:t>D</w:t>
      </w:r>
      <w:r w:rsidR="007E1918" w:rsidRPr="00DB0EA6">
        <w:t xml:space="preserve">elegations questioned whether </w:t>
      </w:r>
      <w:r w:rsidR="005C17F0" w:rsidRPr="00DB0EA6">
        <w:t xml:space="preserve">recognizing </w:t>
      </w:r>
      <w:r w:rsidR="007E1918" w:rsidRPr="00DB0EA6">
        <w:t>special protection of certain human rights</w:t>
      </w:r>
      <w:r w:rsidR="005C17F0" w:rsidRPr="00DB0EA6">
        <w:t xml:space="preserve"> </w:t>
      </w:r>
      <w:r w:rsidR="007E1918" w:rsidRPr="00DB0EA6">
        <w:t>signalled a hierarchy of certain human rights over others.  One regional group noted that this provision could potential</w:t>
      </w:r>
      <w:r w:rsidR="0093591E" w:rsidRPr="00DB0EA6">
        <w:t>ly</w:t>
      </w:r>
      <w:r w:rsidR="007E1918" w:rsidRPr="00DB0EA6">
        <w:t xml:space="preserve"> conflict with an</w:t>
      </w:r>
      <w:r w:rsidR="005C17F0" w:rsidRPr="00DB0EA6">
        <w:t xml:space="preserve">other provision </w:t>
      </w:r>
      <w:r w:rsidR="007E1918" w:rsidRPr="00DB0EA6">
        <w:t>discussing the universality, indivisibility, interdependence, and interrelationship of all human rights.  The Chair Rapporteur clarified that the intention of the provision was not to create a hierarchy but to no</w:t>
      </w:r>
      <w:r w:rsidR="00E66AF9" w:rsidRPr="00DB0EA6">
        <w:t xml:space="preserve">te specific rights that are more likely to be affected by business activities.  </w:t>
      </w:r>
    </w:p>
    <w:p w14:paraId="3DBE7012" w14:textId="41097966" w:rsidR="00E66AF9" w:rsidRPr="00DB0EA6" w:rsidRDefault="00C019AB" w:rsidP="00E27338">
      <w:pPr>
        <w:pStyle w:val="SingleTxtG"/>
        <w:numPr>
          <w:ilvl w:val="0"/>
          <w:numId w:val="13"/>
        </w:numPr>
        <w:ind w:left="1138" w:right="1138" w:firstLine="0"/>
      </w:pPr>
      <w:r w:rsidRPr="00DB0EA6">
        <w:t>Some</w:t>
      </w:r>
      <w:r w:rsidR="00E66AF9" w:rsidRPr="00DB0EA6">
        <w:t xml:space="preserve"> delegations voiced concern over the language used to recognize the special protection of vulnerable groups.  Acknowledging that certain groups require </w:t>
      </w:r>
      <w:r w:rsidR="0093591E" w:rsidRPr="00DB0EA6">
        <w:t>differentiated treatment</w:t>
      </w:r>
      <w:r w:rsidR="00E66AF9" w:rsidRPr="00DB0EA6">
        <w:t xml:space="preserve">, it was feared that including a list of some groups could indicate the exclusion of others.  </w:t>
      </w:r>
      <w:r w:rsidRPr="00DB0EA6">
        <w:t>Others</w:t>
      </w:r>
      <w:r w:rsidR="00E66AF9" w:rsidRPr="00DB0EA6">
        <w:t xml:space="preserve"> requested that the language be altered to reflect </w:t>
      </w:r>
      <w:r w:rsidR="00B53C72">
        <w:t xml:space="preserve">even </w:t>
      </w:r>
      <w:r w:rsidR="00E66AF9" w:rsidRPr="00DB0EA6">
        <w:t>a more positive, empowering tone.</w:t>
      </w:r>
    </w:p>
    <w:p w14:paraId="7328FA3C" w14:textId="4D26FD58" w:rsidR="00E66AF9" w:rsidRPr="00DB0EA6" w:rsidRDefault="00E66AF9" w:rsidP="00E27338">
      <w:pPr>
        <w:pStyle w:val="SingleTxtG"/>
        <w:numPr>
          <w:ilvl w:val="0"/>
          <w:numId w:val="13"/>
        </w:numPr>
        <w:ind w:left="1138" w:right="1138" w:firstLine="0"/>
      </w:pPr>
      <w:r w:rsidRPr="00DB0EA6">
        <w:t xml:space="preserve">One delegation noted that </w:t>
      </w:r>
      <w:r w:rsidR="0093591E" w:rsidRPr="00DB0EA6">
        <w:t xml:space="preserve">the </w:t>
      </w:r>
      <w:r w:rsidRPr="00DB0EA6">
        <w:t xml:space="preserve">reference to the duty of States to prepare human rights impact assessments was inappropriate in this section since this was not a “principle.”  The same delegation </w:t>
      </w:r>
      <w:r w:rsidR="005C17F0" w:rsidRPr="00DB0EA6">
        <w:t xml:space="preserve">also expressed concern </w:t>
      </w:r>
      <w:r w:rsidRPr="00DB0EA6">
        <w:t>about the provision recognizing the responsibility of States for private acts since it believed it was worded too generally and failed to recognize that such responsibility only arises in certain circumstances</w:t>
      </w:r>
    </w:p>
    <w:p w14:paraId="225AE560" w14:textId="18EDC585" w:rsidR="0086758E" w:rsidRPr="00DB0EA6" w:rsidRDefault="0086758E" w:rsidP="00E27338">
      <w:pPr>
        <w:pStyle w:val="SingleTxtG"/>
        <w:numPr>
          <w:ilvl w:val="0"/>
          <w:numId w:val="13"/>
        </w:numPr>
        <w:ind w:left="1138" w:right="1138" w:firstLine="0"/>
      </w:pPr>
      <w:r w:rsidRPr="00DB0EA6">
        <w:t xml:space="preserve">Several elements under the section on </w:t>
      </w:r>
      <w:r w:rsidR="00C7751D">
        <w:t>“P</w:t>
      </w:r>
      <w:r w:rsidRPr="00DB0EA6">
        <w:t>urpose</w:t>
      </w:r>
      <w:r w:rsidR="00C7751D">
        <w:t>”</w:t>
      </w:r>
      <w:r w:rsidRPr="00DB0EA6">
        <w:t xml:space="preserve"> also received attention.  While some delegations approved of a reference to the civil, administrative, </w:t>
      </w:r>
      <w:r w:rsidRPr="00DB0EA6">
        <w:rPr>
          <w:i/>
        </w:rPr>
        <w:t>and</w:t>
      </w:r>
      <w:r w:rsidRPr="00DB0EA6">
        <w:t xml:space="preserve"> criminal liability of business, one delegation </w:t>
      </w:r>
      <w:r w:rsidR="00C019AB" w:rsidRPr="00DB0EA6">
        <w:t>did</w:t>
      </w:r>
      <w:r w:rsidR="005C20FC" w:rsidRPr="00DB0EA6">
        <w:t xml:space="preserve"> </w:t>
      </w:r>
      <w:r w:rsidR="00C019AB" w:rsidRPr="00DB0EA6">
        <w:t>n</w:t>
      </w:r>
      <w:r w:rsidR="005C20FC" w:rsidRPr="00DB0EA6">
        <w:t>o</w:t>
      </w:r>
      <w:r w:rsidR="00C019AB" w:rsidRPr="00DB0EA6">
        <w:t>t agree with the</w:t>
      </w:r>
      <w:r w:rsidRPr="00DB0EA6">
        <w:t xml:space="preserve"> reference</w:t>
      </w:r>
      <w:r w:rsidR="00C019AB" w:rsidRPr="00DB0EA6">
        <w:t xml:space="preserve"> </w:t>
      </w:r>
      <w:r w:rsidRPr="00DB0EA6">
        <w:t>since many States’ legal systems do not criminally punish legal entities.  This delegation thought it should be up to States’ discretion as to how to enforce the treaty.</w:t>
      </w:r>
    </w:p>
    <w:p w14:paraId="0EB1DD55" w14:textId="2F662157" w:rsidR="0086758E" w:rsidRPr="00DB0EA6" w:rsidRDefault="00C019AB" w:rsidP="00E27338">
      <w:pPr>
        <w:pStyle w:val="SingleTxtG"/>
        <w:numPr>
          <w:ilvl w:val="0"/>
          <w:numId w:val="13"/>
        </w:numPr>
        <w:ind w:left="1138" w:right="1138" w:firstLine="0"/>
      </w:pPr>
      <w:r w:rsidRPr="00DB0EA6">
        <w:t>Delegations</w:t>
      </w:r>
      <w:r w:rsidR="00C95066" w:rsidRPr="00DB0EA6">
        <w:t xml:space="preserve"> and NGOs welcomed the reaffirmation that States’ </w:t>
      </w:r>
      <w:r w:rsidRPr="00DB0EA6">
        <w:t xml:space="preserve">human rights </w:t>
      </w:r>
      <w:r w:rsidR="00C95066" w:rsidRPr="00DB0EA6">
        <w:t xml:space="preserve">obligations </w:t>
      </w:r>
      <w:r w:rsidRPr="00DB0EA6">
        <w:t>extend beyond territorial borders</w:t>
      </w:r>
      <w:r w:rsidR="00C95066" w:rsidRPr="00DB0EA6">
        <w:t xml:space="preserve">, </w:t>
      </w:r>
      <w:r w:rsidR="0077163B">
        <w:t>with some requesting</w:t>
      </w:r>
      <w:r w:rsidR="00C95066" w:rsidRPr="00DB0EA6">
        <w:t xml:space="preserve"> that the contours of this </w:t>
      </w:r>
      <w:r w:rsidR="000B067C">
        <w:t xml:space="preserve">should </w:t>
      </w:r>
      <w:r w:rsidR="00C95066" w:rsidRPr="00DB0EA6">
        <w:t>be</w:t>
      </w:r>
      <w:r w:rsidRPr="00DB0EA6">
        <w:t xml:space="preserve"> </w:t>
      </w:r>
      <w:r w:rsidR="00C95066" w:rsidRPr="00DB0EA6">
        <w:t>elaborated in the instrument.  One regional group questioned whether this provision conflicted with one in the preamble reaffirming the sovereign equality and territorial integrity of States.</w:t>
      </w:r>
    </w:p>
    <w:p w14:paraId="69B9D8EA" w14:textId="006C3045" w:rsidR="00C95066" w:rsidRPr="00DB0EA6" w:rsidRDefault="00C95066" w:rsidP="00E27338">
      <w:pPr>
        <w:pStyle w:val="SingleTxtG"/>
        <w:numPr>
          <w:ilvl w:val="0"/>
          <w:numId w:val="13"/>
        </w:numPr>
        <w:ind w:left="1138" w:right="1138" w:firstLine="0"/>
      </w:pPr>
      <w:r w:rsidRPr="00DB0EA6">
        <w:t xml:space="preserve">Regarding the </w:t>
      </w:r>
      <w:r w:rsidR="00367B2B">
        <w:t>“O</w:t>
      </w:r>
      <w:r w:rsidRPr="00DB0EA6">
        <w:t>bjectives</w:t>
      </w:r>
      <w:r w:rsidR="00367B2B">
        <w:t>”</w:t>
      </w:r>
      <w:r w:rsidRPr="00DB0EA6">
        <w:t xml:space="preserve"> of the instrument, delegations welcomed the provision referencing international cooperation and mutual legal assistance</w:t>
      </w:r>
      <w:r w:rsidR="00C019AB" w:rsidRPr="00DB0EA6">
        <w:t xml:space="preserve"> as necessary for</w:t>
      </w:r>
      <w:r w:rsidRPr="00DB0EA6">
        <w:t xml:space="preserve"> the effective implementation of the instrument.</w:t>
      </w:r>
    </w:p>
    <w:p w14:paraId="569C9793" w14:textId="77777777" w:rsidR="00CE2983" w:rsidRPr="00DB0EA6" w:rsidRDefault="00CE2983" w:rsidP="006F5A72">
      <w:pPr>
        <w:pStyle w:val="H1G"/>
      </w:pPr>
      <w:r w:rsidRPr="00DB0EA6">
        <w:tab/>
      </w:r>
      <w:bookmarkStart w:id="31" w:name="_Toc471217413"/>
      <w:bookmarkStart w:id="32" w:name="_Toc496373810"/>
      <w:bookmarkStart w:id="33" w:name="_Toc497205716"/>
      <w:r w:rsidRPr="00DB0EA6">
        <w:t>B.</w:t>
      </w:r>
      <w:r w:rsidRPr="00DB0EA6">
        <w:tab/>
      </w:r>
      <w:bookmarkEnd w:id="31"/>
      <w:r w:rsidR="007B5E50" w:rsidRPr="00DB0EA6">
        <w:t>Subject 2: Scope of application</w:t>
      </w:r>
      <w:bookmarkEnd w:id="32"/>
      <w:bookmarkEnd w:id="33"/>
      <w:r w:rsidRPr="00DB0EA6">
        <w:t xml:space="preserve"> </w:t>
      </w:r>
    </w:p>
    <w:p w14:paraId="506FBF3D" w14:textId="32356E37" w:rsidR="00CE2983" w:rsidRPr="00DB0EA6" w:rsidRDefault="00CE2983" w:rsidP="00E27338">
      <w:pPr>
        <w:pStyle w:val="SingleTxtG"/>
        <w:numPr>
          <w:ilvl w:val="0"/>
          <w:numId w:val="13"/>
        </w:numPr>
        <w:ind w:left="1138" w:right="1138" w:firstLine="0"/>
      </w:pPr>
      <w:r w:rsidRPr="00DB0EA6">
        <w:t xml:space="preserve">The first panellist </w:t>
      </w:r>
      <w:r w:rsidR="00823445" w:rsidRPr="00DB0EA6">
        <w:t xml:space="preserve">noted that the </w:t>
      </w:r>
      <w:r w:rsidR="0077163B">
        <w:t>E</w:t>
      </w:r>
      <w:r w:rsidR="00823445" w:rsidRPr="00DB0EA6">
        <w:t xml:space="preserve">lements </w:t>
      </w:r>
      <w:r w:rsidR="0077163B">
        <w:t xml:space="preserve">Document </w:t>
      </w:r>
      <w:r w:rsidR="00823445" w:rsidRPr="00DB0EA6">
        <w:t>refer</w:t>
      </w:r>
      <w:r w:rsidR="0077163B">
        <w:t>s</w:t>
      </w:r>
      <w:r w:rsidR="00823445" w:rsidRPr="00DB0EA6">
        <w:t xml:space="preserve"> to the activities of TNCs and other business enterprises that have a transnational character, regardless of the mode of creation, control, ownership, size or structure.  This indicates an inclusive approach in line with the UNGPs.  The panellist also noted that the focus of the </w:t>
      </w:r>
      <w:r w:rsidR="0077163B">
        <w:t>E</w:t>
      </w:r>
      <w:r w:rsidR="00823445" w:rsidRPr="00DB0EA6">
        <w:t xml:space="preserve">lements </w:t>
      </w:r>
      <w:r w:rsidR="0077163B">
        <w:t xml:space="preserve">Document </w:t>
      </w:r>
      <w:r w:rsidR="00823445" w:rsidRPr="00DB0EA6">
        <w:t xml:space="preserve">is on </w:t>
      </w:r>
      <w:r w:rsidR="00086AA6">
        <w:t xml:space="preserve">business </w:t>
      </w:r>
      <w:r w:rsidR="00823445" w:rsidRPr="00DB0EA6">
        <w:t xml:space="preserve">“activities” rather than their corporate ownership.  Thus, the legally binding instrument will cover parents and subsidiaries so long as they operate across different jurisdictions.  Finally, she </w:t>
      </w:r>
      <w:r w:rsidR="004F1A5C">
        <w:t xml:space="preserve">supported the scope of application to cover </w:t>
      </w:r>
      <w:r w:rsidR="00823445" w:rsidRPr="00DB0EA6">
        <w:t>all internationally recognized human rights.</w:t>
      </w:r>
    </w:p>
    <w:p w14:paraId="6A086305" w14:textId="4777B1A0" w:rsidR="00CE2983" w:rsidRPr="00DB0EA6" w:rsidRDefault="00CE2983" w:rsidP="00E27338">
      <w:pPr>
        <w:pStyle w:val="SingleTxtG"/>
        <w:numPr>
          <w:ilvl w:val="0"/>
          <w:numId w:val="13"/>
        </w:numPr>
        <w:ind w:left="1138" w:right="1138" w:firstLine="0"/>
      </w:pPr>
      <w:r w:rsidRPr="00DB0EA6">
        <w:t xml:space="preserve">The second panellist </w:t>
      </w:r>
      <w:r w:rsidR="004F1A5C">
        <w:t xml:space="preserve">also </w:t>
      </w:r>
      <w:r w:rsidR="001E060E" w:rsidRPr="00DB0EA6">
        <w:t xml:space="preserve">expressed support for </w:t>
      </w:r>
      <w:r w:rsidR="004F1A5C">
        <w:t>extending the scope of application to</w:t>
      </w:r>
      <w:r w:rsidR="001E060E" w:rsidRPr="00DB0EA6">
        <w:t xml:space="preserve"> </w:t>
      </w:r>
      <w:r w:rsidR="00823445" w:rsidRPr="00DB0EA6">
        <w:t xml:space="preserve">all internationally recognized human rights, </w:t>
      </w:r>
      <w:r w:rsidR="001E060E" w:rsidRPr="00DB0EA6">
        <w:t xml:space="preserve">reflecting </w:t>
      </w:r>
      <w:r w:rsidR="00823445" w:rsidRPr="00DB0EA6">
        <w:t>the</w:t>
      </w:r>
      <w:r w:rsidR="00086AA6">
        <w:t>ir</w:t>
      </w:r>
      <w:r w:rsidR="00823445" w:rsidRPr="00DB0EA6">
        <w:t xml:space="preserve"> universality, indivisibility, and interdependence.  She also </w:t>
      </w:r>
      <w:r w:rsidR="001E060E" w:rsidRPr="00DB0EA6">
        <w:t xml:space="preserve">supported </w:t>
      </w:r>
      <w:r w:rsidR="00823445" w:rsidRPr="00DB0EA6">
        <w:t xml:space="preserve">reference to </w:t>
      </w:r>
      <w:r w:rsidR="001A1BD8" w:rsidRPr="00DB0EA6">
        <w:t>labour</w:t>
      </w:r>
      <w:r w:rsidR="00823445" w:rsidRPr="00DB0EA6">
        <w:t xml:space="preserve"> and environmental rights, as well as corruption.</w:t>
      </w:r>
      <w:r w:rsidR="007065B4" w:rsidRPr="00DB0EA6">
        <w:t xml:space="preserve">  Th</w:t>
      </w:r>
      <w:r w:rsidR="001E060E" w:rsidRPr="00DB0EA6">
        <w:t>e</w:t>
      </w:r>
      <w:r w:rsidR="007065B4" w:rsidRPr="00DB0EA6">
        <w:t xml:space="preserve"> panellist questioned </w:t>
      </w:r>
      <w:r w:rsidR="00086AA6">
        <w:t>restricting the elements t</w:t>
      </w:r>
      <w:r w:rsidR="007065B4" w:rsidRPr="00DB0EA6">
        <w:t xml:space="preserve">o acts of a transnational character since from the victim’s </w:t>
      </w:r>
      <w:r w:rsidR="001E060E" w:rsidRPr="00DB0EA6">
        <w:t>perspective</w:t>
      </w:r>
      <w:r w:rsidR="007065B4" w:rsidRPr="00DB0EA6">
        <w:t xml:space="preserve"> it </w:t>
      </w:r>
      <w:r w:rsidR="00086AA6">
        <w:t>is irrelevant</w:t>
      </w:r>
      <w:r w:rsidR="007065B4" w:rsidRPr="00DB0EA6">
        <w:t xml:space="preserve"> whether an act is domestic or transnational.  She suggested that the instrument should make reference to omissions of companies when these result in a deprivation of human rights.  The panellist also suggested that the instrument not be restricted to regional economic integration organizations and apply to other national and regional organizations as well.</w:t>
      </w:r>
    </w:p>
    <w:p w14:paraId="1889E1C2" w14:textId="7798F46E" w:rsidR="007065B4" w:rsidRPr="00DB0EA6" w:rsidRDefault="007065B4" w:rsidP="00E27338">
      <w:pPr>
        <w:pStyle w:val="SingleTxtG"/>
        <w:numPr>
          <w:ilvl w:val="0"/>
          <w:numId w:val="13"/>
        </w:numPr>
        <w:ind w:left="1138" w:right="1138" w:firstLine="0"/>
      </w:pPr>
      <w:r w:rsidRPr="00DB0EA6">
        <w:t xml:space="preserve">The third panellist emphasized that the working group is acting under a mandate of the Human Rights Council; thus, human rights must prevail, not investment and trade.  There should also be more of a focus on human rights defenders.  This panellist </w:t>
      </w:r>
      <w:r w:rsidR="00A47450" w:rsidRPr="00DB0EA6">
        <w:t xml:space="preserve">noted that </w:t>
      </w:r>
      <w:r w:rsidR="00086AA6">
        <w:t xml:space="preserve">a legally binding instrument should address </w:t>
      </w:r>
      <w:r w:rsidR="00A47450" w:rsidRPr="00DB0EA6">
        <w:t xml:space="preserve">gaps in voluntary initiatives, and direct obligations on business </w:t>
      </w:r>
      <w:r w:rsidR="001E060E" w:rsidRPr="00DB0EA6">
        <w:t xml:space="preserve">should </w:t>
      </w:r>
      <w:r w:rsidR="00A47450" w:rsidRPr="00DB0EA6">
        <w:t>be explored.</w:t>
      </w:r>
    </w:p>
    <w:p w14:paraId="083E7D9D" w14:textId="61B323AA" w:rsidR="00A47450" w:rsidRPr="00DB0EA6" w:rsidRDefault="00DA168C" w:rsidP="00E27338">
      <w:pPr>
        <w:pStyle w:val="SingleTxtG"/>
        <w:numPr>
          <w:ilvl w:val="0"/>
          <w:numId w:val="13"/>
        </w:numPr>
        <w:ind w:left="1138" w:right="1138" w:firstLine="0"/>
      </w:pPr>
      <w:r w:rsidRPr="00DB0EA6">
        <w:t xml:space="preserve">With respect to the rights covered by </w:t>
      </w:r>
      <w:r w:rsidR="000B067C">
        <w:t>a binding</w:t>
      </w:r>
      <w:r w:rsidRPr="00DB0EA6">
        <w:t xml:space="preserve"> </w:t>
      </w:r>
      <w:r w:rsidR="0025340E" w:rsidRPr="00DB0EA6">
        <w:t>instrument</w:t>
      </w:r>
      <w:r w:rsidRPr="00DB0EA6">
        <w:t xml:space="preserve">, most </w:t>
      </w:r>
      <w:r w:rsidR="00474254" w:rsidRPr="00DB0EA6">
        <w:t>delegations</w:t>
      </w:r>
      <w:r w:rsidRPr="00DB0EA6">
        <w:t xml:space="preserve"> agreed that all internationally recognized human rights should be included.  </w:t>
      </w:r>
      <w:r w:rsidR="001E060E" w:rsidRPr="00DB0EA6">
        <w:t>D</w:t>
      </w:r>
      <w:r w:rsidR="00474254" w:rsidRPr="00DB0EA6">
        <w:t>elegations</w:t>
      </w:r>
      <w:r w:rsidRPr="00DB0EA6">
        <w:t xml:space="preserve"> mentioned that this covers certain rights, such as </w:t>
      </w:r>
      <w:r w:rsidRPr="00DB0EA6">
        <w:rPr>
          <w:rFonts w:eastAsia="Times New Roman"/>
        </w:rPr>
        <w:t>the right to development, the right to property, a</w:t>
      </w:r>
      <w:r w:rsidRPr="00DB0EA6">
        <w:t>nd the r</w:t>
      </w:r>
      <w:r w:rsidR="00474254" w:rsidRPr="00DB0EA6">
        <w:t>ight to permanent sovereignty over</w:t>
      </w:r>
      <w:r w:rsidRPr="00DB0EA6">
        <w:t xml:space="preserve"> natural resources.  </w:t>
      </w:r>
      <w:r w:rsidR="001E060E" w:rsidRPr="00DB0EA6">
        <w:t xml:space="preserve">It was </w:t>
      </w:r>
      <w:r w:rsidR="00474254" w:rsidRPr="00DB0EA6">
        <w:t xml:space="preserve">suggested that the instrument </w:t>
      </w:r>
      <w:r w:rsidR="00B23DD7" w:rsidRPr="00DB0EA6">
        <w:t xml:space="preserve">should </w:t>
      </w:r>
      <w:r w:rsidR="00474254" w:rsidRPr="00DB0EA6">
        <w:t xml:space="preserve">also ensure protection of </w:t>
      </w:r>
      <w:r w:rsidR="0077163B">
        <w:t xml:space="preserve">nationally-recognized </w:t>
      </w:r>
      <w:r w:rsidR="001E060E" w:rsidRPr="00DB0EA6">
        <w:t>rights</w:t>
      </w:r>
      <w:r w:rsidR="00474254" w:rsidRPr="00DB0EA6">
        <w:t xml:space="preserve">.  </w:t>
      </w:r>
      <w:r w:rsidR="001E060E" w:rsidRPr="00DB0EA6">
        <w:t>Another delegation suggested that the wording of this</w:t>
      </w:r>
      <w:r w:rsidR="00474254" w:rsidRPr="00DB0EA6">
        <w:t xml:space="preserve"> provision in the </w:t>
      </w:r>
      <w:r w:rsidR="0077163B">
        <w:t>E</w:t>
      </w:r>
      <w:r w:rsidR="00474254" w:rsidRPr="00DB0EA6">
        <w:t xml:space="preserve">lements </w:t>
      </w:r>
      <w:r w:rsidR="0077163B">
        <w:t xml:space="preserve">Document </w:t>
      </w:r>
      <w:r w:rsidR="00474254" w:rsidRPr="00DB0EA6">
        <w:t>was overbroad</w:t>
      </w:r>
      <w:r w:rsidR="004F1A5C">
        <w:t xml:space="preserve"> by including</w:t>
      </w:r>
      <w:r w:rsidR="00474254" w:rsidRPr="00DB0EA6">
        <w:t xml:space="preserve"> “other intergovernmental instruments” </w:t>
      </w:r>
      <w:r w:rsidR="00811E96" w:rsidRPr="00DB0EA6">
        <w:t>beyond</w:t>
      </w:r>
      <w:r w:rsidR="00474254" w:rsidRPr="00DB0EA6">
        <w:t xml:space="preserve"> human rights treaties since these instruments were </w:t>
      </w:r>
      <w:r w:rsidR="00D4702A">
        <w:t>neither binding nor universal.</w:t>
      </w:r>
    </w:p>
    <w:p w14:paraId="5C333005" w14:textId="3DA3AB10" w:rsidR="00474254" w:rsidRPr="00DB0EA6" w:rsidRDefault="001E060E" w:rsidP="00E27338">
      <w:pPr>
        <w:pStyle w:val="SingleTxtG"/>
        <w:numPr>
          <w:ilvl w:val="0"/>
          <w:numId w:val="13"/>
        </w:numPr>
        <w:ind w:left="1138" w:right="1138" w:firstLine="0"/>
      </w:pPr>
      <w:r w:rsidRPr="00DB0EA6">
        <w:t>Other</w:t>
      </w:r>
      <w:r w:rsidR="000B067C">
        <w:t xml:space="preserve"> delegations</w:t>
      </w:r>
      <w:r w:rsidR="00474254" w:rsidRPr="00DB0EA6">
        <w:t xml:space="preserve"> disagreed that all human rights should be included due to the lack of universality of many human rights.</w:t>
      </w:r>
    </w:p>
    <w:p w14:paraId="720EA7CD" w14:textId="24F0FAED" w:rsidR="00DA168C" w:rsidRPr="00DB0EA6" w:rsidRDefault="0025340E" w:rsidP="00B84CAB">
      <w:pPr>
        <w:pStyle w:val="SingleTxtG"/>
        <w:numPr>
          <w:ilvl w:val="0"/>
          <w:numId w:val="13"/>
        </w:numPr>
        <w:ind w:left="1138" w:right="1138" w:firstLine="0"/>
      </w:pPr>
      <w:r w:rsidRPr="00DB0EA6">
        <w:t xml:space="preserve">Regarding the </w:t>
      </w:r>
      <w:r w:rsidR="007905AE" w:rsidRPr="00DB0EA6">
        <w:t xml:space="preserve">provision covering </w:t>
      </w:r>
      <w:r w:rsidRPr="00DB0EA6">
        <w:t xml:space="preserve">acts subject to the instrument’s application, </w:t>
      </w:r>
      <w:r w:rsidR="00D4702A">
        <w:t xml:space="preserve">the EU and some </w:t>
      </w:r>
      <w:r w:rsidRPr="00DB0EA6">
        <w:t>NGOs were concerned that it was unclear what was included and suggested that the phrase “</w:t>
      </w:r>
      <w:r w:rsidR="007905AE" w:rsidRPr="00DB0EA6">
        <w:t>business activity that has</w:t>
      </w:r>
      <w:r w:rsidRPr="00DB0EA6">
        <w:t xml:space="preserve"> a transnationa</w:t>
      </w:r>
      <w:r w:rsidR="00086AA6">
        <w:t>l character” be defined</w:t>
      </w:r>
      <w:r w:rsidRPr="00DB0EA6">
        <w:t xml:space="preserve"> to ensure effectiveness of the instrument.  </w:t>
      </w:r>
      <w:r w:rsidR="001E060E" w:rsidRPr="00DB0EA6">
        <w:t xml:space="preserve">It was </w:t>
      </w:r>
      <w:r w:rsidRPr="00DB0EA6">
        <w:t xml:space="preserve">noted that if liability is involved, defining the </w:t>
      </w:r>
      <w:r w:rsidR="00811E96" w:rsidRPr="00DB0EA6">
        <w:t>phrase</w:t>
      </w:r>
      <w:r w:rsidRPr="00DB0EA6">
        <w:t xml:space="preserve"> is mandatory.  </w:t>
      </w:r>
      <w:r w:rsidR="00D4702A">
        <w:t xml:space="preserve">While a delegation and </w:t>
      </w:r>
      <w:r w:rsidRPr="00DB0EA6">
        <w:t xml:space="preserve">panellist disagreed, </w:t>
      </w:r>
      <w:r w:rsidR="00D4702A">
        <w:t xml:space="preserve">it was </w:t>
      </w:r>
      <w:r w:rsidRPr="00DB0EA6">
        <w:t xml:space="preserve">suggested </w:t>
      </w:r>
      <w:r w:rsidR="00D4702A">
        <w:t>that guidance could be drawn from</w:t>
      </w:r>
      <w:r w:rsidR="002163BD">
        <w:t xml:space="preserve"> </w:t>
      </w:r>
      <w:r w:rsidRPr="00DB0EA6">
        <w:t xml:space="preserve">international instruments covering transnational crime </w:t>
      </w:r>
      <w:r w:rsidR="002163BD">
        <w:t>without borrowing definitions</w:t>
      </w:r>
      <w:r w:rsidRPr="00DB0EA6">
        <w:t>.</w:t>
      </w:r>
    </w:p>
    <w:p w14:paraId="4FCFB0EC" w14:textId="0B92B3E8" w:rsidR="0025340E" w:rsidRPr="00DB0EA6" w:rsidRDefault="002163BD" w:rsidP="00B84CAB">
      <w:pPr>
        <w:pStyle w:val="SingleTxtG"/>
        <w:numPr>
          <w:ilvl w:val="0"/>
          <w:numId w:val="13"/>
        </w:numPr>
        <w:ind w:left="1138" w:right="1138" w:firstLine="0"/>
      </w:pPr>
      <w:r>
        <w:t xml:space="preserve">The EU </w:t>
      </w:r>
      <w:r w:rsidR="0010631E" w:rsidRPr="00DB0EA6">
        <w:t>raised</w:t>
      </w:r>
      <w:r w:rsidR="0025340E" w:rsidRPr="00DB0EA6">
        <w:t xml:space="preserve"> questions </w:t>
      </w:r>
      <w:r w:rsidR="0037642D" w:rsidRPr="00DB0EA6">
        <w:t>relating to the acts to be covered by a future instrument</w:t>
      </w:r>
      <w:r>
        <w:t xml:space="preserve">, including </w:t>
      </w:r>
      <w:r w:rsidR="007905AE" w:rsidRPr="00DB0EA6">
        <w:t>whether the provision discriminated between foreign and domestic companies if domestic companies were categorically excluded from the scope.  In response, a panellist disagreed that this would constitute discrimination since the provision focuses on conduct, not nationality.</w:t>
      </w:r>
    </w:p>
    <w:p w14:paraId="249915AD" w14:textId="2913D848" w:rsidR="0010631E" w:rsidRPr="00DB0EA6" w:rsidRDefault="002163BD" w:rsidP="00B84CAB">
      <w:pPr>
        <w:pStyle w:val="SingleTxtG"/>
        <w:numPr>
          <w:ilvl w:val="0"/>
          <w:numId w:val="13"/>
        </w:numPr>
        <w:ind w:left="1138" w:right="1138" w:firstLine="0"/>
      </w:pPr>
      <w:r>
        <w:t xml:space="preserve">Concerning </w:t>
      </w:r>
      <w:r w:rsidR="0010631E" w:rsidRPr="00DB0EA6">
        <w:t>which actors should be subject to the instrument</w:t>
      </w:r>
      <w:r>
        <w:t>, s</w:t>
      </w:r>
      <w:r w:rsidR="0037642D" w:rsidRPr="00DB0EA6">
        <w:t xml:space="preserve">ome </w:t>
      </w:r>
      <w:r w:rsidR="0010631E" w:rsidRPr="00DB0EA6">
        <w:t xml:space="preserve">argued that only States would be the proper subjects.  Another delegation </w:t>
      </w:r>
      <w:r w:rsidR="00086AA6">
        <w:t>was open</w:t>
      </w:r>
      <w:r w:rsidR="0010631E" w:rsidRPr="00DB0EA6">
        <w:t xml:space="preserve"> to the provision covering organizations of regional economic integration but </w:t>
      </w:r>
      <w:r w:rsidR="0037642D" w:rsidRPr="00DB0EA6">
        <w:t xml:space="preserve">questioned why </w:t>
      </w:r>
      <w:r w:rsidR="0010631E" w:rsidRPr="00DB0EA6">
        <w:t xml:space="preserve">these were not mentioned elsewhere in the </w:t>
      </w:r>
      <w:r w:rsidR="0077163B">
        <w:t>document</w:t>
      </w:r>
      <w:r w:rsidR="0010631E" w:rsidRPr="00DB0EA6">
        <w:t xml:space="preserve">.  Further, </w:t>
      </w:r>
      <w:r w:rsidR="0037642D" w:rsidRPr="00DB0EA6">
        <w:t xml:space="preserve">there was concern </w:t>
      </w:r>
      <w:r w:rsidR="0010631E" w:rsidRPr="00DB0EA6">
        <w:t xml:space="preserve">that these organizations would be difficult to regulate in practice given the relationship between individual States and such institutions. </w:t>
      </w:r>
    </w:p>
    <w:p w14:paraId="48B95E49" w14:textId="10C5863F" w:rsidR="0010631E" w:rsidRPr="00DB0EA6" w:rsidRDefault="00B46718" w:rsidP="00B84CAB">
      <w:pPr>
        <w:pStyle w:val="SingleTxtG"/>
        <w:numPr>
          <w:ilvl w:val="0"/>
          <w:numId w:val="13"/>
        </w:numPr>
        <w:ind w:left="1138" w:right="1138" w:firstLine="0"/>
      </w:pPr>
      <w:r w:rsidRPr="00DB0EA6">
        <w:t>Several delegations considered that TNCs and other business enterprises should be subject to the instrument</w:t>
      </w:r>
      <w:r w:rsidR="00693DA7" w:rsidRPr="00DB0EA6">
        <w:t xml:space="preserve"> but not </w:t>
      </w:r>
      <w:r w:rsidRPr="00DB0EA6">
        <w:t>domestic companies.  Other</w:t>
      </w:r>
      <w:r w:rsidR="004F1A5C">
        <w:t xml:space="preserve"> delegations</w:t>
      </w:r>
      <w:r w:rsidRPr="00DB0EA6">
        <w:t xml:space="preserve"> noted that such companies are subject to national laws and need not be included in the instrument</w:t>
      </w:r>
      <w:r w:rsidR="002163BD">
        <w:t>; in this regard, they emphasized that negotiations must go on guided by the mandate of resolution 26/9</w:t>
      </w:r>
      <w:r w:rsidRPr="00DB0EA6">
        <w:t xml:space="preserve">.  One </w:t>
      </w:r>
      <w:r w:rsidR="002163BD">
        <w:t>intergovernmental organization</w:t>
      </w:r>
      <w:r w:rsidRPr="00DB0EA6">
        <w:t xml:space="preserve"> pointed out that TNCs are regulated by the national laws of the countries they operate in.  </w:t>
      </w:r>
      <w:r w:rsidR="002163BD">
        <w:t xml:space="preserve">It was highlighted </w:t>
      </w:r>
      <w:r w:rsidRPr="00DB0EA6">
        <w:t xml:space="preserve">that domestic businesses should be included as they can </w:t>
      </w:r>
      <w:r w:rsidR="002163BD">
        <w:t xml:space="preserve">also </w:t>
      </w:r>
      <w:r w:rsidRPr="00DB0EA6">
        <w:t xml:space="preserve">be responsible for human rights abuses. </w:t>
      </w:r>
      <w:r w:rsidR="002163BD">
        <w:t xml:space="preserve"> There was a call</w:t>
      </w:r>
      <w:r w:rsidR="00D403E0" w:rsidRPr="00DB0EA6">
        <w:t xml:space="preserve"> for the inclusion of online corporations in the scope of application.</w:t>
      </w:r>
      <w:r w:rsidR="002163BD">
        <w:t xml:space="preserve">  Several delegations emphasized that the discussions about the scope should continue within the mandate of resolution 26/9.</w:t>
      </w:r>
    </w:p>
    <w:p w14:paraId="56FB0083" w14:textId="41A2282A" w:rsidR="00B46718" w:rsidRPr="00DB0EA6" w:rsidRDefault="0037642D" w:rsidP="00B84CAB">
      <w:pPr>
        <w:pStyle w:val="SingleTxtG"/>
        <w:numPr>
          <w:ilvl w:val="0"/>
          <w:numId w:val="13"/>
        </w:numPr>
        <w:ind w:left="1138" w:right="1138" w:firstLine="0"/>
      </w:pPr>
      <w:r w:rsidRPr="00DB0EA6">
        <w:t>Some</w:t>
      </w:r>
      <w:r w:rsidR="00B46718" w:rsidRPr="00DB0EA6">
        <w:t xml:space="preserve"> delegations voiced concern over the provision </w:t>
      </w:r>
      <w:r w:rsidR="00D403E0" w:rsidRPr="00DB0EA6">
        <w:t xml:space="preserve">subjecting natural persons to the instrument, </w:t>
      </w:r>
      <w:r w:rsidR="002163BD">
        <w:t xml:space="preserve">taking into account </w:t>
      </w:r>
      <w:r w:rsidR="00D403E0" w:rsidRPr="00DB0EA6">
        <w:t>the mandate of resolution 26/9</w:t>
      </w:r>
      <w:r w:rsidR="00086AA6">
        <w:t>,</w:t>
      </w:r>
      <w:r w:rsidR="00D403E0" w:rsidRPr="00DB0EA6">
        <w:t xml:space="preserve"> </w:t>
      </w:r>
      <w:r w:rsidR="00B23F1B">
        <w:t xml:space="preserve">noting this </w:t>
      </w:r>
      <w:r w:rsidR="00D403E0" w:rsidRPr="00DB0EA6">
        <w:t xml:space="preserve">was unnecessary since international criminal law covers individuals.  Other delegations </w:t>
      </w:r>
      <w:r w:rsidR="002C5E4B">
        <w:t>were of the opinion</w:t>
      </w:r>
      <w:r w:rsidR="004F1A5C">
        <w:t xml:space="preserve"> that </w:t>
      </w:r>
      <w:r w:rsidR="00D403E0" w:rsidRPr="00DB0EA6">
        <w:t>individuals should be subject to the instrument.</w:t>
      </w:r>
    </w:p>
    <w:p w14:paraId="1EFB84E2" w14:textId="010E6201" w:rsidR="00D403E0" w:rsidRPr="00DB0EA6" w:rsidRDefault="00086AA6" w:rsidP="00B84CAB">
      <w:pPr>
        <w:pStyle w:val="SingleTxtG"/>
        <w:numPr>
          <w:ilvl w:val="0"/>
          <w:numId w:val="13"/>
        </w:numPr>
        <w:ind w:left="1138" w:right="1138" w:firstLine="0"/>
      </w:pPr>
      <w:r w:rsidRPr="00DB0EA6">
        <w:t xml:space="preserve">Some delegations emphasized the importance of </w:t>
      </w:r>
      <w:r>
        <w:t xml:space="preserve">including </w:t>
      </w:r>
      <w:r w:rsidRPr="00DB0EA6">
        <w:t>regulati</w:t>
      </w:r>
      <w:r>
        <w:t>ons of</w:t>
      </w:r>
      <w:r w:rsidRPr="00DB0EA6">
        <w:t xml:space="preserve"> business</w:t>
      </w:r>
      <w:r>
        <w:t xml:space="preserve"> activities in conflict and post-</w:t>
      </w:r>
      <w:r w:rsidRPr="00DB0EA6">
        <w:t>conflict areas</w:t>
      </w:r>
      <w:r>
        <w:t xml:space="preserve"> as </w:t>
      </w:r>
      <w:r w:rsidRPr="00DB0EA6">
        <w:t>business</w:t>
      </w:r>
      <w:r>
        <w:t>es</w:t>
      </w:r>
      <w:r w:rsidRPr="00DB0EA6">
        <w:t xml:space="preserve"> </w:t>
      </w:r>
      <w:r>
        <w:t>can</w:t>
      </w:r>
      <w:r w:rsidRPr="00DB0EA6">
        <w:t xml:space="preserve"> exploit these situations for natural resources</w:t>
      </w:r>
      <w:r w:rsidR="00D403E0" w:rsidRPr="00DB0EA6">
        <w:t>.</w:t>
      </w:r>
    </w:p>
    <w:p w14:paraId="632936A9" w14:textId="77777777" w:rsidR="00CE2983" w:rsidRPr="00DB0EA6" w:rsidRDefault="00CE2983" w:rsidP="006F5A72">
      <w:pPr>
        <w:pStyle w:val="H1G"/>
      </w:pPr>
      <w:r w:rsidRPr="00DB0EA6">
        <w:tab/>
      </w:r>
      <w:bookmarkStart w:id="34" w:name="_Toc471217414"/>
      <w:bookmarkStart w:id="35" w:name="_Toc496373811"/>
      <w:bookmarkStart w:id="36" w:name="_Toc497205717"/>
      <w:r w:rsidRPr="00DB0EA6">
        <w:t>C.</w:t>
      </w:r>
      <w:r w:rsidRPr="00DB0EA6">
        <w:tab/>
      </w:r>
      <w:bookmarkEnd w:id="34"/>
      <w:r w:rsidR="007B5E50" w:rsidRPr="00DB0EA6">
        <w:t>Subject 3: General obligations</w:t>
      </w:r>
      <w:bookmarkEnd w:id="35"/>
      <w:bookmarkEnd w:id="36"/>
      <w:r w:rsidRPr="00DB0EA6">
        <w:t xml:space="preserve"> </w:t>
      </w:r>
    </w:p>
    <w:p w14:paraId="590A4265" w14:textId="56481691" w:rsidR="00B84CAB" w:rsidRPr="00DB0EA6" w:rsidRDefault="00B84CAB" w:rsidP="00B84CAB">
      <w:pPr>
        <w:pStyle w:val="SingleTxtG"/>
        <w:numPr>
          <w:ilvl w:val="0"/>
          <w:numId w:val="13"/>
        </w:numPr>
        <w:ind w:left="1138" w:right="1138" w:firstLine="0"/>
      </w:pPr>
      <w:r w:rsidRPr="00DB0EA6">
        <w:t xml:space="preserve">The first </w:t>
      </w:r>
      <w:r w:rsidR="001A1BD8" w:rsidRPr="00DB0EA6">
        <w:t>panellist</w:t>
      </w:r>
      <w:r w:rsidRPr="00DB0EA6">
        <w:t xml:space="preserve"> explained that, under international law, States have the duty to regulate business activity to protect human rights.  A treaty could ensure that victims have access to remedy by clarifying that States must regulate the extraterritorial actions of companies domiciled within their jurisdiction.  Additionally, States can ensure that companies disclose information about their operations when acting transnationally.  Various domestic laws already require this, particularly for larger companies.  The </w:t>
      </w:r>
      <w:r w:rsidR="001A1BD8" w:rsidRPr="00DB0EA6">
        <w:t>panellist</w:t>
      </w:r>
      <w:r w:rsidRPr="00DB0EA6">
        <w:t xml:space="preserve"> also discussed the obligation of companies to comply with internationally recognized human rights law, regardless of whether the host State has ratified a particular convention.  With respect to international organizations, the </w:t>
      </w:r>
      <w:r w:rsidR="001A1BD8" w:rsidRPr="00DB0EA6">
        <w:t>panellist</w:t>
      </w:r>
      <w:r w:rsidRPr="00DB0EA6">
        <w:t xml:space="preserve"> noted that these organizations already have a duty to respect human rights and that States must ensure these organizations comply.  Given all of this, the elements </w:t>
      </w:r>
      <w:r w:rsidR="00C252BF" w:rsidRPr="00DB0EA6">
        <w:t>largely</w:t>
      </w:r>
      <w:r w:rsidRPr="00DB0EA6">
        <w:t xml:space="preserve"> reaffirm </w:t>
      </w:r>
      <w:r w:rsidR="00B23F1B">
        <w:t>international human rights law, and are therefore not unorthodox</w:t>
      </w:r>
      <w:r w:rsidRPr="00DB0EA6">
        <w:t>.</w:t>
      </w:r>
    </w:p>
    <w:p w14:paraId="06519BF3" w14:textId="0604EB04" w:rsidR="00B84CAB" w:rsidRPr="00DB0EA6" w:rsidRDefault="00B84CAB" w:rsidP="00B84CAB">
      <w:pPr>
        <w:pStyle w:val="SingleTxtG"/>
        <w:numPr>
          <w:ilvl w:val="0"/>
          <w:numId w:val="13"/>
        </w:numPr>
        <w:ind w:left="1138" w:right="1138" w:firstLine="0"/>
        <w:rPr>
          <w:bCs/>
        </w:rPr>
      </w:pPr>
      <w:r w:rsidRPr="00DB0EA6">
        <w:rPr>
          <w:bCs/>
        </w:rPr>
        <w:t xml:space="preserve">The second </w:t>
      </w:r>
      <w:r w:rsidR="001A1BD8" w:rsidRPr="00DB0EA6">
        <w:rPr>
          <w:bCs/>
        </w:rPr>
        <w:t>panellist</w:t>
      </w:r>
      <w:r w:rsidRPr="00DB0EA6">
        <w:rPr>
          <w:bCs/>
        </w:rPr>
        <w:t xml:space="preserve"> did not support the</w:t>
      </w:r>
      <w:r w:rsidR="0077163B">
        <w:rPr>
          <w:bCs/>
        </w:rPr>
        <w:t xml:space="preserve"> content of the E</w:t>
      </w:r>
      <w:r w:rsidRPr="00DB0EA6">
        <w:rPr>
          <w:bCs/>
        </w:rPr>
        <w:t xml:space="preserve">lements </w:t>
      </w:r>
      <w:r w:rsidR="0077163B">
        <w:rPr>
          <w:bCs/>
        </w:rPr>
        <w:t xml:space="preserve">Document </w:t>
      </w:r>
      <w:r w:rsidRPr="00DB0EA6">
        <w:rPr>
          <w:bCs/>
        </w:rPr>
        <w:t xml:space="preserve">and voiced concern over imposing international law obligations on companies.  Establishing human rights obligations on companies could lead to States delegating their duties to the private sector, undermining the full protection of human rights.  Furthermore, generally imposing such duties on all TNCs and other business enterprises </w:t>
      </w:r>
      <w:r w:rsidR="002C5E4B">
        <w:rPr>
          <w:bCs/>
        </w:rPr>
        <w:t>was</w:t>
      </w:r>
      <w:r w:rsidRPr="00DB0EA6">
        <w:rPr>
          <w:bCs/>
        </w:rPr>
        <w:t xml:space="preserve"> impractical given the amount and diversity of the actors involved.  This </w:t>
      </w:r>
      <w:r w:rsidR="001A1BD8" w:rsidRPr="00DB0EA6">
        <w:rPr>
          <w:bCs/>
        </w:rPr>
        <w:t>panellist</w:t>
      </w:r>
      <w:r w:rsidRPr="00DB0EA6">
        <w:rPr>
          <w:bCs/>
        </w:rPr>
        <w:t xml:space="preserve"> warned that reopening the debate on business and human rights would lead to confusion and could subvert the UN’s authoritative voice on these issues.</w:t>
      </w:r>
    </w:p>
    <w:p w14:paraId="7984D311" w14:textId="1687D6A3" w:rsidR="00F64B76" w:rsidRPr="00DB0EA6" w:rsidRDefault="00F64B76" w:rsidP="00F64B76">
      <w:pPr>
        <w:pStyle w:val="SingleTxtG"/>
        <w:numPr>
          <w:ilvl w:val="0"/>
          <w:numId w:val="13"/>
        </w:numPr>
        <w:ind w:left="1138" w:right="1138" w:firstLine="0"/>
      </w:pPr>
      <w:r w:rsidRPr="00DB0EA6">
        <w:t xml:space="preserve">The third </w:t>
      </w:r>
      <w:r w:rsidR="001A1BD8" w:rsidRPr="00DB0EA6">
        <w:t>panellist</w:t>
      </w:r>
      <w:r w:rsidRPr="00DB0EA6">
        <w:t xml:space="preserve"> saw many positive aspects of the </w:t>
      </w:r>
      <w:r w:rsidR="0077163B">
        <w:t>E</w:t>
      </w:r>
      <w:r w:rsidRPr="00DB0EA6">
        <w:t xml:space="preserve">lements </w:t>
      </w:r>
      <w:r w:rsidR="0077163B">
        <w:t xml:space="preserve">Document </w:t>
      </w:r>
      <w:r w:rsidRPr="00DB0EA6">
        <w:t xml:space="preserve">but decided to focus his remarks on gaps in the document.  With respect to the obligations of States, he regretted that concepts of corporate law, such as separate legal personality, were absent from the ambit of the elements.  Corporations are creatures of statute, and a successful instrument must address these issues.  Regarding the obligations of companies, </w:t>
      </w:r>
      <w:r w:rsidR="004F1A5C">
        <w:t>it would be important to go</w:t>
      </w:r>
      <w:r w:rsidRPr="00DB0EA6">
        <w:t xml:space="preserve"> beyond the UNGPs by placing binding legal obligations on corporations.  However, for this to be effective, the instrument should clarify what constitutes</w:t>
      </w:r>
      <w:r w:rsidR="00811E96" w:rsidRPr="00DB0EA6">
        <w:t xml:space="preserve"> an actionable violation.</w:t>
      </w:r>
      <w:r w:rsidRPr="00DB0EA6">
        <w:t xml:space="preserve">  Additionally, the instrument could impose positive obligations on companies.</w:t>
      </w:r>
    </w:p>
    <w:p w14:paraId="361BA5C2" w14:textId="77A220EF" w:rsidR="004D6324" w:rsidRPr="00DB0EA6" w:rsidRDefault="004D6324" w:rsidP="004D6324">
      <w:pPr>
        <w:pStyle w:val="SingleTxtG"/>
        <w:numPr>
          <w:ilvl w:val="0"/>
          <w:numId w:val="13"/>
        </w:numPr>
        <w:ind w:left="1138" w:right="1138" w:firstLine="0"/>
      </w:pPr>
      <w:r w:rsidRPr="00DB0EA6">
        <w:t xml:space="preserve">The fourth </w:t>
      </w:r>
      <w:r w:rsidR="001A1BD8" w:rsidRPr="00DB0EA6">
        <w:t>panellist</w:t>
      </w:r>
      <w:r w:rsidRPr="00DB0EA6">
        <w:t xml:space="preserve"> emphasized workers’ support of the working group and noted that </w:t>
      </w:r>
      <w:r w:rsidR="001A1BD8" w:rsidRPr="00DB0EA6">
        <w:t>labour</w:t>
      </w:r>
      <w:r w:rsidRPr="00DB0EA6">
        <w:t xml:space="preserve"> rights must be included.  States should uphold human rights in all legal agreements and not support any legislation contrary to human rights.  Furthermore, the instrument should oblige companies to exercise due diligence and provide remedies. While acknowledging that some provisions in the </w:t>
      </w:r>
      <w:r w:rsidR="0077163B">
        <w:t>E</w:t>
      </w:r>
      <w:r w:rsidRPr="00DB0EA6">
        <w:t xml:space="preserve">lements </w:t>
      </w:r>
      <w:r w:rsidR="0077163B">
        <w:t xml:space="preserve">Document </w:t>
      </w:r>
      <w:r w:rsidRPr="00DB0EA6">
        <w:t xml:space="preserve">are vague, </w:t>
      </w:r>
      <w:r w:rsidR="002C5E4B">
        <w:t>more detail</w:t>
      </w:r>
      <w:r w:rsidR="008427D7" w:rsidRPr="00DB0EA6">
        <w:t xml:space="preserve"> could</w:t>
      </w:r>
      <w:r w:rsidRPr="00DB0EA6">
        <w:t xml:space="preserve"> be </w:t>
      </w:r>
      <w:r w:rsidR="002C5E4B">
        <w:t xml:space="preserve">developed during the </w:t>
      </w:r>
      <w:r w:rsidRPr="00DB0EA6">
        <w:t>negotiation</w:t>
      </w:r>
      <w:r w:rsidR="002C5E4B">
        <w:t xml:space="preserve"> process</w:t>
      </w:r>
      <w:r w:rsidRPr="00DB0EA6">
        <w:t>.</w:t>
      </w:r>
    </w:p>
    <w:p w14:paraId="1144B6FF" w14:textId="5866CD9B" w:rsidR="00B84CAB" w:rsidRPr="00DB0EA6" w:rsidRDefault="00BD1D15" w:rsidP="00E27338">
      <w:pPr>
        <w:pStyle w:val="SingleTxtG"/>
        <w:numPr>
          <w:ilvl w:val="0"/>
          <w:numId w:val="13"/>
        </w:numPr>
        <w:ind w:left="1138" w:right="1138" w:firstLine="0"/>
      </w:pPr>
      <w:r w:rsidRPr="00DB0EA6">
        <w:t xml:space="preserve">While many delegations supported the </w:t>
      </w:r>
      <w:r w:rsidR="008427D7" w:rsidRPr="00DB0EA6">
        <w:t>proposed</w:t>
      </w:r>
      <w:r w:rsidR="00291C67" w:rsidRPr="00DB0EA6">
        <w:t xml:space="preserve"> elements </w:t>
      </w:r>
      <w:r w:rsidR="000F1A0B">
        <w:t>under</w:t>
      </w:r>
      <w:r w:rsidR="00291C67" w:rsidRPr="00DB0EA6">
        <w:t xml:space="preserve"> </w:t>
      </w:r>
      <w:r w:rsidR="004F1A5C">
        <w:t>“G</w:t>
      </w:r>
      <w:r w:rsidR="00291C67" w:rsidRPr="00DB0EA6">
        <w:t>eneral obligations</w:t>
      </w:r>
      <w:r w:rsidR="000F1A0B">
        <w:t>,</w:t>
      </w:r>
      <w:r w:rsidR="004F1A5C">
        <w:t>”</w:t>
      </w:r>
      <w:r w:rsidR="00291C67" w:rsidRPr="00DB0EA6">
        <w:t xml:space="preserve"> some </w:t>
      </w:r>
      <w:r w:rsidR="00B23F1B">
        <w:t xml:space="preserve">noted the need to continue with negotiations on certain specific </w:t>
      </w:r>
      <w:r w:rsidR="000F1A0B">
        <w:t>provisions</w:t>
      </w:r>
      <w:r w:rsidR="00B23F1B">
        <w:t xml:space="preserve">.  More specifically, </w:t>
      </w:r>
      <w:r w:rsidR="00291C67" w:rsidRPr="00DB0EA6">
        <w:t>provisions of a legally binding instrument must be worded clearly if legal consequences will attach.</w:t>
      </w:r>
    </w:p>
    <w:p w14:paraId="26B8DDD3" w14:textId="25B9AE6B" w:rsidR="00291C67" w:rsidRPr="00DB0EA6" w:rsidRDefault="00291C67" w:rsidP="00E27338">
      <w:pPr>
        <w:pStyle w:val="SingleTxtG"/>
        <w:numPr>
          <w:ilvl w:val="0"/>
          <w:numId w:val="13"/>
        </w:numPr>
        <w:ind w:left="1138" w:right="1138" w:firstLine="0"/>
      </w:pPr>
      <w:r w:rsidRPr="00DB0EA6">
        <w:t xml:space="preserve">Regarding the provisions on </w:t>
      </w:r>
      <w:r w:rsidR="004F1A5C">
        <w:t>“</w:t>
      </w:r>
      <w:r w:rsidRPr="00DB0EA6">
        <w:t>State obligations</w:t>
      </w:r>
      <w:r w:rsidR="0077163B">
        <w:t>,</w:t>
      </w:r>
      <w:r w:rsidR="004F1A5C">
        <w:t>”</w:t>
      </w:r>
      <w:r w:rsidRPr="00DB0EA6">
        <w:t xml:space="preserve"> it was noted that many elements seemed to restate existing obligations, and it was questioned what added value there </w:t>
      </w:r>
      <w:r w:rsidR="0077163B">
        <w:t xml:space="preserve">would be from </w:t>
      </w:r>
      <w:r w:rsidRPr="00DB0EA6">
        <w:t xml:space="preserve">including these in the instrument.  </w:t>
      </w:r>
      <w:r w:rsidR="000D24B2" w:rsidRPr="00DB0EA6">
        <w:t xml:space="preserve">There was concern that the provisions requiring States to adapt domestic legislation and </w:t>
      </w:r>
      <w:r w:rsidR="000F1A0B">
        <w:t xml:space="preserve">impose restrictions on </w:t>
      </w:r>
      <w:r w:rsidR="000D24B2" w:rsidRPr="00DB0EA6">
        <w:t>p</w:t>
      </w:r>
      <w:r w:rsidR="000F1A0B">
        <w:t>ublic procurement contracts</w:t>
      </w:r>
      <w:r w:rsidR="000D24B2" w:rsidRPr="00DB0EA6">
        <w:t xml:space="preserve"> interfered with the internal affairs of States, as it should be up to each State to determine how to implement its treaty obligations.  Additionally, there were calls for more specificity in the provisions regarding reporting and disclosure requirements, as well as the provision requiring States to ensure that human rights </w:t>
      </w:r>
      <w:r w:rsidR="00770C0F" w:rsidRPr="00DB0EA6">
        <w:t xml:space="preserve">be </w:t>
      </w:r>
      <w:r w:rsidR="000D24B2" w:rsidRPr="00DB0EA6">
        <w:t>considered in their contractual engagements.</w:t>
      </w:r>
    </w:p>
    <w:p w14:paraId="1A9B0FEE" w14:textId="75D5FDF9" w:rsidR="00770C0F" w:rsidRPr="00DB0EA6" w:rsidRDefault="00770C0F" w:rsidP="00E27338">
      <w:pPr>
        <w:pStyle w:val="SingleTxtG"/>
        <w:numPr>
          <w:ilvl w:val="0"/>
          <w:numId w:val="13"/>
        </w:numPr>
        <w:ind w:left="1138" w:right="1138" w:firstLine="0"/>
      </w:pPr>
      <w:r w:rsidRPr="00DB0EA6">
        <w:t xml:space="preserve">Other delegations commended the drafting of the section, specifically voicing support for the recognition that States have the primary duty to protect human rights and must take measures to prevent, investigate, punish, and redress violations to ensure companies respect human rights throughout their activities.  Some </w:t>
      </w:r>
      <w:r w:rsidR="00B16FB0" w:rsidRPr="00DB0EA6">
        <w:t>welcomed</w:t>
      </w:r>
      <w:r w:rsidRPr="00DB0EA6">
        <w:t xml:space="preserve"> the provision requiring States to ensure that companies conduct human rights and environmental impact assessments</w:t>
      </w:r>
      <w:r w:rsidR="00056EE1">
        <w:t xml:space="preserve">. However, </w:t>
      </w:r>
      <w:r w:rsidR="00B23F1B">
        <w:t xml:space="preserve">one delegation </w:t>
      </w:r>
      <w:r w:rsidR="00D16DD7">
        <w:t>expressed</w:t>
      </w:r>
      <w:r w:rsidR="00B16FB0" w:rsidRPr="00DB0EA6">
        <w:t xml:space="preserve"> that it was beyond the working group’s mandate to discuss environmental impact assessments.</w:t>
      </w:r>
    </w:p>
    <w:p w14:paraId="3B130E0E" w14:textId="7FCDC96D" w:rsidR="00B16FB0" w:rsidRPr="00DB0EA6" w:rsidRDefault="00B16FB0" w:rsidP="00E27338">
      <w:pPr>
        <w:pStyle w:val="SingleTxtG"/>
        <w:numPr>
          <w:ilvl w:val="0"/>
          <w:numId w:val="13"/>
        </w:numPr>
        <w:ind w:left="1138" w:right="1138" w:firstLine="0"/>
      </w:pPr>
      <w:r w:rsidRPr="00DB0EA6">
        <w:t>Throughout the discussion, there were several suggestions regarding what could be added to this section, including reference to international cooperation and mutual legal assistance, clarification as to extraterritorial obligations, regulation of State-owned companies, reference to conflict-areas, and the protection of human rights defenders.</w:t>
      </w:r>
    </w:p>
    <w:p w14:paraId="3F22D07B" w14:textId="0BC16998" w:rsidR="00CE2983" w:rsidRPr="00DB0EA6" w:rsidRDefault="00D15CFF" w:rsidP="00E27338">
      <w:pPr>
        <w:pStyle w:val="SingleTxtG"/>
        <w:numPr>
          <w:ilvl w:val="0"/>
          <w:numId w:val="13"/>
        </w:numPr>
        <w:ind w:left="1138" w:right="1138" w:firstLine="0"/>
      </w:pPr>
      <w:r w:rsidRPr="00DB0EA6">
        <w:t xml:space="preserve">Concerning the </w:t>
      </w:r>
      <w:r w:rsidR="00B16FB0" w:rsidRPr="00DB0EA6">
        <w:t xml:space="preserve">inclusion of a section on </w:t>
      </w:r>
      <w:r w:rsidR="00056EE1">
        <w:t>“O</w:t>
      </w:r>
      <w:r w:rsidR="00B16FB0" w:rsidRPr="00DB0EA6">
        <w:t>bligations of transnational corporations and other business enterprises</w:t>
      </w:r>
      <w:r w:rsidR="00056EE1">
        <w:t>”</w:t>
      </w:r>
      <w:r w:rsidRPr="00DB0EA6">
        <w:t>, s</w:t>
      </w:r>
      <w:r w:rsidR="007379FB" w:rsidRPr="00DB0EA6">
        <w:t xml:space="preserve">ome delegations </w:t>
      </w:r>
      <w:r w:rsidR="00B23F1B">
        <w:t xml:space="preserve">asked for information on the </w:t>
      </w:r>
      <w:r w:rsidR="007379FB" w:rsidRPr="00DB0EA6">
        <w:t>legal basis for imposing international human ri</w:t>
      </w:r>
      <w:r w:rsidR="00B23F1B">
        <w:t>ghts obligations on companies</w:t>
      </w:r>
      <w:r w:rsidR="007379FB" w:rsidRPr="00DB0EA6">
        <w:t xml:space="preserve">.  Additionally, </w:t>
      </w:r>
      <w:r w:rsidRPr="00DB0EA6">
        <w:t xml:space="preserve">questions </w:t>
      </w:r>
      <w:r w:rsidR="007379FB" w:rsidRPr="00DB0EA6">
        <w:t>w</w:t>
      </w:r>
      <w:r w:rsidR="009A5AE0" w:rsidRPr="00DB0EA6">
        <w:t>ere</w:t>
      </w:r>
      <w:r w:rsidR="007379FB" w:rsidRPr="00DB0EA6">
        <w:t xml:space="preserve"> raised as to how this would work in practice and whether this would be appropriate in the absence of a structure capable of law enforcement.  Other delegations found it appropriate to impose international obligations on companies and referenced several treaties establishing obligations </w:t>
      </w:r>
      <w:r w:rsidR="000A2C75" w:rsidRPr="00DB0EA6">
        <w:t>on legal entities.  In their view, such obligations were necessary to ensure the effectiveness of the instrument.</w:t>
      </w:r>
    </w:p>
    <w:p w14:paraId="1A256075" w14:textId="2D820504" w:rsidR="000A2C75" w:rsidRPr="00DB0EA6" w:rsidRDefault="00D16DD7" w:rsidP="008E2ACE">
      <w:pPr>
        <w:pStyle w:val="SingleTxtG"/>
        <w:numPr>
          <w:ilvl w:val="0"/>
          <w:numId w:val="13"/>
        </w:numPr>
        <w:ind w:left="1138" w:right="1138" w:firstLine="0"/>
      </w:pPr>
      <w:r>
        <w:t>D</w:t>
      </w:r>
      <w:r w:rsidR="000A2C75" w:rsidRPr="00DB0EA6">
        <w:t>elegations suggested that additional obligations should be imposed on companies, including to mandate human rights due diligence and reporting; ensure free, prior, and informed consent when operations could adversely affect communities; prevent corporate capture; oblige companies to pay taxes in countries they operate in; and to positively promote human rights.</w:t>
      </w:r>
    </w:p>
    <w:p w14:paraId="35A4C56B" w14:textId="090D751E" w:rsidR="00CE2983" w:rsidRPr="00DB0EA6" w:rsidRDefault="000A2C75" w:rsidP="00E27338">
      <w:pPr>
        <w:pStyle w:val="SingleTxtG"/>
        <w:numPr>
          <w:ilvl w:val="0"/>
          <w:numId w:val="13"/>
        </w:numPr>
        <w:ind w:left="1138" w:right="1138" w:firstLine="0"/>
      </w:pPr>
      <w:r w:rsidRPr="00DB0EA6">
        <w:t xml:space="preserve">With respect to the section on obligations of international organizations, it was questioned whether the provision </w:t>
      </w:r>
      <w:r w:rsidR="000F1A0B">
        <w:t xml:space="preserve">belonged under </w:t>
      </w:r>
      <w:r w:rsidR="00056EE1">
        <w:t>“G</w:t>
      </w:r>
      <w:r w:rsidR="00D15CFF" w:rsidRPr="00DB0EA6">
        <w:t>eneral obligations</w:t>
      </w:r>
      <w:r w:rsidR="00056EE1">
        <w:t>”</w:t>
      </w:r>
      <w:r w:rsidR="00D15CFF" w:rsidRPr="00DB0EA6">
        <w:t xml:space="preserve"> </w:t>
      </w:r>
      <w:r w:rsidRPr="00DB0EA6">
        <w:t xml:space="preserve">since it </w:t>
      </w:r>
      <w:r w:rsidR="00D15CFF" w:rsidRPr="00DB0EA6">
        <w:t>appear</w:t>
      </w:r>
      <w:r w:rsidR="009A5AE0" w:rsidRPr="00DB0EA6">
        <w:t>ed</w:t>
      </w:r>
      <w:r w:rsidR="00D15CFF" w:rsidRPr="00DB0EA6">
        <w:t xml:space="preserve"> to concern</w:t>
      </w:r>
      <w:r w:rsidRPr="00DB0EA6">
        <w:t xml:space="preserve"> an obligation of States and not international organizations as such.</w:t>
      </w:r>
      <w:r w:rsidR="00534601" w:rsidRPr="00DB0EA6">
        <w:t xml:space="preserve">  To the extent that the provision did create obligations for international organizations, some delegations expressed their disfavour in making limitations on bodies created by different instruments with different mandates.</w:t>
      </w:r>
    </w:p>
    <w:p w14:paraId="08907715" w14:textId="77777777" w:rsidR="00CE2983" w:rsidRPr="00DB0EA6" w:rsidRDefault="00CE2983" w:rsidP="006F5A72">
      <w:pPr>
        <w:pStyle w:val="H1G"/>
      </w:pPr>
      <w:r w:rsidRPr="00DB0EA6">
        <w:tab/>
      </w:r>
      <w:bookmarkStart w:id="37" w:name="_Toc471217415"/>
      <w:bookmarkStart w:id="38" w:name="_Toc496373812"/>
      <w:bookmarkStart w:id="39" w:name="_Toc497205718"/>
      <w:r w:rsidRPr="00DB0EA6">
        <w:t>D.</w:t>
      </w:r>
      <w:r w:rsidRPr="00DB0EA6">
        <w:tab/>
      </w:r>
      <w:bookmarkEnd w:id="37"/>
      <w:r w:rsidR="007B5E50" w:rsidRPr="00DB0EA6">
        <w:t>Subject 4: Preventive measures</w:t>
      </w:r>
      <w:bookmarkEnd w:id="38"/>
      <w:bookmarkEnd w:id="39"/>
    </w:p>
    <w:p w14:paraId="29350BCA" w14:textId="46F65C68" w:rsidR="00CE2983" w:rsidRPr="00DB0EA6" w:rsidRDefault="00056EE1" w:rsidP="00E27338">
      <w:pPr>
        <w:pStyle w:val="SingleTxtG"/>
        <w:numPr>
          <w:ilvl w:val="0"/>
          <w:numId w:val="13"/>
        </w:numPr>
        <w:ind w:left="1138" w:right="1138" w:firstLine="0"/>
      </w:pPr>
      <w:r>
        <w:t>T</w:t>
      </w:r>
      <w:r w:rsidR="001B19A5" w:rsidRPr="00DB0EA6">
        <w:t xml:space="preserve">he first panellist </w:t>
      </w:r>
      <w:r>
        <w:t>noted</w:t>
      </w:r>
      <w:r w:rsidR="001B19A5" w:rsidRPr="00DB0EA6">
        <w:t xml:space="preserve"> that, among the many allegations of human rights abuses received as Special Rapporteur, most involved corporate activities and affected vulnerable groups.  In his view, this illustrate</w:t>
      </w:r>
      <w:r w:rsidR="0077163B">
        <w:t>d</w:t>
      </w:r>
      <w:r w:rsidR="001B19A5" w:rsidRPr="00DB0EA6">
        <w:t xml:space="preserve"> not only an existing accountability gap for victims, but also the gross failure of States to prevent such human rights abuses.  Thus, the panellist argued that the instrument should oblige States to require effective and binding due diligence processes from all companies.  This should not be limited to the supply chain but should include the complete lifecycle of a product, including its disposal. </w:t>
      </w:r>
      <w:r w:rsidR="00BE18D7">
        <w:t>H</w:t>
      </w:r>
      <w:r w:rsidR="001B19A5" w:rsidRPr="00DB0EA6">
        <w:t xml:space="preserve">e </w:t>
      </w:r>
      <w:r w:rsidR="00BE18D7">
        <w:t xml:space="preserve">also </w:t>
      </w:r>
      <w:r w:rsidR="001B19A5" w:rsidRPr="00DB0EA6">
        <w:t xml:space="preserve">stressed the need to clarify the types of activities to which preventive measures should apply.  </w:t>
      </w:r>
      <w:r w:rsidR="000F1A0B">
        <w:t xml:space="preserve">He </w:t>
      </w:r>
      <w:r w:rsidR="001B19A5" w:rsidRPr="00DB0EA6">
        <w:t>noted</w:t>
      </w:r>
      <w:r w:rsidR="0077163B">
        <w:t xml:space="preserve"> that several provisions in the</w:t>
      </w:r>
      <w:r w:rsidR="001B19A5" w:rsidRPr="00DB0EA6">
        <w:t xml:space="preserve"> section </w:t>
      </w:r>
      <w:r w:rsidR="0077163B">
        <w:t xml:space="preserve">on “Preventive measures” </w:t>
      </w:r>
      <w:r w:rsidR="001B19A5" w:rsidRPr="00DB0EA6">
        <w:t xml:space="preserve">did not seem directly relevant to prevention and suggested </w:t>
      </w:r>
      <w:r w:rsidR="000F1A0B">
        <w:t>moving them</w:t>
      </w:r>
      <w:r w:rsidR="001B19A5" w:rsidRPr="00DB0EA6">
        <w:t xml:space="preserve"> to a more appropriate section.</w:t>
      </w:r>
      <w:r w:rsidR="00CE2983" w:rsidRPr="00DB0EA6">
        <w:t xml:space="preserve"> </w:t>
      </w:r>
    </w:p>
    <w:p w14:paraId="73120FD5" w14:textId="6FF877C2" w:rsidR="00CE2983" w:rsidRPr="00DB0EA6" w:rsidRDefault="00CE2983" w:rsidP="00E27338">
      <w:pPr>
        <w:pStyle w:val="SingleTxtG"/>
        <w:numPr>
          <w:ilvl w:val="0"/>
          <w:numId w:val="13"/>
        </w:numPr>
        <w:ind w:left="1138" w:right="1138" w:firstLine="0"/>
      </w:pPr>
      <w:r w:rsidRPr="00DB0EA6">
        <w:t>The second panellist</w:t>
      </w:r>
      <w:r w:rsidR="001B19A5" w:rsidRPr="00DB0EA6">
        <w:rPr>
          <w:rFonts w:ascii="Helv" w:eastAsia="SimSun" w:hAnsi="Helv" w:cs="Helv"/>
          <w:color w:val="000000"/>
          <w:sz w:val="22"/>
          <w:szCs w:val="22"/>
          <w:lang w:eastAsia="zh-CN"/>
        </w:rPr>
        <w:t xml:space="preserve"> </w:t>
      </w:r>
      <w:r w:rsidR="001B19A5" w:rsidRPr="00DB0EA6">
        <w:t xml:space="preserve">argued that preventive measures in the treaty should focus on two components: (1) preventing acts by TNCs that adversely affect human rights, and (2) preventing corporate capture.  Regarding corporate capture, the panellist proposed that States should </w:t>
      </w:r>
      <w:r w:rsidR="000F1A0B">
        <w:t xml:space="preserve">ensure transparency and disclosure of </w:t>
      </w:r>
      <w:r w:rsidR="001B19A5" w:rsidRPr="00DB0EA6">
        <w:t>document</w:t>
      </w:r>
      <w:r w:rsidR="000F1A0B">
        <w:t>s</w:t>
      </w:r>
      <w:r w:rsidR="001B19A5" w:rsidRPr="00DB0EA6">
        <w:t xml:space="preserve"> and contracts with TNCs.   Additionally, States should </w:t>
      </w:r>
      <w:r w:rsidR="00E45A01" w:rsidRPr="00DB0EA6">
        <w:t>prohibit political contributions from TNCs and forbid outsourcing</w:t>
      </w:r>
      <w:r w:rsidR="001B19A5" w:rsidRPr="00DB0EA6">
        <w:t xml:space="preserve"> </w:t>
      </w:r>
      <w:r w:rsidR="00E45A01" w:rsidRPr="00DB0EA6">
        <w:t xml:space="preserve">of </w:t>
      </w:r>
      <w:r w:rsidR="001B19A5" w:rsidRPr="00DB0EA6">
        <w:t>security services to companies.</w:t>
      </w:r>
    </w:p>
    <w:p w14:paraId="5C77A49E" w14:textId="74C6B76C" w:rsidR="001B19A5" w:rsidRPr="00DB0EA6" w:rsidRDefault="001B19A5" w:rsidP="001B19A5">
      <w:pPr>
        <w:pStyle w:val="SingleTxtG"/>
        <w:numPr>
          <w:ilvl w:val="0"/>
          <w:numId w:val="13"/>
        </w:numPr>
        <w:ind w:left="1138" w:right="1138" w:firstLine="0"/>
      </w:pPr>
      <w:r w:rsidRPr="00DB0EA6">
        <w:t xml:space="preserve">The third panellist highlighted the essential character of preventive measures in the instrument.  She made several recommendations as to how the elements could be strengthened in this respect, including by </w:t>
      </w:r>
      <w:r w:rsidR="00B23F1B">
        <w:t xml:space="preserve">referring </w:t>
      </w:r>
      <w:r w:rsidRPr="00DB0EA6">
        <w:t xml:space="preserve">to due diligence obligations relating to development institutions, the use of independent assessors in case of impact studies, the coverage of </w:t>
      </w:r>
      <w:r w:rsidR="001A1BD8" w:rsidRPr="00DB0EA6">
        <w:t>labour</w:t>
      </w:r>
      <w:r w:rsidRPr="00DB0EA6">
        <w:t xml:space="preserve"> and environmental rights, the inclusion of a gender perspective, the use of </w:t>
      </w:r>
      <w:r w:rsidRPr="00DB0EA6">
        <w:rPr>
          <w:i/>
        </w:rPr>
        <w:t xml:space="preserve">ex </w:t>
      </w:r>
      <w:r w:rsidR="00B23F1B">
        <w:rPr>
          <w:i/>
        </w:rPr>
        <w:t xml:space="preserve">ante </w:t>
      </w:r>
      <w:r w:rsidR="00B23F1B">
        <w:t xml:space="preserve">and </w:t>
      </w:r>
      <w:r w:rsidR="00B23F1B">
        <w:rPr>
          <w:i/>
        </w:rPr>
        <w:t xml:space="preserve">ex </w:t>
      </w:r>
      <w:r w:rsidRPr="00DB0EA6">
        <w:rPr>
          <w:i/>
        </w:rPr>
        <w:t>post</w:t>
      </w:r>
      <w:r w:rsidRPr="00DB0EA6">
        <w:t xml:space="preserve"> impact assessments, as well as the inclusion of the free, prior, and informed consent principle. </w:t>
      </w:r>
    </w:p>
    <w:p w14:paraId="0511B05E" w14:textId="09B8F20E" w:rsidR="00425ED6" w:rsidRPr="00DB0EA6" w:rsidRDefault="00D16DD7" w:rsidP="00E27338">
      <w:pPr>
        <w:pStyle w:val="SingleTxtG"/>
        <w:numPr>
          <w:ilvl w:val="0"/>
          <w:numId w:val="13"/>
        </w:numPr>
        <w:ind w:left="1138" w:right="1138" w:firstLine="0"/>
      </w:pPr>
      <w:r>
        <w:t>D</w:t>
      </w:r>
      <w:r w:rsidR="00425ED6" w:rsidRPr="00DB0EA6">
        <w:t xml:space="preserve">elegations and NGOs highlighted the importance of prevention and welcomed a section dedicated to it in the </w:t>
      </w:r>
      <w:r w:rsidR="0077163B">
        <w:t>document</w:t>
      </w:r>
      <w:r w:rsidR="00425ED6" w:rsidRPr="00DB0EA6">
        <w:t>.  It was questioned whether, conceptually speaking, the elements in this section should be linked with the section on obligations as the provisions addressed the obligations of States and companies.  Some sought more precision in the</w:t>
      </w:r>
      <w:r w:rsidR="0077163B">
        <w:t xml:space="preserve"> wording of the</w:t>
      </w:r>
      <w:r w:rsidR="00425ED6" w:rsidRPr="00DB0EA6">
        <w:t xml:space="preserve"> provisions, wanting to know whether the terms “adequate” or “necessary measures” took proper account of differing capacities among States.</w:t>
      </w:r>
      <w:r w:rsidR="00DF506D" w:rsidRPr="00DB0EA6">
        <w:t xml:space="preserve">  One </w:t>
      </w:r>
      <w:r w:rsidR="00F22278">
        <w:t xml:space="preserve">business organization </w:t>
      </w:r>
      <w:r w:rsidR="00DF506D" w:rsidRPr="00DB0EA6">
        <w:t xml:space="preserve">expressed concern that the </w:t>
      </w:r>
      <w:r w:rsidR="000F1A0B">
        <w:t>language used reopened</w:t>
      </w:r>
      <w:r w:rsidR="00DF506D" w:rsidRPr="00DB0EA6">
        <w:t xml:space="preserve"> an issue that had been </w:t>
      </w:r>
      <w:r w:rsidR="00251B02" w:rsidRPr="00DB0EA6">
        <w:t>resolved</w:t>
      </w:r>
      <w:r w:rsidR="00DF506D" w:rsidRPr="00DB0EA6">
        <w:t xml:space="preserve"> in the UNGPs, potentially causing confusion and unintended consequences.</w:t>
      </w:r>
    </w:p>
    <w:p w14:paraId="2820EE39" w14:textId="7F8D95E8" w:rsidR="00DF506D" w:rsidRPr="00DB0EA6" w:rsidRDefault="00DF506D" w:rsidP="008E2ACE">
      <w:pPr>
        <w:pStyle w:val="SingleTxtG"/>
        <w:numPr>
          <w:ilvl w:val="0"/>
          <w:numId w:val="13"/>
        </w:numPr>
        <w:ind w:left="1138" w:right="1138" w:firstLine="0"/>
      </w:pPr>
      <w:r w:rsidRPr="00DB0EA6">
        <w:t>Delegations welcomed the provision requiring States to mandate companies to adopt and implement due diligence policies and processes.  It was suggested that this provision should ensure</w:t>
      </w:r>
      <w:r w:rsidR="00D16DD7">
        <w:t xml:space="preserve"> that</w:t>
      </w:r>
      <w:r w:rsidRPr="00DB0EA6">
        <w:t xml:space="preserve"> States implement uniform, minimum standards.  </w:t>
      </w:r>
      <w:r w:rsidR="0040768B" w:rsidRPr="00DB0EA6">
        <w:t xml:space="preserve">A delegation and several NGOs thought risk assessments under this provision should address environmental impacts.  </w:t>
      </w:r>
      <w:r w:rsidRPr="00DB0EA6">
        <w:t xml:space="preserve">Concern was expressed that </w:t>
      </w:r>
      <w:r w:rsidR="0040768B" w:rsidRPr="00DB0EA6">
        <w:t xml:space="preserve">since </w:t>
      </w:r>
      <w:r w:rsidRPr="00DB0EA6">
        <w:t>these measures were to apply to “all the TNCs and OBEs in [a State’s] territory or jurisdiction, including subsidiaries and all other related enterprises</w:t>
      </w:r>
      <w:r w:rsidR="0040768B" w:rsidRPr="00DB0EA6">
        <w:t xml:space="preserve"> throughout the supply chain,</w:t>
      </w:r>
      <w:r w:rsidRPr="00DB0EA6">
        <w:t>”</w:t>
      </w:r>
      <w:r w:rsidR="0040768B" w:rsidRPr="00DB0EA6">
        <w:t xml:space="preserve"> it would allow States to exercise extraterritorial jurisdiction improperly.  The Chair-Rapporteur clarified that the due diligence obligation was meant for the parent company domiciled in a State, and that </w:t>
      </w:r>
      <w:r w:rsidR="00BE18D7">
        <w:t xml:space="preserve">a </w:t>
      </w:r>
      <w:r w:rsidR="0040768B" w:rsidRPr="00DB0EA6">
        <w:t>company was to assess risks throughout its supply chain.</w:t>
      </w:r>
    </w:p>
    <w:p w14:paraId="630EB6FA" w14:textId="3212515E" w:rsidR="0040768B" w:rsidRPr="00DB0EA6" w:rsidRDefault="0040768B" w:rsidP="008E2ACE">
      <w:pPr>
        <w:pStyle w:val="SingleTxtG"/>
        <w:numPr>
          <w:ilvl w:val="0"/>
          <w:numId w:val="13"/>
        </w:numPr>
        <w:ind w:left="1138" w:right="1138" w:firstLine="0"/>
      </w:pPr>
      <w:r w:rsidRPr="00DB0EA6">
        <w:t xml:space="preserve">Concern was </w:t>
      </w:r>
      <w:r w:rsidR="00D16DD7">
        <w:t>expressed about</w:t>
      </w:r>
      <w:r w:rsidRPr="00DB0EA6">
        <w:t xml:space="preserve"> the provision requiring consultation processes, as </w:t>
      </w:r>
      <w:r w:rsidR="00B23F1B">
        <w:t xml:space="preserve">one delegation was </w:t>
      </w:r>
      <w:r w:rsidRPr="00DB0EA6">
        <w:t xml:space="preserve">unsure when this would be required and for what purpose.  Other </w:t>
      </w:r>
      <w:r w:rsidR="00BE18D7">
        <w:t>delegations</w:t>
      </w:r>
      <w:r w:rsidRPr="00DB0EA6">
        <w:t xml:space="preserve"> and several NGOs saw value in the provision.  </w:t>
      </w:r>
      <w:r w:rsidR="00B23F1B">
        <w:t xml:space="preserve">Some </w:t>
      </w:r>
      <w:r w:rsidR="002F05A0" w:rsidRPr="00DB0EA6">
        <w:t xml:space="preserve">NGOs </w:t>
      </w:r>
      <w:r w:rsidRPr="00DB0EA6">
        <w:t xml:space="preserve">suggested that this provision </w:t>
      </w:r>
      <w:r w:rsidR="00B23F1B">
        <w:t xml:space="preserve">should </w:t>
      </w:r>
      <w:r w:rsidRPr="00DB0EA6">
        <w:t xml:space="preserve">clearly require free, prior, and informed consent </w:t>
      </w:r>
      <w:r w:rsidR="002F05A0" w:rsidRPr="00DB0EA6">
        <w:t>of communities, in particular indigenous communities, when TNC projects threatened adverse human rights impacts.</w:t>
      </w:r>
    </w:p>
    <w:p w14:paraId="5B3F9261" w14:textId="247754B9" w:rsidR="002F05A0" w:rsidRPr="00DB0EA6" w:rsidRDefault="00B23F1B" w:rsidP="00E27338">
      <w:pPr>
        <w:pStyle w:val="SingleTxtG"/>
        <w:numPr>
          <w:ilvl w:val="0"/>
          <w:numId w:val="13"/>
        </w:numPr>
        <w:ind w:left="1138" w:right="1138" w:firstLine="0"/>
      </w:pPr>
      <w:r>
        <w:t xml:space="preserve">Concerning the </w:t>
      </w:r>
      <w:r w:rsidR="002F05A0" w:rsidRPr="00DB0EA6">
        <w:t>provision requiring dissemination of the instrument to everyone in a State’s territory in a language they can understand</w:t>
      </w:r>
      <w:r>
        <w:t>, s</w:t>
      </w:r>
      <w:r w:rsidR="002F05A0" w:rsidRPr="00DB0EA6">
        <w:t xml:space="preserve">ome delegations stressed the importance of the populace </w:t>
      </w:r>
      <w:r w:rsidR="00251B02" w:rsidRPr="00DB0EA6">
        <w:t xml:space="preserve">knowing </w:t>
      </w:r>
      <w:r w:rsidR="002F05A0" w:rsidRPr="00DB0EA6">
        <w:t>their rights; however, one delegation felt this provision interfered with States’ right to determine how to implement the instrument.</w:t>
      </w:r>
    </w:p>
    <w:p w14:paraId="32AD7B28" w14:textId="45C43267" w:rsidR="002F05A0" w:rsidRPr="00DB0EA6" w:rsidRDefault="002F05A0" w:rsidP="00E27338">
      <w:pPr>
        <w:pStyle w:val="SingleTxtG"/>
        <w:numPr>
          <w:ilvl w:val="0"/>
          <w:numId w:val="13"/>
        </w:numPr>
        <w:ind w:left="1138" w:right="1138" w:firstLine="0"/>
      </w:pPr>
      <w:r w:rsidRPr="00DB0EA6">
        <w:t>Some sought clarification on the provisions requiring per</w:t>
      </w:r>
      <w:r w:rsidR="00992B61" w:rsidRPr="00DB0EA6">
        <w:t>iodic reporting, with one NGO indicating that this provision would have no teeth without a</w:t>
      </w:r>
      <w:r w:rsidR="000556B0">
        <w:t>n enforcement</w:t>
      </w:r>
      <w:r w:rsidR="00992B61" w:rsidRPr="00DB0EA6">
        <w:t xml:space="preserve"> mechanism.</w:t>
      </w:r>
    </w:p>
    <w:p w14:paraId="05CCDA96" w14:textId="43CAEAE2" w:rsidR="00992B61" w:rsidRPr="00DB0EA6" w:rsidRDefault="000556B0" w:rsidP="00E27338">
      <w:pPr>
        <w:pStyle w:val="SingleTxtG"/>
        <w:numPr>
          <w:ilvl w:val="0"/>
          <w:numId w:val="13"/>
        </w:numPr>
        <w:ind w:left="1138" w:right="1138" w:firstLine="0"/>
      </w:pPr>
      <w:r>
        <w:t>S</w:t>
      </w:r>
      <w:r w:rsidR="00EC5B1D" w:rsidRPr="00DB0EA6">
        <w:t>ome delegations and NGOs suggested adding language</w:t>
      </w:r>
      <w:r>
        <w:t xml:space="preserve"> in this section</w:t>
      </w:r>
      <w:r w:rsidR="00EC5B1D" w:rsidRPr="00DB0EA6">
        <w:t xml:space="preserve"> </w:t>
      </w:r>
      <w:r w:rsidR="003555B0">
        <w:t>aimed at preventing the capture of public institutions by vested business interests</w:t>
      </w:r>
      <w:r w:rsidR="00EC5B1D" w:rsidRPr="00DB0EA6">
        <w:t xml:space="preserve">, and drew attention to article 5(3) of the WHO Framework Convention on Tobacco Control for guidance.  Additionally, </w:t>
      </w:r>
      <w:r w:rsidR="003555B0">
        <w:t xml:space="preserve">there was a call for the </w:t>
      </w:r>
      <w:r w:rsidR="00EC5B1D" w:rsidRPr="00DB0EA6">
        <w:t xml:space="preserve">section </w:t>
      </w:r>
      <w:r w:rsidR="003555B0">
        <w:t xml:space="preserve">to </w:t>
      </w:r>
      <w:r w:rsidR="00EC5B1D" w:rsidRPr="00DB0EA6">
        <w:t xml:space="preserve">include </w:t>
      </w:r>
      <w:r w:rsidR="003555B0">
        <w:t xml:space="preserve">enhanced due diligence </w:t>
      </w:r>
      <w:r>
        <w:t>for</w:t>
      </w:r>
      <w:r w:rsidR="003555B0">
        <w:t xml:space="preserve"> businesses operating in the context of armed conflict</w:t>
      </w:r>
      <w:r w:rsidR="00EC5B1D" w:rsidRPr="00DB0EA6">
        <w:t>.</w:t>
      </w:r>
    </w:p>
    <w:p w14:paraId="58E8F386" w14:textId="77777777" w:rsidR="00CE2983" w:rsidRPr="00DB0EA6" w:rsidRDefault="00CE2983" w:rsidP="006F5A72">
      <w:pPr>
        <w:pStyle w:val="H1G"/>
      </w:pPr>
      <w:r w:rsidRPr="00DB0EA6">
        <w:tab/>
      </w:r>
      <w:bookmarkStart w:id="40" w:name="_Toc471217416"/>
      <w:bookmarkStart w:id="41" w:name="_Toc496373813"/>
      <w:bookmarkStart w:id="42" w:name="_Toc497205719"/>
      <w:r w:rsidRPr="00DB0EA6">
        <w:t>E.</w:t>
      </w:r>
      <w:r w:rsidRPr="00DB0EA6">
        <w:tab/>
      </w:r>
      <w:bookmarkEnd w:id="40"/>
      <w:r w:rsidR="007B5E50" w:rsidRPr="00DB0EA6">
        <w:t>Subject 5: Legal liability</w:t>
      </w:r>
      <w:bookmarkEnd w:id="41"/>
      <w:bookmarkEnd w:id="42"/>
    </w:p>
    <w:p w14:paraId="4ABBF8AC" w14:textId="673BC287" w:rsidR="00B51807" w:rsidRPr="00DB0EA6" w:rsidRDefault="00FC2464" w:rsidP="00FC2464">
      <w:pPr>
        <w:pStyle w:val="SingleTxtG"/>
        <w:numPr>
          <w:ilvl w:val="0"/>
          <w:numId w:val="13"/>
        </w:numPr>
        <w:ind w:left="1138" w:right="1138" w:firstLine="0"/>
      </w:pPr>
      <w:r w:rsidRPr="00DB0EA6">
        <w:t xml:space="preserve">The first </w:t>
      </w:r>
      <w:r w:rsidR="001A1BD8" w:rsidRPr="00DB0EA6">
        <w:t>panellist</w:t>
      </w:r>
      <w:r w:rsidRPr="00DB0EA6">
        <w:t xml:space="preserve"> </w:t>
      </w:r>
      <w:r w:rsidR="00B51807" w:rsidRPr="00DB0EA6">
        <w:t xml:space="preserve">welcomed a section in the </w:t>
      </w:r>
      <w:r w:rsidR="00970C6C">
        <w:t>Elements Document</w:t>
      </w:r>
      <w:r w:rsidR="00B51807" w:rsidRPr="00DB0EA6">
        <w:t xml:space="preserve"> on legal liability, although he </w:t>
      </w:r>
      <w:r w:rsidR="00970C6C">
        <w:t>noted</w:t>
      </w:r>
      <w:r w:rsidR="00B51807" w:rsidRPr="00DB0EA6">
        <w:t xml:space="preserve"> that a “sue and damages” approach </w:t>
      </w:r>
      <w:r w:rsidR="00BE18D7">
        <w:t xml:space="preserve">should be complemented by </w:t>
      </w:r>
      <w:r w:rsidR="00B51807" w:rsidRPr="00DB0EA6">
        <w:t xml:space="preserve">prevention.  He emphasized that the instrument should cover environmental, health and safety, and workers’ rights, as well as corporate complicity in State violations.  Criminal liability will be hard to enforce given a range of pragmatic difficulties, including lack of motivation by regulators; thus, the focus should be on civil liability for multinational parent companies.  Several challenges arise in the civil context as well, particularly issues related to extraterritorial jurisdiction, </w:t>
      </w:r>
      <w:r w:rsidR="00B51807" w:rsidRPr="00DB0EA6">
        <w:rPr>
          <w:i/>
        </w:rPr>
        <w:t>forum non conveniens</w:t>
      </w:r>
      <w:r w:rsidR="00B51807" w:rsidRPr="00DB0EA6">
        <w:t xml:space="preserve">, lack of access to information, and legal assistance.  Unless these </w:t>
      </w:r>
      <w:r w:rsidR="00390C41">
        <w:t xml:space="preserve">challenges </w:t>
      </w:r>
      <w:r w:rsidR="00B51807" w:rsidRPr="00DB0EA6">
        <w:t xml:space="preserve">are resolved, </w:t>
      </w:r>
      <w:r w:rsidR="001A1E3E" w:rsidRPr="00DB0EA6">
        <w:t>it will remain difficult for victims to obtain redress.</w:t>
      </w:r>
    </w:p>
    <w:p w14:paraId="5439E7C4" w14:textId="57C17B92" w:rsidR="001A1E3E" w:rsidRPr="00DB0EA6" w:rsidRDefault="001A1E3E" w:rsidP="001A1E3E">
      <w:pPr>
        <w:pStyle w:val="SingleTxtG"/>
        <w:numPr>
          <w:ilvl w:val="0"/>
          <w:numId w:val="13"/>
        </w:numPr>
        <w:ind w:left="1138" w:right="1138" w:firstLine="0"/>
      </w:pPr>
      <w:r w:rsidRPr="00DB0EA6">
        <w:t xml:space="preserve">The second </w:t>
      </w:r>
      <w:r w:rsidR="001A1BD8" w:rsidRPr="00DB0EA6">
        <w:t>panellist</w:t>
      </w:r>
      <w:r w:rsidRPr="00DB0EA6">
        <w:t xml:space="preserve"> noted the comprehensive nature of the provisions on legal liability and recognized how they could be relevant in a variety of legal systems.  Focusing his remarks on criminal legal liability, the </w:t>
      </w:r>
      <w:r w:rsidR="001A1BD8" w:rsidRPr="00DB0EA6">
        <w:t>panellist</w:t>
      </w:r>
      <w:r w:rsidRPr="00DB0EA6">
        <w:t xml:space="preserve"> described increasing recognition at the international and regional levels of criminal liability of legal entities and their agents.  Specifically, he recalled the Optional Protocol to the Convention on the Rights of the Child on the sale of children, child prostitution and child pornography; </w:t>
      </w:r>
      <w:r w:rsidR="008E2ACE" w:rsidRPr="00DB0EA6">
        <w:t xml:space="preserve">the Draft Protocol on Amendments to the Protocol on the Statute of the African Court of Justice; and Council of Europe Recommendation CM/Rec (2016)3 on human rights and business. </w:t>
      </w:r>
      <w:r w:rsidR="004F1E8E">
        <w:t>H</w:t>
      </w:r>
      <w:r w:rsidR="008E2ACE" w:rsidRPr="00DB0EA6">
        <w:t xml:space="preserve">e stressed the necessity of </w:t>
      </w:r>
      <w:r w:rsidR="004F1E8E">
        <w:t xml:space="preserve">criminal </w:t>
      </w:r>
      <w:r w:rsidR="008E2ACE" w:rsidRPr="00DB0EA6">
        <w:t>liability to serve as a deterrent, better protect individuals and communities’ rights, and provide access to justice for victims.</w:t>
      </w:r>
    </w:p>
    <w:p w14:paraId="0EDF8027" w14:textId="799B6B4D" w:rsidR="008E2ACE" w:rsidRPr="00DB0EA6" w:rsidRDefault="008E2ACE" w:rsidP="008E2ACE">
      <w:pPr>
        <w:pStyle w:val="SingleTxtG"/>
        <w:numPr>
          <w:ilvl w:val="0"/>
          <w:numId w:val="13"/>
        </w:numPr>
        <w:ind w:left="1138" w:right="1138" w:firstLine="0"/>
      </w:pPr>
      <w:r w:rsidRPr="00DB0EA6">
        <w:rPr>
          <w:rFonts w:eastAsia="Times New Roman"/>
          <w:bCs/>
          <w:color w:val="000000"/>
        </w:rPr>
        <w:t xml:space="preserve">The third </w:t>
      </w:r>
      <w:r w:rsidR="001A1BD8" w:rsidRPr="00DB0EA6">
        <w:rPr>
          <w:rFonts w:eastAsia="Times New Roman"/>
          <w:bCs/>
          <w:color w:val="000000"/>
        </w:rPr>
        <w:t>panellist</w:t>
      </w:r>
      <w:r w:rsidRPr="00DB0EA6">
        <w:rPr>
          <w:rFonts w:eastAsia="Times New Roman"/>
          <w:bCs/>
          <w:color w:val="000000"/>
        </w:rPr>
        <w:t xml:space="preserve"> appreciated that the elements called for the adoption of legal measures on the national level and </w:t>
      </w:r>
      <w:r w:rsidR="00970C6C">
        <w:rPr>
          <w:rFonts w:eastAsia="Times New Roman"/>
          <w:bCs/>
          <w:color w:val="000000"/>
        </w:rPr>
        <w:t>recognized differences in national</w:t>
      </w:r>
      <w:r w:rsidRPr="00DB0EA6">
        <w:rPr>
          <w:rFonts w:eastAsia="Times New Roman"/>
          <w:bCs/>
          <w:color w:val="000000"/>
        </w:rPr>
        <w:t xml:space="preserve"> legal systems.  Additionally, he welcomed the inclusion of a provision ensuring that civil liability should not be made contingent upon a finding of criminal liability.  The panellist cautioned against including provisions that mandate specific legal actions, as this could be contrary to certain legal systems and counterproductive to the goals of the instrument.  He further suggested that the provision discussing due diligence procedures should be placed in a different section.</w:t>
      </w:r>
    </w:p>
    <w:p w14:paraId="70F83E24" w14:textId="7F275B6C" w:rsidR="00CE2983" w:rsidRDefault="001C34A9" w:rsidP="008E2ACE">
      <w:pPr>
        <w:pStyle w:val="SingleTxtG"/>
        <w:numPr>
          <w:ilvl w:val="0"/>
          <w:numId w:val="13"/>
        </w:numPr>
        <w:ind w:left="1138" w:right="1138" w:firstLine="0"/>
      </w:pPr>
      <w:r>
        <w:t xml:space="preserve">Delegations signalled their approval for including a section on legal liability, although some suggested this section should be </w:t>
      </w:r>
      <w:r w:rsidR="004564E8">
        <w:t xml:space="preserve">clearer and </w:t>
      </w:r>
      <w:r>
        <w:t xml:space="preserve">more concise.  </w:t>
      </w:r>
      <w:r w:rsidR="00953E21">
        <w:t xml:space="preserve">Some recognized legal liability could also encompass natural persons.  </w:t>
      </w:r>
      <w:r>
        <w:t xml:space="preserve">Most </w:t>
      </w:r>
      <w:r w:rsidR="00305B2C">
        <w:t>delegations</w:t>
      </w:r>
      <w:r>
        <w:t xml:space="preserve"> and NGOs agreed that criminal, civil, and administrative liability should attach to legal entities</w:t>
      </w:r>
      <w:r w:rsidR="004564E8">
        <w:t xml:space="preserve">, and some delegations shared national laws that imposed these types of liability on companies.  It was noted that the different types of liability were complementary; however, some delegations were concerned at the lack of differentiation between them.  In their view, </w:t>
      </w:r>
      <w:r w:rsidR="00970C6C">
        <w:t xml:space="preserve">differentiated </w:t>
      </w:r>
      <w:r w:rsidR="004564E8">
        <w:t xml:space="preserve">language was needed </w:t>
      </w:r>
      <w:r w:rsidR="00970C6C">
        <w:t xml:space="preserve">to reflect </w:t>
      </w:r>
      <w:r w:rsidR="004564E8">
        <w:t xml:space="preserve">whether a provision referred to criminal, civil, or administrative liability.  </w:t>
      </w:r>
      <w:r w:rsidR="004E4A2B">
        <w:t>Furthermore</w:t>
      </w:r>
      <w:r w:rsidR="004564E8">
        <w:t>, it was noted that some legal systems do not allow for the imposition of criminal liability on legal entities; thus, provisions requiring such liability</w:t>
      </w:r>
      <w:r w:rsidR="000556B0">
        <w:t xml:space="preserve"> would be inappropriate</w:t>
      </w:r>
      <w:r w:rsidR="004564E8">
        <w:t>.  States should have the flexibility to choose how best to incorporate the treaty into domestic law.</w:t>
      </w:r>
      <w:r w:rsidR="004E4A2B">
        <w:t xml:space="preserve">  Concerns were also raised about the appropriateness of imposing international obligations on legal entities.</w:t>
      </w:r>
    </w:p>
    <w:p w14:paraId="52F1E39D" w14:textId="6462BF7F" w:rsidR="004E4A2B" w:rsidRPr="004C446B" w:rsidRDefault="004E4A2B" w:rsidP="004C446B">
      <w:pPr>
        <w:pStyle w:val="SingleTxtG"/>
        <w:numPr>
          <w:ilvl w:val="0"/>
          <w:numId w:val="13"/>
        </w:numPr>
        <w:ind w:left="1138" w:right="1138" w:firstLine="0"/>
      </w:pPr>
      <w:r>
        <w:t xml:space="preserve">Some delegations called for greater detail </w:t>
      </w:r>
      <w:r w:rsidR="000556B0">
        <w:t xml:space="preserve">and clear, minimum standards </w:t>
      </w:r>
      <w:r>
        <w:t>regarding the measures States must take to establish the different forms of legal liability in their jurisdictions.  Others appreciated the flexibility provided for in the elements</w:t>
      </w:r>
      <w:r w:rsidR="000556B0">
        <w:t>, allowing</w:t>
      </w:r>
      <w:r w:rsidR="004C446B" w:rsidRPr="004C446B">
        <w:t xml:space="preserve"> States to adopt their own legal measures in accordance with their national systems.</w:t>
      </w:r>
    </w:p>
    <w:p w14:paraId="092144EB" w14:textId="2404BB13" w:rsidR="004E4A2B" w:rsidRDefault="004E4A2B" w:rsidP="008E2ACE">
      <w:pPr>
        <w:pStyle w:val="SingleTxtG"/>
        <w:numPr>
          <w:ilvl w:val="0"/>
          <w:numId w:val="13"/>
        </w:numPr>
        <w:ind w:left="1138" w:right="1138" w:firstLine="0"/>
      </w:pPr>
      <w:r>
        <w:t>It was</w:t>
      </w:r>
      <w:r w:rsidR="0016734A">
        <w:t xml:space="preserve"> noted</w:t>
      </w:r>
      <w:r>
        <w:t xml:space="preserve"> that the two provisions dealing with the commission and attempt of criminal offenses were unnecessary given the general provision in the section covering civil, criminal, and administrative offenses.  </w:t>
      </w:r>
      <w:r w:rsidR="00586217">
        <w:t>It wa</w:t>
      </w:r>
      <w:r w:rsidR="000556B0">
        <w:t>s also questioned why</w:t>
      </w:r>
      <w:r w:rsidR="00586217">
        <w:t xml:space="preserve"> “international applicable human rights instruments” was used in these sections when other sections used different terminology.</w:t>
      </w:r>
    </w:p>
    <w:p w14:paraId="7E9C2EBA" w14:textId="63F61372" w:rsidR="00586217" w:rsidRDefault="00586217" w:rsidP="008E2ACE">
      <w:pPr>
        <w:pStyle w:val="SingleTxtG"/>
        <w:numPr>
          <w:ilvl w:val="0"/>
          <w:numId w:val="13"/>
        </w:numPr>
        <w:ind w:left="1138" w:right="1138" w:firstLine="0"/>
      </w:pPr>
      <w:r>
        <w:t>Clarification was sought as to the meaning of the provision establishing civil liability for companies for participating in the “planning, preparation, direction of or benefit from human rights violations” caused by other companies</w:t>
      </w:r>
      <w:r w:rsidR="004C446B">
        <w:t>, with one delegation suggesting this should cover indirect benefits as well</w:t>
      </w:r>
      <w:r>
        <w:t>.  Similarly, some delegations called for more precision as to the contours of the provisions dealing with immunities, State responsibility for the actions of companies under their control, and complicity.  Regarding</w:t>
      </w:r>
      <w:r w:rsidR="0016734A">
        <w:t xml:space="preserve"> the issue of</w:t>
      </w:r>
      <w:r>
        <w:t xml:space="preserve"> complicity, it was queried whether States would become automatically responsible for any harm committed by a company.</w:t>
      </w:r>
    </w:p>
    <w:p w14:paraId="0A756034" w14:textId="33FBBFBB" w:rsidR="004C446B" w:rsidRDefault="004C446B" w:rsidP="008E2ACE">
      <w:pPr>
        <w:pStyle w:val="SingleTxtG"/>
        <w:numPr>
          <w:ilvl w:val="0"/>
          <w:numId w:val="13"/>
        </w:numPr>
        <w:ind w:left="1138" w:right="1138" w:firstLine="0"/>
      </w:pPr>
      <w:r>
        <w:t>One delegation also considered that the provision promoting decent work in supply chains fell outside the scope of the mandate given by resolution 26/9.</w:t>
      </w:r>
    </w:p>
    <w:p w14:paraId="5BF7306A" w14:textId="1F3A18B1" w:rsidR="004C446B" w:rsidRPr="00DB0EA6" w:rsidRDefault="004C446B" w:rsidP="008E2ACE">
      <w:pPr>
        <w:pStyle w:val="SingleTxtG"/>
        <w:numPr>
          <w:ilvl w:val="0"/>
          <w:numId w:val="13"/>
        </w:numPr>
        <w:ind w:left="1138" w:right="1138" w:firstLine="0"/>
      </w:pPr>
      <w:r>
        <w:t>It was suggested that language should be added to</w:t>
      </w:r>
      <w:r w:rsidR="00E431DA">
        <w:t xml:space="preserve"> the section to</w:t>
      </w:r>
      <w:r>
        <w:t xml:space="preserve"> address parent company liability.  Additionally, an NGO </w:t>
      </w:r>
      <w:r w:rsidR="00E431DA">
        <w:t xml:space="preserve">suggested that </w:t>
      </w:r>
      <w:r>
        <w:t>international crimes should be included in the section.</w:t>
      </w:r>
    </w:p>
    <w:p w14:paraId="7E74DCE4" w14:textId="77777777" w:rsidR="00C9108C" w:rsidRPr="00DB0EA6" w:rsidRDefault="00CE2983" w:rsidP="00C9108C">
      <w:pPr>
        <w:pStyle w:val="H1G"/>
      </w:pPr>
      <w:r w:rsidRPr="00DB0EA6">
        <w:tab/>
      </w:r>
      <w:bookmarkStart w:id="43" w:name="_Toc471217417"/>
      <w:bookmarkStart w:id="44" w:name="_Toc496373814"/>
      <w:bookmarkStart w:id="45" w:name="_Toc497205720"/>
      <w:r w:rsidRPr="00DB0EA6">
        <w:t>F.</w:t>
      </w:r>
      <w:r w:rsidRPr="00DB0EA6">
        <w:tab/>
      </w:r>
      <w:bookmarkEnd w:id="43"/>
      <w:r w:rsidR="00FD3DAC" w:rsidRPr="00DB0EA6">
        <w:t>Subject 6: Access to justice, effective remedy and guarantees of non-repetition</w:t>
      </w:r>
      <w:bookmarkEnd w:id="44"/>
      <w:bookmarkEnd w:id="45"/>
    </w:p>
    <w:p w14:paraId="411EB454" w14:textId="1D9D11B1" w:rsidR="00A637B4" w:rsidRPr="00DB0EA6" w:rsidRDefault="00A637B4" w:rsidP="00E32A27">
      <w:pPr>
        <w:pStyle w:val="SingleTxtG"/>
        <w:numPr>
          <w:ilvl w:val="0"/>
          <w:numId w:val="13"/>
        </w:numPr>
        <w:ind w:left="1138" w:right="1138" w:firstLine="0"/>
      </w:pPr>
      <w:r w:rsidRPr="00DB0EA6">
        <w:t xml:space="preserve">The first </w:t>
      </w:r>
      <w:r w:rsidR="001A1BD8" w:rsidRPr="00DB0EA6">
        <w:t>panellist</w:t>
      </w:r>
      <w:r w:rsidRPr="00DB0EA6">
        <w:t xml:space="preserve"> noted that </w:t>
      </w:r>
      <w:r w:rsidR="00102AA3">
        <w:t xml:space="preserve">a binding </w:t>
      </w:r>
      <w:r w:rsidRPr="00DB0EA6">
        <w:t xml:space="preserve">instrument must build on and complement existing international standards, such as the UNGPs.  Certain ambiguities exist in the </w:t>
      </w:r>
      <w:r w:rsidR="00970C6C">
        <w:t>Elements Document</w:t>
      </w:r>
      <w:r w:rsidRPr="00DB0EA6">
        <w:t>, and he hoped that these would be resolved as negotiations progressed.  Regarding access to remedy, the panellist discussed the importance of national action plans in facilitating victims’ access to justice.  The remedy process should be sensitive to the experiences of different groups of rights-holders, requiring consideration of the gender dimension</w:t>
      </w:r>
      <w:r w:rsidR="000556B0">
        <w:t xml:space="preserve"> and preventing victimization of r</w:t>
      </w:r>
      <w:r w:rsidRPr="00DB0EA6">
        <w:t xml:space="preserve">ights-holders and human rights defenders seeking remedies. Furthermore, rights-holders must be able to seek, obtain, and enforce different types of remedies.  </w:t>
      </w:r>
    </w:p>
    <w:p w14:paraId="7892E239" w14:textId="172AC7CC" w:rsidR="00A637B4" w:rsidRPr="00DB0EA6" w:rsidRDefault="00A637B4" w:rsidP="00A637B4">
      <w:pPr>
        <w:pStyle w:val="SingleTxtG"/>
        <w:numPr>
          <w:ilvl w:val="0"/>
          <w:numId w:val="13"/>
        </w:numPr>
        <w:ind w:left="1138" w:right="1138" w:firstLine="0"/>
      </w:pPr>
      <w:r w:rsidRPr="00DB0EA6">
        <w:t xml:space="preserve">The second </w:t>
      </w:r>
      <w:r w:rsidR="001A1BD8" w:rsidRPr="00DB0EA6">
        <w:t>panellist</w:t>
      </w:r>
      <w:r w:rsidR="00390C41">
        <w:t xml:space="preserve"> stated</w:t>
      </w:r>
      <w:r w:rsidR="00426439" w:rsidRPr="00DB0EA6">
        <w:t xml:space="preserve"> </w:t>
      </w:r>
      <w:r w:rsidRPr="00DB0EA6">
        <w:t xml:space="preserve">that there </w:t>
      </w:r>
      <w:r w:rsidR="00E75ABC">
        <w:t xml:space="preserve">is a </w:t>
      </w:r>
      <w:r w:rsidRPr="00DB0EA6">
        <w:t>clear legal basis</w:t>
      </w:r>
      <w:r w:rsidR="00426439" w:rsidRPr="00DB0EA6">
        <w:t xml:space="preserve"> to</w:t>
      </w:r>
      <w:r w:rsidR="000556B0">
        <w:t xml:space="preserve"> establish liability, </w:t>
      </w:r>
      <w:r w:rsidR="00E75ABC">
        <w:t xml:space="preserve">in the </w:t>
      </w:r>
      <w:r w:rsidR="000556B0">
        <w:t xml:space="preserve">and </w:t>
      </w:r>
      <w:r w:rsidR="00426439" w:rsidRPr="00DB0EA6">
        <w:t>the elements could be made clearer</w:t>
      </w:r>
      <w:r w:rsidR="000556B0">
        <w:t xml:space="preserve"> on this</w:t>
      </w:r>
      <w:r w:rsidRPr="00DB0EA6">
        <w:t xml:space="preserve">. </w:t>
      </w:r>
      <w:r w:rsidR="00426439" w:rsidRPr="00DB0EA6">
        <w:t xml:space="preserve"> </w:t>
      </w:r>
      <w:r w:rsidR="000556B0" w:rsidRPr="00DB0EA6">
        <w:t>He also</w:t>
      </w:r>
      <w:r w:rsidR="000556B0">
        <w:t xml:space="preserve"> welcomed the provision on legal aid</w:t>
      </w:r>
      <w:r w:rsidR="00426439" w:rsidRPr="00DB0EA6">
        <w:t xml:space="preserve">. </w:t>
      </w:r>
      <w:r w:rsidRPr="00DB0EA6">
        <w:t xml:space="preserve"> In order to strengthen this </w:t>
      </w:r>
      <w:r w:rsidR="00970C6C">
        <w:t>provision</w:t>
      </w:r>
      <w:r w:rsidRPr="00DB0EA6">
        <w:t xml:space="preserve">, he suggested that an online resource could be established which would provide information to victims, such as the relevant law and the applicable burden of proof, and which would link victims to NGOs and lawyers willing to help. </w:t>
      </w:r>
      <w:r w:rsidR="00426439" w:rsidRPr="00DB0EA6">
        <w:t xml:space="preserve">Additionally, the </w:t>
      </w:r>
      <w:r w:rsidR="001A1BD8" w:rsidRPr="00DB0EA6">
        <w:t>panellist</w:t>
      </w:r>
      <w:r w:rsidR="00426439" w:rsidRPr="00DB0EA6">
        <w:t xml:space="preserve"> noted the importance of recognition and enforcement of judgments</w:t>
      </w:r>
    </w:p>
    <w:p w14:paraId="28D66A7F" w14:textId="76C020EA" w:rsidR="001A1BD8" w:rsidRDefault="00426439" w:rsidP="00E32A27">
      <w:pPr>
        <w:pStyle w:val="SingleTxtG"/>
        <w:numPr>
          <w:ilvl w:val="0"/>
          <w:numId w:val="13"/>
        </w:numPr>
        <w:ind w:left="1138" w:right="1138" w:firstLine="0"/>
      </w:pPr>
      <w:r w:rsidRPr="00DB0EA6">
        <w:t xml:space="preserve">The third panellist </w:t>
      </w:r>
      <w:r w:rsidR="001A1BD8">
        <w:t xml:space="preserve">discussed </w:t>
      </w:r>
      <w:r w:rsidR="00390C41">
        <w:t xml:space="preserve">how important it </w:t>
      </w:r>
      <w:r w:rsidR="00E75ABC">
        <w:t xml:space="preserve">would be </w:t>
      </w:r>
      <w:r w:rsidR="00390C41">
        <w:t xml:space="preserve">was for </w:t>
      </w:r>
      <w:r w:rsidR="001A1BD8">
        <w:t>victims</w:t>
      </w:r>
      <w:r w:rsidR="00390C41">
        <w:t xml:space="preserve"> to have </w:t>
      </w:r>
      <w:r w:rsidR="001A1BD8">
        <w:t xml:space="preserve">access to </w:t>
      </w:r>
      <w:r w:rsidR="00970C6C">
        <w:t>courts in the home States of TNCs</w:t>
      </w:r>
      <w:r w:rsidR="001A1BD8">
        <w:t xml:space="preserve"> without experiencing delays caused by jurisdictional challenges.  To better confront problems such as piercing the corporate veil, he recommended reversing the burden of proof and improving victims’ access to disclosure.  He also suggested that damages should be calculated based on home State calculations, called for the abolishment of the “loser pays” principle, and hoped </w:t>
      </w:r>
      <w:r w:rsidR="00390C41">
        <w:t>for proper cost recovery mechanisms to encourage legal representation.</w:t>
      </w:r>
    </w:p>
    <w:p w14:paraId="65149CE4" w14:textId="04A6D377" w:rsidR="006012E2" w:rsidRPr="001A4F7C" w:rsidRDefault="00102AA3" w:rsidP="006012E2">
      <w:pPr>
        <w:pStyle w:val="SingleTxtG"/>
        <w:numPr>
          <w:ilvl w:val="0"/>
          <w:numId w:val="13"/>
        </w:numPr>
        <w:ind w:left="1138" w:right="1138" w:firstLine="0"/>
      </w:pPr>
      <w:r>
        <w:t>D</w:t>
      </w:r>
      <w:r w:rsidR="006012E2">
        <w:t>elegations and NGOs welcomed the inclusion of this section</w:t>
      </w:r>
      <w:r>
        <w:t xml:space="preserve"> in the </w:t>
      </w:r>
      <w:r w:rsidR="00970C6C">
        <w:t>document</w:t>
      </w:r>
      <w:r w:rsidR="006012E2">
        <w:t>, noting that it was crucial to address gaps in legal protection and</w:t>
      </w:r>
      <w:r>
        <w:t xml:space="preserve"> that doing so would constitute important</w:t>
      </w:r>
      <w:r w:rsidR="006012E2">
        <w:t xml:space="preserve"> added value of a future instrument.  In particular, efforts to remove practical and legal barriers to effective access to justice</w:t>
      </w:r>
      <w:r w:rsidR="000556B0">
        <w:t xml:space="preserve"> were appreciated</w:t>
      </w:r>
      <w:r w:rsidR="006012E2">
        <w:t xml:space="preserve">; however, some NGOs warned that by listing specific barriers, it could be read as excluding </w:t>
      </w:r>
      <w:r w:rsidR="000556B0">
        <w:t>others</w:t>
      </w:r>
      <w:r w:rsidR="006012E2">
        <w:t xml:space="preserve"> not mentioned.  It was suggested that the section should clearly state the right of everyone to have access to remedy regardless of the perpetrator, borrowing language from the UN </w:t>
      </w:r>
      <w:r w:rsidR="006012E2" w:rsidRPr="001A4F7C">
        <w:rPr>
          <w:lang w:val="en-US"/>
        </w:rPr>
        <w:t>Basic Principles and Guidelines on the Right to a Remedy and Reparation for Victims of Gross Violations of International Human Rights Law and Serious Violations of International Humanitarian Law</w:t>
      </w:r>
      <w:r w:rsidR="006012E2">
        <w:rPr>
          <w:lang w:val="en-US"/>
        </w:rPr>
        <w:t>.</w:t>
      </w:r>
    </w:p>
    <w:p w14:paraId="62D3CA97" w14:textId="5F3FA63D" w:rsidR="006012E2" w:rsidRPr="003A10D0" w:rsidRDefault="00953E21" w:rsidP="006012E2">
      <w:pPr>
        <w:pStyle w:val="SingleTxtG"/>
        <w:numPr>
          <w:ilvl w:val="0"/>
          <w:numId w:val="13"/>
        </w:numPr>
        <w:ind w:left="1138" w:right="1138" w:firstLine="0"/>
      </w:pPr>
      <w:r>
        <w:rPr>
          <w:lang w:val="en-US"/>
        </w:rPr>
        <w:t xml:space="preserve">The EU </w:t>
      </w:r>
      <w:r w:rsidR="006012E2">
        <w:rPr>
          <w:lang w:val="en-US"/>
        </w:rPr>
        <w:t>expressed approval of the wording of the chapeau of the section but questioned whether the provisions mostly restated existing obligations.  Another delegation suggested the complete removal of the section, arguing that a more holistic approach was warranted and that the current approach would force States to adopt a system that could be inappropriate in local circumstances.  A</w:t>
      </w:r>
      <w:r w:rsidR="0062283F">
        <w:rPr>
          <w:lang w:val="en-US"/>
        </w:rPr>
        <w:t xml:space="preserve"> business organization</w:t>
      </w:r>
      <w:r w:rsidR="006012E2">
        <w:rPr>
          <w:lang w:val="en-US"/>
        </w:rPr>
        <w:t xml:space="preserve"> noted that the root problem regarding access to justice was a lack of the rule of law, and the instrument would need to find ways of incentivizing States to implement existing obligations.</w:t>
      </w:r>
    </w:p>
    <w:p w14:paraId="720FF50B" w14:textId="17B27622" w:rsidR="006012E2" w:rsidRPr="00BE2D38" w:rsidRDefault="006012E2" w:rsidP="006012E2">
      <w:pPr>
        <w:pStyle w:val="SingleTxtG"/>
        <w:numPr>
          <w:ilvl w:val="0"/>
          <w:numId w:val="13"/>
        </w:numPr>
        <w:ind w:left="1138" w:right="1138" w:firstLine="0"/>
      </w:pPr>
      <w:r>
        <w:rPr>
          <w:lang w:val="en-US"/>
        </w:rPr>
        <w:t>States and many NGOs appreciated the inclusion of a provision emphasizing the need for access to justice for vulnerable groups; however, it was suggested that more empowering and positive language should be employed.  An NGO also suggested that language from the UN Declaration on the Rights of Indigenous Peoples should be included, in particular to recognize the different legal systems and customs of certain communities.  One delegation was concerned that specific groups were being recognized at all, indicating that there would be unfair and special treatment for those listed.  A panel</w:t>
      </w:r>
      <w:r w:rsidR="001B7645">
        <w:rPr>
          <w:lang w:val="en-US"/>
        </w:rPr>
        <w:t>l</w:t>
      </w:r>
      <w:r>
        <w:rPr>
          <w:lang w:val="en-US"/>
        </w:rPr>
        <w:t>ist disagreed, arguing that fairness dictated that different groups be treated differently.</w:t>
      </w:r>
    </w:p>
    <w:p w14:paraId="6938A04E" w14:textId="2643A253" w:rsidR="006012E2" w:rsidRPr="00E56A93" w:rsidRDefault="006012E2" w:rsidP="006012E2">
      <w:pPr>
        <w:pStyle w:val="SingleTxtG"/>
        <w:numPr>
          <w:ilvl w:val="0"/>
          <w:numId w:val="13"/>
        </w:numPr>
        <w:ind w:left="1138" w:right="1138" w:firstLine="0"/>
      </w:pPr>
      <w:r>
        <w:t>Clarification was</w:t>
      </w:r>
      <w:r w:rsidR="00CB304B">
        <w:t xml:space="preserve"> requested</w:t>
      </w:r>
      <w:r>
        <w:t xml:space="preserve"> regarding the provision </w:t>
      </w:r>
      <w:r w:rsidR="00CB304B">
        <w:t>concerning</w:t>
      </w:r>
      <w:r>
        <w:t xml:space="preserve"> non-judicial mechanisms not be</w:t>
      </w:r>
      <w:r w:rsidR="00CB304B">
        <w:t>ing</w:t>
      </w:r>
      <w:r>
        <w:t xml:space="preserve"> a substitute for judicial mechanisms.  It was mentioned that recourse to non-judicial mechanisms could be in the interest of victims, as they are sometimes faster and more appropriate.  One panellist agreed that non-judicial mechanisms have a role to play, but argued they are complementary, noting that judicial mechanisms should always be available.</w:t>
      </w:r>
    </w:p>
    <w:p w14:paraId="3C6AAD2C" w14:textId="0EB82B68" w:rsidR="006012E2" w:rsidRDefault="006012E2" w:rsidP="006012E2">
      <w:pPr>
        <w:pStyle w:val="SingleTxtG"/>
        <w:numPr>
          <w:ilvl w:val="0"/>
          <w:numId w:val="13"/>
        </w:numPr>
        <w:ind w:left="1138" w:right="1138" w:firstLine="0"/>
      </w:pPr>
      <w:r>
        <w:rPr>
          <w:lang w:val="en-US"/>
        </w:rPr>
        <w:t>Organizations appreciated the provision on reducing regulatory, procedural and financial obstacles</w:t>
      </w:r>
      <w:r w:rsidR="00CB304B">
        <w:rPr>
          <w:lang w:val="en-US"/>
        </w:rPr>
        <w:t xml:space="preserve"> in access to remedy</w:t>
      </w:r>
      <w:r>
        <w:rPr>
          <w:lang w:val="en-US"/>
        </w:rPr>
        <w:t xml:space="preserve">, in particular mentioning the importance of ensuring class actions, access to information, and limiting </w:t>
      </w:r>
      <w:r>
        <w:rPr>
          <w:i/>
          <w:lang w:val="en-US"/>
        </w:rPr>
        <w:t>forum non conveniens</w:t>
      </w:r>
      <w:r>
        <w:rPr>
          <w:lang w:val="en-US"/>
        </w:rPr>
        <w:t xml:space="preserve">.  Many welcomed </w:t>
      </w:r>
      <w:r w:rsidR="00CB304B">
        <w:rPr>
          <w:lang w:val="en-US"/>
        </w:rPr>
        <w:t>inclusion of a provision concerning the reversal of</w:t>
      </w:r>
      <w:r>
        <w:rPr>
          <w:lang w:val="en-US"/>
        </w:rPr>
        <w:t xml:space="preserve"> the burden of proof; however, one </w:t>
      </w:r>
      <w:r w:rsidR="0062283F">
        <w:rPr>
          <w:lang w:val="en-US"/>
        </w:rPr>
        <w:t xml:space="preserve">business organization </w:t>
      </w:r>
      <w:r>
        <w:rPr>
          <w:lang w:val="en-US"/>
        </w:rPr>
        <w:t>argued this</w:t>
      </w:r>
      <w:r w:rsidR="00CB304B">
        <w:rPr>
          <w:lang w:val="en-US"/>
        </w:rPr>
        <w:t xml:space="preserve"> provision</w:t>
      </w:r>
      <w:r>
        <w:rPr>
          <w:lang w:val="en-US"/>
        </w:rPr>
        <w:t xml:space="preserve"> would upset a fair balance between parties and potentially violate due process.  </w:t>
      </w:r>
      <w:r w:rsidR="00CB304B">
        <w:rPr>
          <w:lang w:val="en-US"/>
        </w:rPr>
        <w:t>P</w:t>
      </w:r>
      <w:r>
        <w:rPr>
          <w:lang w:val="en-US"/>
        </w:rPr>
        <w:t>ane</w:t>
      </w:r>
      <w:r w:rsidR="001B7645">
        <w:rPr>
          <w:lang w:val="en-US"/>
        </w:rPr>
        <w:t>l</w:t>
      </w:r>
      <w:bookmarkStart w:id="46" w:name="_GoBack"/>
      <w:bookmarkEnd w:id="46"/>
      <w:r>
        <w:rPr>
          <w:lang w:val="en-US"/>
        </w:rPr>
        <w:t xml:space="preserve">lists disagreed, noting that, in some cases, raising a displaceable presumption would be appropriate, and that reversing the burden of proof </w:t>
      </w:r>
      <w:r w:rsidR="00B20797">
        <w:rPr>
          <w:lang w:val="en-US"/>
        </w:rPr>
        <w:t>exists</w:t>
      </w:r>
      <w:r>
        <w:rPr>
          <w:lang w:val="en-US"/>
        </w:rPr>
        <w:t xml:space="preserve"> in some domestic systems.</w:t>
      </w:r>
    </w:p>
    <w:p w14:paraId="63824CD8" w14:textId="1C034885" w:rsidR="006012E2" w:rsidRDefault="006012E2" w:rsidP="006012E2">
      <w:pPr>
        <w:pStyle w:val="SingleTxtG"/>
        <w:numPr>
          <w:ilvl w:val="0"/>
          <w:numId w:val="13"/>
        </w:numPr>
        <w:ind w:left="1138" w:right="1138" w:firstLine="0"/>
      </w:pPr>
      <w:r>
        <w:t xml:space="preserve">Several delegations and NGOs welcomed a provision </w:t>
      </w:r>
      <w:r w:rsidR="00CB304B">
        <w:t>addressing the need to guarantee</w:t>
      </w:r>
      <w:r>
        <w:t xml:space="preserve"> the security of victims, witnesses, and human rights defenders, although it was questioned whether th</w:t>
      </w:r>
      <w:r w:rsidR="00CB304B">
        <w:t>e</w:t>
      </w:r>
      <w:r>
        <w:t xml:space="preserve"> provision went beyond what States are already obliged to do.  NGOs thought the provision could be stronger by </w:t>
      </w:r>
      <w:r w:rsidR="00B20797">
        <w:t>prohibiting interference</w:t>
      </w:r>
      <w:r>
        <w:t xml:space="preserve"> with human ri</w:t>
      </w:r>
      <w:r w:rsidR="00B20797">
        <w:t xml:space="preserve">ghts defenders, and giving </w:t>
      </w:r>
      <w:r>
        <w:t>defenders a legal claim if they experience retaliation.</w:t>
      </w:r>
    </w:p>
    <w:p w14:paraId="18CAEED6" w14:textId="68571F6A" w:rsidR="006012E2" w:rsidRPr="00DB0EA6" w:rsidRDefault="006012E2" w:rsidP="006012E2">
      <w:pPr>
        <w:pStyle w:val="SingleTxtG"/>
        <w:numPr>
          <w:ilvl w:val="0"/>
          <w:numId w:val="13"/>
        </w:numPr>
        <w:ind w:left="1138" w:right="1138" w:firstLine="0"/>
      </w:pPr>
      <w:r>
        <w:t xml:space="preserve">States and NGOs also expressed support </w:t>
      </w:r>
      <w:r w:rsidR="00CB304B">
        <w:t>for</w:t>
      </w:r>
      <w:r>
        <w:t xml:space="preserve"> a number of other provisions, including on the different forms of remedy, the right to equality of arms and legal aid, and access to information relevant to substantiating claims.</w:t>
      </w:r>
    </w:p>
    <w:p w14:paraId="3C393E97" w14:textId="77777777" w:rsidR="006012E2" w:rsidRPr="00DB0EA6" w:rsidRDefault="006012E2" w:rsidP="006012E2">
      <w:pPr>
        <w:pStyle w:val="SingleTxtG"/>
        <w:numPr>
          <w:ilvl w:val="0"/>
          <w:numId w:val="13"/>
        </w:numPr>
        <w:ind w:left="1138" w:right="1138" w:firstLine="0"/>
      </w:pPr>
      <w:r>
        <w:t>Multiple NGOs suggested that a provision addressing piercing of the corporate veil should be explicitly included in the section.</w:t>
      </w:r>
    </w:p>
    <w:p w14:paraId="20477EE6" w14:textId="77777777" w:rsidR="00C9108C" w:rsidRPr="00DB0EA6" w:rsidRDefault="00C9108C" w:rsidP="00C9108C">
      <w:pPr>
        <w:pStyle w:val="H1G"/>
        <w:ind w:left="0" w:firstLine="0"/>
      </w:pPr>
      <w:r w:rsidRPr="00DB0EA6">
        <w:tab/>
      </w:r>
      <w:bookmarkStart w:id="47" w:name="_Toc496373815"/>
      <w:bookmarkStart w:id="48" w:name="_Toc497205721"/>
      <w:r w:rsidRPr="00DB0EA6">
        <w:t>G.</w:t>
      </w:r>
      <w:r w:rsidRPr="00DB0EA6">
        <w:tab/>
      </w:r>
      <w:r w:rsidR="00FD3DAC" w:rsidRPr="00DB0EA6">
        <w:t>Subject 7: Jurisdiction</w:t>
      </w:r>
      <w:bookmarkEnd w:id="47"/>
      <w:bookmarkEnd w:id="48"/>
      <w:r w:rsidRPr="00DB0EA6">
        <w:t xml:space="preserve"> </w:t>
      </w:r>
    </w:p>
    <w:p w14:paraId="71DC0422" w14:textId="1B004005" w:rsidR="00FD3DAC" w:rsidRPr="00DB0EA6" w:rsidRDefault="004B0270" w:rsidP="00E32A27">
      <w:pPr>
        <w:pStyle w:val="SingleTxtG"/>
        <w:numPr>
          <w:ilvl w:val="0"/>
          <w:numId w:val="13"/>
        </w:numPr>
        <w:ind w:left="1138" w:right="1138" w:firstLine="0"/>
      </w:pPr>
      <w:r w:rsidRPr="00D74E1B">
        <w:t xml:space="preserve">While the first panellist welcomed the inclusion of a dedicated section </w:t>
      </w:r>
      <w:r w:rsidR="00970C6C">
        <w:t xml:space="preserve">in the Elements Document </w:t>
      </w:r>
      <w:r w:rsidRPr="00D74E1B">
        <w:t xml:space="preserve">on the topic of jurisdiction, she </w:t>
      </w:r>
      <w:r>
        <w:t xml:space="preserve">noted </w:t>
      </w:r>
      <w:r w:rsidRPr="00D74E1B">
        <w:t xml:space="preserve">that a number of key concepts related to State obligations and access to justice still need clarification. </w:t>
      </w:r>
      <w:r>
        <w:t xml:space="preserve"> </w:t>
      </w:r>
      <w:r w:rsidRPr="00D74E1B">
        <w:t xml:space="preserve">In this respect, she mentioned that provisions on jurisdiction could also be included in other parts of the </w:t>
      </w:r>
      <w:r>
        <w:t>instrument</w:t>
      </w:r>
      <w:r w:rsidRPr="00D74E1B">
        <w:t xml:space="preserve">. </w:t>
      </w:r>
      <w:r>
        <w:t xml:space="preserve"> </w:t>
      </w:r>
      <w:r w:rsidRPr="00D74E1B">
        <w:t>Taking into account that th</w:t>
      </w:r>
      <w:r>
        <w:t xml:space="preserve">is section </w:t>
      </w:r>
      <w:r w:rsidRPr="00D74E1B">
        <w:t>was focused on the concept of prescriptive jurisdiction, as opposed to adjudicative or enforcement jurisdiction, she stressed that international law already allows the exercise of this type of jurisdiction</w:t>
      </w:r>
      <w:r>
        <w:t xml:space="preserve"> extraterritorially</w:t>
      </w:r>
      <w:r w:rsidRPr="00D74E1B">
        <w:t xml:space="preserve">. </w:t>
      </w:r>
      <w:r>
        <w:t xml:space="preserve"> Care should be taken when referring to territory and jurisdiction to avoid a restrictive interpretation.  In her view, e</w:t>
      </w:r>
      <w:r w:rsidRPr="00D74E1B">
        <w:t>nforcement jurisdiction should be given careful attention in cases involving extraterritoriality or transnational elements</w:t>
      </w:r>
      <w:r>
        <w:t xml:space="preserve"> and should be addressed in the section on international cooperation</w:t>
      </w:r>
      <w:r w:rsidR="00FD3DAC" w:rsidRPr="00DB0EA6">
        <w:t xml:space="preserve">. </w:t>
      </w:r>
    </w:p>
    <w:p w14:paraId="2097909A" w14:textId="0B86A1D5" w:rsidR="00FD3DAC" w:rsidRPr="00DB0EA6" w:rsidRDefault="004B0270" w:rsidP="00E32A27">
      <w:pPr>
        <w:pStyle w:val="SingleTxtG"/>
        <w:numPr>
          <w:ilvl w:val="0"/>
          <w:numId w:val="13"/>
        </w:numPr>
        <w:ind w:left="1138" w:right="1138" w:firstLine="0"/>
      </w:pPr>
      <w:r w:rsidRPr="00D74E1B">
        <w:t xml:space="preserve">The second panellist expressed serious caution with regards to the broad approach to the concept of jurisdiction adopted in the </w:t>
      </w:r>
      <w:r w:rsidR="00970C6C">
        <w:t>Elements Document</w:t>
      </w:r>
      <w:r w:rsidRPr="00D74E1B">
        <w:t xml:space="preserve">. </w:t>
      </w:r>
      <w:r>
        <w:t xml:space="preserve"> E</w:t>
      </w:r>
      <w:r w:rsidRPr="00D74E1B">
        <w:t xml:space="preserve">xtending jurisdiction beyond the host State ignores the reality of </w:t>
      </w:r>
      <w:r w:rsidR="00C63165">
        <w:t xml:space="preserve">corporate </w:t>
      </w:r>
      <w:r>
        <w:t xml:space="preserve">relationships, </w:t>
      </w:r>
      <w:r w:rsidRPr="00D74E1B">
        <w:t xml:space="preserve">where companies often have no control over downstream suppliers. </w:t>
      </w:r>
      <w:r>
        <w:t xml:space="preserve"> Asserting extraterritorial jurisdiction over entities with a tenuous connection to the forum State could raise issues relating to the principles of international comity and exhaustion of local remedies.  </w:t>
      </w:r>
      <w:r w:rsidRPr="00D74E1B">
        <w:t xml:space="preserve">He recommended that voluntary efforts undertaken by companies to ensure their suppliers are compliant with international standards should not be </w:t>
      </w:r>
      <w:r w:rsidR="00970C6C">
        <w:t xml:space="preserve">subject to </w:t>
      </w:r>
      <w:r w:rsidRPr="00D74E1B">
        <w:t xml:space="preserve">a threat of liability but rather </w:t>
      </w:r>
      <w:r>
        <w:t xml:space="preserve">be </w:t>
      </w:r>
      <w:r w:rsidRPr="00D74E1B">
        <w:t xml:space="preserve">positively encouraged. </w:t>
      </w:r>
      <w:r>
        <w:t xml:space="preserve"> </w:t>
      </w:r>
      <w:r w:rsidRPr="00D74E1B">
        <w:t xml:space="preserve">Although many countries have relevant legislation, enforcement remains an issue and attention should be focused on strengthening incentives to enforce existing laws. </w:t>
      </w:r>
      <w:r>
        <w:t xml:space="preserve"> The panellist</w:t>
      </w:r>
      <w:r w:rsidRPr="00D74E1B">
        <w:t xml:space="preserve"> insisted </w:t>
      </w:r>
      <w:r>
        <w:t xml:space="preserve">that the instrument address the </w:t>
      </w:r>
      <w:r w:rsidR="00970C6C">
        <w:t xml:space="preserve">particular situation </w:t>
      </w:r>
      <w:r>
        <w:t>of State-owned enterprises and cautioned that sovereign immunity could attach to these entities</w:t>
      </w:r>
      <w:r w:rsidR="00FD3DAC" w:rsidRPr="00DB0EA6">
        <w:t>.</w:t>
      </w:r>
    </w:p>
    <w:p w14:paraId="71932E59" w14:textId="57E35B0C" w:rsidR="00FD3DAC" w:rsidRPr="00DB0EA6" w:rsidRDefault="004B0270" w:rsidP="00E32A27">
      <w:pPr>
        <w:pStyle w:val="SingleTxtG"/>
        <w:numPr>
          <w:ilvl w:val="0"/>
          <w:numId w:val="13"/>
        </w:numPr>
        <w:ind w:left="1138" w:right="1138" w:firstLine="0"/>
      </w:pPr>
      <w:r w:rsidRPr="00590EAF">
        <w:t xml:space="preserve">The third panellist </w:t>
      </w:r>
      <w:r>
        <w:t xml:space="preserve">argued that States should address </w:t>
      </w:r>
      <w:r w:rsidRPr="00590EAF">
        <w:t xml:space="preserve">accountability gaps </w:t>
      </w:r>
      <w:r>
        <w:t xml:space="preserve">related to TNCs by recognizing jurisdiction over domestic companies whose activities have impacts abroad.  </w:t>
      </w:r>
      <w:r w:rsidRPr="00590EAF">
        <w:t xml:space="preserve">She insisted on the need to establish relevant laws, ensure their enforcement and recognize jurisdiction to </w:t>
      </w:r>
      <w:r>
        <w:t xml:space="preserve">address </w:t>
      </w:r>
      <w:r w:rsidRPr="00590EAF">
        <w:t xml:space="preserve">abuses. </w:t>
      </w:r>
      <w:r>
        <w:t xml:space="preserve"> In particular, the instrument should clearly indicate when a cause of action arises in the home State.  Additionally, barriers to access of justice should be removed, in particular t</w:t>
      </w:r>
      <w:r w:rsidRPr="00590EAF">
        <w:t xml:space="preserve">he doctrine of </w:t>
      </w:r>
      <w:r w:rsidRPr="00590EAF">
        <w:rPr>
          <w:i/>
        </w:rPr>
        <w:t>forum non conveniens</w:t>
      </w:r>
      <w:r w:rsidRPr="00590EAF">
        <w:t xml:space="preserve"> </w:t>
      </w:r>
      <w:r>
        <w:t>since</w:t>
      </w:r>
      <w:r w:rsidRPr="00590EAF">
        <w:t xml:space="preserve"> it is often used maliciously as a delaying and obstructive tactic</w:t>
      </w:r>
      <w:r>
        <w:t>.</w:t>
      </w:r>
    </w:p>
    <w:p w14:paraId="3665F455" w14:textId="4093B130" w:rsidR="00FD3DAC" w:rsidRDefault="00EA4FA5" w:rsidP="00E32A27">
      <w:pPr>
        <w:pStyle w:val="ListParagraph"/>
        <w:numPr>
          <w:ilvl w:val="0"/>
          <w:numId w:val="13"/>
        </w:numPr>
        <w:spacing w:after="120"/>
        <w:ind w:left="1138" w:right="1138" w:firstLine="0"/>
        <w:contextualSpacing w:val="0"/>
        <w:jc w:val="both"/>
      </w:pPr>
      <w:r>
        <w:t xml:space="preserve">Delegations and NGOs agreed on the importance of containing a section on “Jurisdiction,” </w:t>
      </w:r>
      <w:r w:rsidR="002012A6">
        <w:t xml:space="preserve">in the Documents Elements </w:t>
      </w:r>
      <w:r>
        <w:t xml:space="preserve">as many TNCs and other business enterprises escape liability through jurisdictional challenges.  This section was considered </w:t>
      </w:r>
      <w:r w:rsidR="00970C6C">
        <w:t xml:space="preserve">essential </w:t>
      </w:r>
      <w:r>
        <w:t>to address accountability gap</w:t>
      </w:r>
      <w:r w:rsidR="00970C6C">
        <w:t>s</w:t>
      </w:r>
      <w:r>
        <w:t>, clarify when courts could consider claims</w:t>
      </w:r>
      <w:r w:rsidR="00E61EBE">
        <w:t xml:space="preserve"> for abuses</w:t>
      </w:r>
      <w:r>
        <w:t xml:space="preserve"> occurring abroad, and enhance victims’ access to justice.  Given the importance of this section, </w:t>
      </w:r>
      <w:r w:rsidR="00FC1045">
        <w:t xml:space="preserve">some </w:t>
      </w:r>
      <w:r>
        <w:t xml:space="preserve">delegations emphasized the need for clarity.  While many found </w:t>
      </w:r>
      <w:r w:rsidR="00970C6C">
        <w:t xml:space="preserve">that </w:t>
      </w:r>
      <w:r>
        <w:t xml:space="preserve">the elements formed </w:t>
      </w:r>
      <w:r w:rsidR="00E61EBE">
        <w:t>a good starting point calls were made for more precision in the provisions.  For instance, some questioned the contours of the definition of “under the jurisdiction” in the section’s chapeau, asking for clarity as to</w:t>
      </w:r>
      <w:r w:rsidR="004716D0">
        <w:t xml:space="preserve"> the meaning of “substantial activities in the State concerned” and the extent of </w:t>
      </w:r>
      <w:r w:rsidR="00E61EBE">
        <w:t>control needed by parent companies.  Some NGOs called for coherence between the concepts in this section and references to “territory and/or jurisdiction” elsewhere in the document, as well as the reaffirmation in the “Purpose” section that State obligations do not stop at their territorial borders.</w:t>
      </w:r>
    </w:p>
    <w:p w14:paraId="57ECF6F8" w14:textId="2E9EEF63" w:rsidR="00B109AA" w:rsidRDefault="004716D0" w:rsidP="002A4213">
      <w:pPr>
        <w:pStyle w:val="ListParagraph"/>
        <w:numPr>
          <w:ilvl w:val="0"/>
          <w:numId w:val="13"/>
        </w:numPr>
        <w:spacing w:after="120"/>
        <w:ind w:left="1138" w:right="1138" w:firstLine="0"/>
        <w:contextualSpacing w:val="0"/>
        <w:jc w:val="both"/>
      </w:pPr>
      <w:r>
        <w:t xml:space="preserve">Most of the discussion centred </w:t>
      </w:r>
      <w:r w:rsidR="00970C6C">
        <w:t>on</w:t>
      </w:r>
      <w:r>
        <w:t xml:space="preserve"> whether the language </w:t>
      </w:r>
      <w:r w:rsidR="006E2308">
        <w:t>should permit</w:t>
      </w:r>
      <w:r>
        <w:t xml:space="preserve"> extraterritorial jurisdiction and the extent of that jurisdiction.  Several delegations and NGOs found it crucial that the instrument permit courts to consider claims arising out of activities abroad.  These delegations indicated that the use of extraterritorial jurisdiction has been approved by a range of judicial bodies and instruments, including domestic court cases, treaties, and other international instruments.  Other delegations suggested that clear references to the bases for jurisdiction should be included.  In their view, international law required a real and substantial link between a forum and the parties and claims concerned.</w:t>
      </w:r>
      <w:r w:rsidR="002429A1">
        <w:t xml:space="preserve">  This could be based on prescriptive jurisdiction principles such as nationality, passive personality, and the protective principle.  </w:t>
      </w:r>
      <w:r w:rsidR="00B109AA">
        <w:t xml:space="preserve">Additionally, </w:t>
      </w:r>
      <w:r w:rsidR="005B45D1">
        <w:t>too much reliance on home State jurisdiction could disincentive host States from ensuring access to justice.  C</w:t>
      </w:r>
      <w:r w:rsidR="00B109AA">
        <w:t xml:space="preserve">oncerns were raised that an expansive view of jurisdiction had the potential to violate the territorial integrity and sovereign equality of States, principles which </w:t>
      </w:r>
      <w:r w:rsidR="005B45D1">
        <w:t>are</w:t>
      </w:r>
      <w:r w:rsidR="00B109AA">
        <w:t xml:space="preserve"> reaffirmed in the preamble of the </w:t>
      </w:r>
      <w:r w:rsidR="00970C6C">
        <w:t>Elements Document</w:t>
      </w:r>
      <w:r w:rsidR="00B109AA">
        <w:t>.  However, panellists considered that these risks were overstated as this section did not authorize extraterritorial enforcement jurisdiction, and risks associated with such jurisdiction were allayed with the inclusion of a section on “International cooperation</w:t>
      </w:r>
      <w:r w:rsidR="00970C6C">
        <w:t>.</w:t>
      </w:r>
      <w:r w:rsidR="00B109AA">
        <w:t xml:space="preserve">” </w:t>
      </w:r>
    </w:p>
    <w:p w14:paraId="1D78C472" w14:textId="225280EF" w:rsidR="005B45D1" w:rsidRDefault="005B45D1" w:rsidP="002A4213">
      <w:pPr>
        <w:pStyle w:val="ListParagraph"/>
        <w:numPr>
          <w:ilvl w:val="0"/>
          <w:numId w:val="13"/>
        </w:numPr>
        <w:spacing w:after="120"/>
        <w:ind w:left="1138" w:right="1138" w:firstLine="0"/>
        <w:contextualSpacing w:val="0"/>
        <w:jc w:val="both"/>
      </w:pPr>
      <w:r>
        <w:t>With respect to specific provisions, delegations expressed most concern with the provision authorizing jurisdiction over “subsidiaries throughout the supply chain domiciled outside [States’] jurisdiction.”  Additionally, concern was raised over the provision permitting jurisdiction over “abuses alleged to have been committed by TNCs and OBEs throughout their activities, including their branches, subsidiaries, affiliates, or other entities directly or indirectly controlled by them.”  These delegations argued that this wording was too broad and could cover legal entities with little connection to the forum State.</w:t>
      </w:r>
    </w:p>
    <w:p w14:paraId="4C1A8A18" w14:textId="57F96956" w:rsidR="005B45D1" w:rsidRDefault="006E2308" w:rsidP="002A4213">
      <w:pPr>
        <w:pStyle w:val="ListParagraph"/>
        <w:numPr>
          <w:ilvl w:val="0"/>
          <w:numId w:val="13"/>
        </w:numPr>
        <w:spacing w:after="120"/>
        <w:ind w:left="1138" w:right="1138" w:firstLine="0"/>
        <w:contextualSpacing w:val="0"/>
        <w:jc w:val="both"/>
      </w:pPr>
      <w:r>
        <w:t>C</w:t>
      </w:r>
      <w:r w:rsidR="005B45D1">
        <w:t>larification was sought as to the provision permitting claims by victims within a State’s jurisdiction.  It was queried whether</w:t>
      </w:r>
      <w:r w:rsidR="00295122">
        <w:t xml:space="preserve"> this referred to nationals, residents, or something else.</w:t>
      </w:r>
    </w:p>
    <w:p w14:paraId="38BE9480" w14:textId="74C85076" w:rsidR="00295122" w:rsidRPr="00DB0EA6" w:rsidRDefault="006E2308" w:rsidP="002A4213">
      <w:pPr>
        <w:pStyle w:val="ListParagraph"/>
        <w:numPr>
          <w:ilvl w:val="0"/>
          <w:numId w:val="13"/>
        </w:numPr>
        <w:spacing w:after="120"/>
        <w:ind w:left="1138" w:right="1138" w:firstLine="0"/>
        <w:contextualSpacing w:val="0"/>
        <w:jc w:val="both"/>
      </w:pPr>
      <w:r>
        <w:t xml:space="preserve">Additionally, it was proposed that certain provisions be added to this section.  Some delegations </w:t>
      </w:r>
      <w:r w:rsidR="00EE77D5">
        <w:t xml:space="preserve">and NGOs </w:t>
      </w:r>
      <w:r>
        <w:t xml:space="preserve">suggested explicitly prohibiting the use of </w:t>
      </w:r>
      <w:r>
        <w:rPr>
          <w:i/>
        </w:rPr>
        <w:t>forum non conveniens</w:t>
      </w:r>
      <w:r>
        <w:t xml:space="preserve">.  Another delegation and NGO recommended adding a provision to address conflict of laws.  </w:t>
      </w:r>
      <w:r w:rsidR="00C63165">
        <w:t>C</w:t>
      </w:r>
      <w:r>
        <w:t xml:space="preserve">alls were made to address conflict situations, as local courts are often unavailable in situations of armed conflict.  One delegation suggested that jurisdiction over online enterprises be addressed.  Further, it was proposed that universal jurisdiction be established for conduct </w:t>
      </w:r>
      <w:r w:rsidR="00EE77D5">
        <w:t>constituting</w:t>
      </w:r>
      <w:r>
        <w:t xml:space="preserve"> international crimes.</w:t>
      </w:r>
    </w:p>
    <w:p w14:paraId="005B3F38" w14:textId="77777777" w:rsidR="00C9108C" w:rsidRPr="00DB0EA6" w:rsidRDefault="00C9108C" w:rsidP="00C9108C">
      <w:pPr>
        <w:pStyle w:val="H1G"/>
      </w:pPr>
      <w:r w:rsidRPr="00DB0EA6">
        <w:tab/>
      </w:r>
      <w:bookmarkStart w:id="49" w:name="_Toc496373816"/>
      <w:bookmarkStart w:id="50" w:name="_Toc497205722"/>
      <w:r w:rsidRPr="00DB0EA6">
        <w:t>H.</w:t>
      </w:r>
      <w:r w:rsidRPr="00DB0EA6">
        <w:tab/>
      </w:r>
      <w:r w:rsidR="00FD3DAC" w:rsidRPr="00DB0EA6">
        <w:t>Subject 8: International cooperation</w:t>
      </w:r>
      <w:bookmarkEnd w:id="49"/>
      <w:bookmarkEnd w:id="50"/>
      <w:r w:rsidRPr="00DB0EA6">
        <w:t xml:space="preserve"> </w:t>
      </w:r>
    </w:p>
    <w:p w14:paraId="43D2F60C" w14:textId="1EA9F057" w:rsidR="00E177FD" w:rsidRPr="00C63165" w:rsidRDefault="00E177FD" w:rsidP="00E177FD">
      <w:pPr>
        <w:pStyle w:val="SingleTxtG"/>
        <w:numPr>
          <w:ilvl w:val="0"/>
          <w:numId w:val="13"/>
        </w:numPr>
        <w:ind w:left="1138" w:right="1138" w:firstLine="0"/>
      </w:pPr>
      <w:r w:rsidRPr="00C63165">
        <w:t>The first panel</w:t>
      </w:r>
      <w:r w:rsidR="00C63165">
        <w:t>l</w:t>
      </w:r>
      <w:r w:rsidRPr="00C63165">
        <w:t xml:space="preserve">ist noted that in </w:t>
      </w:r>
      <w:r w:rsidR="00970C6C">
        <w:t>a</w:t>
      </w:r>
      <w:r w:rsidRPr="00C63165">
        <w:t xml:space="preserve"> globalized economy, domestic legal systems remain fragmented and disjointed, leaving room for TNCs to take advantage of a lack of cooperation between States.  Thus, a sectio</w:t>
      </w:r>
      <w:r w:rsidR="003C1800" w:rsidRPr="00C63165">
        <w:t>n on international cooperation</w:t>
      </w:r>
      <w:r w:rsidRPr="00C63165">
        <w:t xml:space="preserve"> was an important means of addressing this fundamental problem.  The pane</w:t>
      </w:r>
      <w:r w:rsidR="00C63165">
        <w:t>l</w:t>
      </w:r>
      <w:r w:rsidRPr="00C63165">
        <w:t>list suggested two ways to strengthen this section.  First, he called for the inclusion of sub-sections</w:t>
      </w:r>
      <w:r w:rsidR="00BE0EDD" w:rsidRPr="00C63165">
        <w:t xml:space="preserve"> to address cooperation in the civil, criminal, and administrative contexts separately.  Second, he suggested that a public register be established to help with the coordination of research.  The panel</w:t>
      </w:r>
      <w:r w:rsidR="00C63165">
        <w:t>l</w:t>
      </w:r>
      <w:r w:rsidR="00BE0EDD" w:rsidRPr="00C63165">
        <w:t>ist further encouraged delegations and NGOs to provide creative and pragmatic models that could be used in the instrument.</w:t>
      </w:r>
    </w:p>
    <w:p w14:paraId="28EF5056" w14:textId="7A57F18C" w:rsidR="00BE0EDD" w:rsidRPr="00C63165" w:rsidRDefault="00BE0EDD" w:rsidP="00E177FD">
      <w:pPr>
        <w:pStyle w:val="SingleTxtG"/>
        <w:numPr>
          <w:ilvl w:val="0"/>
          <w:numId w:val="13"/>
        </w:numPr>
        <w:ind w:left="1138" w:right="1138" w:firstLine="0"/>
      </w:pPr>
      <w:r w:rsidRPr="00C63165">
        <w:t>The second pane</w:t>
      </w:r>
      <w:r w:rsidR="00C63165">
        <w:t>l</w:t>
      </w:r>
      <w:r w:rsidRPr="00C63165">
        <w:t xml:space="preserve">list stressed </w:t>
      </w:r>
      <w:r w:rsidR="007A57D3" w:rsidRPr="00C63165">
        <w:t xml:space="preserve">the importance of international cooperation in ensuring access to remedy.  He discussed how </w:t>
      </w:r>
      <w:r w:rsidRPr="00C63165">
        <w:t>cooperation should generally address treaty implementation, helping States with national implementation, and enforcement of judgments.  Additionally, the panel</w:t>
      </w:r>
      <w:r w:rsidR="00C63165">
        <w:t>l</w:t>
      </w:r>
      <w:r w:rsidRPr="00C63165">
        <w:t>ist suggested five specific</w:t>
      </w:r>
      <w:r w:rsidR="007A57D3" w:rsidRPr="00C63165">
        <w:t xml:space="preserve"> ways to ensure appropriate </w:t>
      </w:r>
      <w:r w:rsidRPr="00C63165">
        <w:t xml:space="preserve">international cooperation.  First, </w:t>
      </w:r>
      <w:r w:rsidR="007A57D3" w:rsidRPr="00C63165">
        <w:t>States should ensure access to information for investigatory functions.  Second, rules should be adopted to ensure mutual judicial cooperation.  The European Convention on Mutual Assistance on Criminal Matters could help in this regard.  Third, States should ensure adequate standards of due process.  Fourth, States should consider reflecting the principle of comity in the instrument.  Fifth, inspiration for the means of international cooperation should be drawn from existing instruments and standards.</w:t>
      </w:r>
    </w:p>
    <w:p w14:paraId="4794EEC2" w14:textId="6B506EBC" w:rsidR="00FD3DAC" w:rsidRPr="00C63165" w:rsidRDefault="002A4213" w:rsidP="00B53C72">
      <w:pPr>
        <w:pStyle w:val="SingleTxtG"/>
        <w:numPr>
          <w:ilvl w:val="0"/>
          <w:numId w:val="13"/>
        </w:numPr>
        <w:ind w:left="1138" w:right="1138" w:firstLine="0"/>
      </w:pPr>
      <w:r w:rsidRPr="00C63165">
        <w:t xml:space="preserve">Many delegations and NGOs agreed on the importance of international cooperation.  One of the main obstacles to the effective regulation of TNCs </w:t>
      </w:r>
      <w:r w:rsidR="00970C6C">
        <w:t xml:space="preserve">is </w:t>
      </w:r>
      <w:r w:rsidRPr="00C63165">
        <w:t>the fact that they operate in multiple jurisdictions; thus, cooperation between States is necessary to ensure abuses are properly</w:t>
      </w:r>
      <w:r w:rsidR="00970C6C">
        <w:t xml:space="preserve"> addressed</w:t>
      </w:r>
      <w:r w:rsidRPr="00C63165">
        <w:t xml:space="preserve">.  </w:t>
      </w:r>
      <w:r w:rsidR="003C0833" w:rsidRPr="00C63165">
        <w:t xml:space="preserve">NGOs shared cases where victims were unable to obtain redress due to a lack of international cooperation.  </w:t>
      </w:r>
      <w:r w:rsidRPr="00C63165">
        <w:t xml:space="preserve">Major obstacles to justice for </w:t>
      </w:r>
      <w:r w:rsidR="003C0833" w:rsidRPr="00C63165">
        <w:t xml:space="preserve">these </w:t>
      </w:r>
      <w:r w:rsidRPr="00C63165">
        <w:t>victims, such as difficulti</w:t>
      </w:r>
      <w:r w:rsidR="003C0833" w:rsidRPr="00C63165">
        <w:t>es in obtaining information, could</w:t>
      </w:r>
      <w:r w:rsidRPr="00C63165">
        <w:t xml:space="preserve"> be rectified with proper cooperation between States.  Thus, it is important for States to agree on certain standards to ensure efficient investigation, prosecution, and enforcement.  Some delegations referred to other processes and instruments for guidance, such as the UN Convention against Transnational Organized Crime and UN Convention against Corruption.</w:t>
      </w:r>
    </w:p>
    <w:p w14:paraId="3A8FE4AA" w14:textId="5FB8D4CC" w:rsidR="002A4213" w:rsidRPr="00C63165" w:rsidRDefault="006B55C6" w:rsidP="00E32A27">
      <w:pPr>
        <w:pStyle w:val="SingleTxtG"/>
        <w:numPr>
          <w:ilvl w:val="0"/>
          <w:numId w:val="13"/>
        </w:numPr>
        <w:ind w:left="1138" w:right="1138" w:firstLine="0"/>
      </w:pPr>
      <w:r>
        <w:t>One</w:t>
      </w:r>
      <w:r w:rsidR="002A4213" w:rsidRPr="00C63165">
        <w:t xml:space="preserve"> </w:t>
      </w:r>
      <w:r w:rsidR="003C0833" w:rsidRPr="00C63165">
        <w:t>delegation and a</w:t>
      </w:r>
      <w:r w:rsidR="00F22278">
        <w:t xml:space="preserve"> business organization</w:t>
      </w:r>
      <w:r w:rsidR="003C0833" w:rsidRPr="00C63165">
        <w:t xml:space="preserve"> argued that the existence of these other processes and instruments on international cooperation made a section on this unnecessary.  In their view, international cooperation should be developed generally and not focus on this specific regime.  There was a fear that developing new obligations on international cooperation could conflict with other processes or send contradictory messages as to UN standards.  Instead, States should focus on strengthening existing international cooperation mechanisms.</w:t>
      </w:r>
    </w:p>
    <w:p w14:paraId="77C2CDF7" w14:textId="1D50E48F" w:rsidR="003C0833" w:rsidRPr="00C63165" w:rsidRDefault="006B55C6" w:rsidP="00E32A27">
      <w:pPr>
        <w:pStyle w:val="SingleTxtG"/>
        <w:numPr>
          <w:ilvl w:val="0"/>
          <w:numId w:val="13"/>
        </w:numPr>
        <w:ind w:left="1138" w:right="1138" w:firstLine="0"/>
      </w:pPr>
      <w:r>
        <w:t>The EU</w:t>
      </w:r>
      <w:r w:rsidR="003C0833" w:rsidRPr="00C63165">
        <w:t xml:space="preserve"> referred to the OHCHR Accountability an</w:t>
      </w:r>
      <w:r w:rsidR="003C1800" w:rsidRPr="00C63165">
        <w:t>d Remedy Project, as it provides</w:t>
      </w:r>
      <w:r w:rsidR="003C0833" w:rsidRPr="00C63165">
        <w:t xml:space="preserve"> recommendations on how to strengthen internati</w:t>
      </w:r>
      <w:r w:rsidR="003C1800" w:rsidRPr="00C63165">
        <w:t xml:space="preserve">onal cooperation and identifies </w:t>
      </w:r>
      <w:r w:rsidR="003C0833" w:rsidRPr="00C63165">
        <w:t xml:space="preserve">issues in current regimes.  One such issue was the lack of prosecutorial resources to investigate TNCs, and this organization questioned how </w:t>
      </w:r>
      <w:r w:rsidR="00682A29" w:rsidRPr="00C63165">
        <w:t>a future instrument could provide pragmatic solutions to such issues.  Some delegations and a panellist suggested that provisions on technical assistance could be included to address some of these challenges.</w:t>
      </w:r>
    </w:p>
    <w:p w14:paraId="4CD60E5D" w14:textId="31E93F4B" w:rsidR="00682A29" w:rsidRPr="00C63165" w:rsidRDefault="00682A29" w:rsidP="00E32A27">
      <w:pPr>
        <w:pStyle w:val="ListParagraph"/>
        <w:numPr>
          <w:ilvl w:val="0"/>
          <w:numId w:val="13"/>
        </w:numPr>
        <w:spacing w:after="120"/>
        <w:ind w:left="1138" w:right="1138" w:firstLine="0"/>
        <w:contextualSpacing w:val="0"/>
        <w:jc w:val="both"/>
      </w:pPr>
      <w:r w:rsidRPr="00C63165">
        <w:t xml:space="preserve">Delegations called for greater specificity in the provisions of this section.  Specifically, there were multiple suggestions to differentiate the section based on whether cooperation was </w:t>
      </w:r>
      <w:r w:rsidR="00970C6C">
        <w:t xml:space="preserve">needed </w:t>
      </w:r>
      <w:r w:rsidRPr="00C63165">
        <w:t xml:space="preserve">for civil, criminal, or administrative matters, and to include more precise provisions on the means of cooperation needed for these different types of regimes.  </w:t>
      </w:r>
      <w:r w:rsidR="005C4A45" w:rsidRPr="00C63165">
        <w:t xml:space="preserve">Additionally, there were calls for more detail into what processes should be required, in particular for evidence collection and sharing.  </w:t>
      </w:r>
      <w:r w:rsidRPr="00C63165">
        <w:t>It was also noted that a provision should be included to ensure reciprocity would be respected amongst States.</w:t>
      </w:r>
    </w:p>
    <w:p w14:paraId="7EC78ABD" w14:textId="77777777" w:rsidR="00C9108C" w:rsidRPr="00C63165" w:rsidRDefault="00C9108C" w:rsidP="00C9108C">
      <w:pPr>
        <w:pStyle w:val="H1G"/>
      </w:pPr>
      <w:r w:rsidRPr="00C63165">
        <w:tab/>
      </w:r>
      <w:bookmarkStart w:id="51" w:name="_Toc496373817"/>
      <w:bookmarkStart w:id="52" w:name="_Toc497205723"/>
      <w:r w:rsidRPr="00C63165">
        <w:t>I.</w:t>
      </w:r>
      <w:r w:rsidRPr="00C63165">
        <w:tab/>
      </w:r>
      <w:r w:rsidR="00FD3DAC" w:rsidRPr="00C63165">
        <w:t>Subject 9: Mechanisms for promotion, implementation and monitoring</w:t>
      </w:r>
      <w:bookmarkEnd w:id="51"/>
      <w:bookmarkEnd w:id="52"/>
    </w:p>
    <w:p w14:paraId="4822746A" w14:textId="02D284B5" w:rsidR="00FD3DAC" w:rsidRPr="00C63165" w:rsidRDefault="00A83DEE" w:rsidP="00E32A27">
      <w:pPr>
        <w:pStyle w:val="SingleTxtG"/>
        <w:numPr>
          <w:ilvl w:val="0"/>
          <w:numId w:val="13"/>
        </w:numPr>
        <w:ind w:left="1138" w:right="1138" w:firstLine="0"/>
      </w:pPr>
      <w:r w:rsidRPr="00C63165">
        <w:t>The first pane</w:t>
      </w:r>
      <w:r w:rsidR="00C63165">
        <w:t>l</w:t>
      </w:r>
      <w:r w:rsidRPr="00C63165">
        <w:t xml:space="preserve">list suggested that drafters focus on four principles when </w:t>
      </w:r>
      <w:r w:rsidR="004F49B6" w:rsidRPr="00C63165">
        <w:t>developing the section on “Mechanisms for promotion, implementation and monitoring</w:t>
      </w:r>
      <w:r w:rsidRPr="00C63165">
        <w:t>.</w:t>
      </w:r>
      <w:r w:rsidR="004F49B6" w:rsidRPr="00C63165">
        <w:t>”</w:t>
      </w:r>
      <w:r w:rsidRPr="00C63165">
        <w:t xml:space="preserve"> The first is accountability. </w:t>
      </w:r>
      <w:r w:rsidR="004F49B6" w:rsidRPr="00C63165">
        <w:t xml:space="preserve"> T</w:t>
      </w:r>
      <w:r w:rsidRPr="00C63165">
        <w:t>he pane</w:t>
      </w:r>
      <w:r w:rsidR="00C63165">
        <w:t>l</w:t>
      </w:r>
      <w:r w:rsidRPr="00C63165">
        <w:t>list</w:t>
      </w:r>
      <w:r w:rsidR="004F49B6" w:rsidRPr="00C63165">
        <w:t xml:space="preserve"> suggested drawing lessons from other processes that regulate business conduct outside of the human rights context, such as the World Bank </w:t>
      </w:r>
      <w:r w:rsidR="00970C6C">
        <w:t>I</w:t>
      </w:r>
      <w:r w:rsidR="004F49B6" w:rsidRPr="00C63165">
        <w:t xml:space="preserve">nspection </w:t>
      </w:r>
      <w:r w:rsidR="00970C6C">
        <w:t>P</w:t>
      </w:r>
      <w:r w:rsidR="004F49B6" w:rsidRPr="00C63165">
        <w:t>anel</w:t>
      </w:r>
      <w:r w:rsidRPr="00C63165">
        <w:t xml:space="preserve">. </w:t>
      </w:r>
      <w:r w:rsidR="004F49B6" w:rsidRPr="00C63165">
        <w:t xml:space="preserve"> </w:t>
      </w:r>
      <w:r w:rsidRPr="00C63165">
        <w:t xml:space="preserve">The second principle is transparency. </w:t>
      </w:r>
      <w:r w:rsidR="004F49B6" w:rsidRPr="00C63165">
        <w:t xml:space="preserve"> Access to information is so important, the panel</w:t>
      </w:r>
      <w:r w:rsidR="00C63165">
        <w:t>l</w:t>
      </w:r>
      <w:r w:rsidR="004F49B6" w:rsidRPr="00C63165">
        <w:t>ist thought it could warrant its own section in the instrument</w:t>
      </w:r>
      <w:r w:rsidRPr="00C63165">
        <w:t xml:space="preserve">. </w:t>
      </w:r>
      <w:r w:rsidR="004F49B6" w:rsidRPr="00C63165">
        <w:t xml:space="preserve"> </w:t>
      </w:r>
      <w:r w:rsidRPr="00C63165">
        <w:t xml:space="preserve">Third, the principle of participation deserves attention, but </w:t>
      </w:r>
      <w:r w:rsidR="003C1800" w:rsidRPr="00C63165">
        <w:t>the pane</w:t>
      </w:r>
      <w:r w:rsidR="00C63165">
        <w:t>l</w:t>
      </w:r>
      <w:r w:rsidR="003C1800" w:rsidRPr="00C63165">
        <w:t xml:space="preserve">list </w:t>
      </w:r>
      <w:r w:rsidRPr="00C63165">
        <w:t xml:space="preserve">cautioned </w:t>
      </w:r>
      <w:r w:rsidR="004F49B6" w:rsidRPr="00C63165">
        <w:t>against abuse by the private sector</w:t>
      </w:r>
      <w:r w:rsidRPr="00C63165">
        <w:t>.</w:t>
      </w:r>
      <w:r w:rsidR="004F49B6" w:rsidRPr="00C63165">
        <w:t xml:space="preserve"> </w:t>
      </w:r>
      <w:r w:rsidRPr="00C63165">
        <w:t xml:space="preserve"> Finally, </w:t>
      </w:r>
      <w:r w:rsidR="00970C6C">
        <w:t>a</w:t>
      </w:r>
      <w:r w:rsidRPr="00C63165">
        <w:t xml:space="preserve"> principle of cooperation</w:t>
      </w:r>
      <w:r w:rsidR="004F49B6" w:rsidRPr="00C63165">
        <w:t xml:space="preserve"> should be ensured at the </w:t>
      </w:r>
      <w:r w:rsidRPr="00C63165">
        <w:t>national, regional</w:t>
      </w:r>
      <w:r w:rsidR="004F49B6" w:rsidRPr="00C63165">
        <w:t>,</w:t>
      </w:r>
      <w:r w:rsidRPr="00C63165">
        <w:t xml:space="preserve"> and international levels</w:t>
      </w:r>
      <w:r w:rsidR="00FD3DAC" w:rsidRPr="00C63165">
        <w:t xml:space="preserve">. </w:t>
      </w:r>
    </w:p>
    <w:p w14:paraId="699E9B3B" w14:textId="200D8F56" w:rsidR="004F49B6" w:rsidRPr="00C63165" w:rsidRDefault="00E157ED" w:rsidP="002A4213">
      <w:pPr>
        <w:pStyle w:val="SingleTxtG"/>
        <w:numPr>
          <w:ilvl w:val="0"/>
          <w:numId w:val="13"/>
        </w:numPr>
        <w:ind w:left="1138" w:right="1138" w:firstLine="0"/>
      </w:pPr>
      <w:r w:rsidRPr="00C63165">
        <w:t>The second panellist discussed cases where victims were unable to achieve justice through existing institutions.  Noting this lack of judicial oversight over TNC abuses at the national level, she</w:t>
      </w:r>
      <w:r w:rsidR="004F49B6" w:rsidRPr="00C63165">
        <w:t xml:space="preserve"> argued for the creation of an international court for affected individuals and communities to hold TNCs accountable.</w:t>
      </w:r>
      <w:r w:rsidRPr="00C63165">
        <w:t xml:space="preserve">  While supportive of the creation of an ombudsman,</w:t>
      </w:r>
      <w:r w:rsidR="00970C6C">
        <w:t xml:space="preserve"> as proposed in the elements,</w:t>
      </w:r>
      <w:r w:rsidRPr="00C63165">
        <w:t xml:space="preserve"> she claimed that this would not be an adequate substitute for an international judicial body.  </w:t>
      </w:r>
    </w:p>
    <w:p w14:paraId="2E1FB31B" w14:textId="6D39B1B1" w:rsidR="00E157ED" w:rsidRPr="00C63165" w:rsidRDefault="00E157ED" w:rsidP="00E32A27">
      <w:pPr>
        <w:pStyle w:val="SingleTxtG"/>
        <w:numPr>
          <w:ilvl w:val="0"/>
          <w:numId w:val="13"/>
        </w:numPr>
        <w:ind w:left="1138" w:right="1138" w:firstLine="0"/>
      </w:pPr>
      <w:r w:rsidRPr="00C63165">
        <w:t>The third panel</w:t>
      </w:r>
      <w:r w:rsidR="00F52B1B">
        <w:t>l</w:t>
      </w:r>
      <w:r w:rsidRPr="00C63165">
        <w:t xml:space="preserve">ist </w:t>
      </w:r>
      <w:r w:rsidR="007B37AB" w:rsidRPr="00C63165">
        <w:t xml:space="preserve">welcomed this section in the </w:t>
      </w:r>
      <w:r w:rsidR="00970C6C">
        <w:t>E</w:t>
      </w:r>
      <w:r w:rsidR="007B37AB" w:rsidRPr="00C63165">
        <w:t xml:space="preserve">lements </w:t>
      </w:r>
      <w:r w:rsidR="00970C6C">
        <w:t xml:space="preserve">Document </w:t>
      </w:r>
      <w:r w:rsidR="007B37AB" w:rsidRPr="00C63165">
        <w:t xml:space="preserve">and noted that international mechanisms are needed.  Implementation lies foremost with national jurisdictions, but a complementary international </w:t>
      </w:r>
      <w:r w:rsidR="00BD04D5" w:rsidRPr="00C63165">
        <w:t xml:space="preserve">court </w:t>
      </w:r>
      <w:r w:rsidR="007B37AB" w:rsidRPr="00C63165">
        <w:t>should exist when national jurisdictions fail.</w:t>
      </w:r>
      <w:r w:rsidR="00BD04D5" w:rsidRPr="00C63165">
        <w:t xml:space="preserve">  This court should have enough resources to ensure its proper functioning.  The treaty body proposed in the elements would also be welcome and should be endowed with the ability to make recommendations, as well as referrals to the international court.</w:t>
      </w:r>
    </w:p>
    <w:p w14:paraId="6CD8D4CE" w14:textId="63AD9634" w:rsidR="00FD3DAC" w:rsidRPr="00C63165" w:rsidRDefault="00751034" w:rsidP="00E32A27">
      <w:pPr>
        <w:pStyle w:val="SingleTxtG"/>
        <w:numPr>
          <w:ilvl w:val="0"/>
          <w:numId w:val="13"/>
        </w:numPr>
        <w:ind w:left="1138" w:right="1138" w:firstLine="0"/>
      </w:pPr>
      <w:r w:rsidRPr="00C63165">
        <w:t>Several delegations and NGOs welcomed the inclusion of this section and the creation of mechanisms to promote, implement, and monitor a future instrument.  Many called for the ability of victims to directly access these mechanisms</w:t>
      </w:r>
      <w:r w:rsidR="008B0708" w:rsidRPr="00C63165">
        <w:t>, and it was mentioned that a provision should be included to protect against retaliation by those who engaged these mechanisms</w:t>
      </w:r>
      <w:r w:rsidRPr="00C63165">
        <w:t>.  Some argued that without enforcement mechanisms, the instrument would not be properly implemented.  Other delegations questioned the usefulness of creating a new mechanism, arguing that the focus should be on strengthening existing institutions.  One delegation expressed the view that States have the prerogative to decide how to enforce its treaty commitments and argued against establishing any mechanism.  It was also noted that there should be more reliance on national action plans.</w:t>
      </w:r>
    </w:p>
    <w:p w14:paraId="317352F0" w14:textId="28286A81" w:rsidR="00751034" w:rsidRPr="00C63165" w:rsidRDefault="00A87744" w:rsidP="00E32A27">
      <w:pPr>
        <w:pStyle w:val="SingleTxtG"/>
        <w:numPr>
          <w:ilvl w:val="0"/>
          <w:numId w:val="13"/>
        </w:numPr>
        <w:ind w:left="1138" w:right="1138" w:firstLine="0"/>
      </w:pPr>
      <w:r>
        <w:t>Several</w:t>
      </w:r>
      <w:r w:rsidR="00751034" w:rsidRPr="00C63165">
        <w:t xml:space="preserve"> delegations approved of the establishment of an international judicial mechanism to hear complaints regarding </w:t>
      </w:r>
      <w:r w:rsidR="003D46D6">
        <w:t>violations</w:t>
      </w:r>
      <w:r w:rsidR="00751034" w:rsidRPr="00C63165">
        <w:t xml:space="preserve"> by </w:t>
      </w:r>
      <w:r w:rsidR="003D46D6">
        <w:t>TNCs</w:t>
      </w:r>
      <w:r w:rsidR="00751034" w:rsidRPr="00C63165">
        <w:t xml:space="preserve">, noting that victims and certain States have been calling for the creation of such institutions for some time.  However, </w:t>
      </w:r>
      <w:r w:rsidR="00970C6C">
        <w:t xml:space="preserve">questions were </w:t>
      </w:r>
      <w:r w:rsidR="00751034" w:rsidRPr="00C63165">
        <w:t xml:space="preserve">raised as to whether </w:t>
      </w:r>
      <w:r w:rsidR="003437D8" w:rsidRPr="00C63165">
        <w:t xml:space="preserve">an international court could be effective, and there were concerns of budgetary and political issues involved with establishing a court.  Regarding the provision suggesting expanding the jurisdiction of existing institutions, </w:t>
      </w:r>
      <w:r w:rsidR="00970C6C">
        <w:t xml:space="preserve">a questions was asked </w:t>
      </w:r>
      <w:r w:rsidR="003437D8" w:rsidRPr="00C63165">
        <w:t>whether this referred to past deliberations over the International Criminal Court and whether th</w:t>
      </w:r>
      <w:r w:rsidR="00970C6C">
        <w:t>e proposal</w:t>
      </w:r>
      <w:r w:rsidR="003437D8" w:rsidRPr="00C63165">
        <w:t xml:space="preserve"> was feasible.</w:t>
      </w:r>
    </w:p>
    <w:p w14:paraId="20B4DC2B" w14:textId="089C00D3" w:rsidR="003437D8" w:rsidRPr="00C63165" w:rsidRDefault="003437D8" w:rsidP="00E32A27">
      <w:pPr>
        <w:pStyle w:val="SingleTxtG"/>
        <w:numPr>
          <w:ilvl w:val="0"/>
          <w:numId w:val="13"/>
        </w:numPr>
        <w:ind w:left="1138" w:right="1138" w:firstLine="0"/>
      </w:pPr>
      <w:r w:rsidRPr="00C63165">
        <w:t xml:space="preserve">Delegations expressed support for the creation of an international committee to monitor the treaty, although it was noted that the creation of a committee did not exclude the possibility of creating other institutions.  </w:t>
      </w:r>
      <w:r w:rsidR="008B0708" w:rsidRPr="00C63165">
        <w:t>Some delegations approved of the proposed functions of this committee in the elements, including examining periodical reports and individual and collective communications.  It was suggested that this body could also foster international cooperation, technical assistance, and share best practices.</w:t>
      </w:r>
    </w:p>
    <w:p w14:paraId="12690562" w14:textId="1FAA2923" w:rsidR="008B0708" w:rsidRPr="00C63165" w:rsidRDefault="008B0708" w:rsidP="00E32A27">
      <w:pPr>
        <w:pStyle w:val="SingleTxtG"/>
        <w:numPr>
          <w:ilvl w:val="0"/>
          <w:numId w:val="13"/>
        </w:numPr>
        <w:ind w:left="1138" w:right="1138" w:firstLine="0"/>
      </w:pPr>
      <w:r w:rsidRPr="00C63165">
        <w:t>Additionally, some delegations proposed the establishment of a non-judicial, peer review mechanism, and some NGOs suggested creating a monitoring centre that could be jointly run by States and civil society.</w:t>
      </w:r>
    </w:p>
    <w:p w14:paraId="5285B788" w14:textId="77777777" w:rsidR="00C9108C" w:rsidRPr="00DB0EA6" w:rsidRDefault="00C9108C" w:rsidP="00C9108C">
      <w:pPr>
        <w:pStyle w:val="H1G"/>
      </w:pPr>
      <w:r w:rsidRPr="00DB0EA6">
        <w:tab/>
      </w:r>
      <w:bookmarkStart w:id="53" w:name="_Toc496373818"/>
      <w:bookmarkStart w:id="54" w:name="_Toc497205724"/>
      <w:r w:rsidRPr="00DB0EA6">
        <w:t>J.</w:t>
      </w:r>
      <w:r w:rsidRPr="00DB0EA6">
        <w:tab/>
      </w:r>
      <w:r w:rsidR="00FD3DAC" w:rsidRPr="00DB0EA6">
        <w:t>Subject 10: General provisions</w:t>
      </w:r>
      <w:bookmarkEnd w:id="53"/>
      <w:bookmarkEnd w:id="54"/>
      <w:r w:rsidRPr="00DB0EA6">
        <w:t xml:space="preserve"> </w:t>
      </w:r>
    </w:p>
    <w:p w14:paraId="6EDEC3E1" w14:textId="561AA0D8" w:rsidR="00FD3DAC" w:rsidRDefault="00BD466E" w:rsidP="00E32A27">
      <w:pPr>
        <w:pStyle w:val="SingleTxtG"/>
        <w:numPr>
          <w:ilvl w:val="0"/>
          <w:numId w:val="13"/>
        </w:numPr>
        <w:ind w:left="1138" w:right="1138" w:firstLine="0"/>
      </w:pPr>
      <w:r>
        <w:t>One NGO welcomed a provision in the section on “General provisions” regarding the primacy of a future instrument over other obligations from trade and investment legal regimes.  This organization also stressed the importance of allowing for the participation of civil society and affected communities.</w:t>
      </w:r>
    </w:p>
    <w:p w14:paraId="72E3C20D" w14:textId="07300685" w:rsidR="00BD466E" w:rsidRPr="00DB0EA6" w:rsidRDefault="00F82E67" w:rsidP="00E32A27">
      <w:pPr>
        <w:pStyle w:val="SingleTxtG"/>
        <w:numPr>
          <w:ilvl w:val="0"/>
          <w:numId w:val="13"/>
        </w:numPr>
        <w:ind w:left="1138" w:right="1138" w:firstLine="0"/>
      </w:pPr>
      <w:r>
        <w:t>Another</w:t>
      </w:r>
      <w:r w:rsidR="00BD466E">
        <w:t xml:space="preserve"> NGO thanked the working group for the opportunity to participate in the session and requested clarification as to the next steps of the process.</w:t>
      </w:r>
    </w:p>
    <w:p w14:paraId="011607D0" w14:textId="77777777" w:rsidR="00C9108C" w:rsidRPr="00DB0EA6" w:rsidRDefault="00C9108C" w:rsidP="00C9108C">
      <w:pPr>
        <w:pStyle w:val="H1G"/>
      </w:pPr>
      <w:r w:rsidRPr="00DB0EA6">
        <w:tab/>
      </w:r>
      <w:bookmarkStart w:id="55" w:name="_Toc496373819"/>
      <w:bookmarkStart w:id="56" w:name="_Toc497205725"/>
      <w:r w:rsidRPr="00DB0EA6">
        <w:t>K.</w:t>
      </w:r>
      <w:r w:rsidRPr="00DB0EA6">
        <w:tab/>
      </w:r>
      <w:r w:rsidR="00FD3DAC" w:rsidRPr="00DB0EA6">
        <w:t>Panel: The voices of the victims</w:t>
      </w:r>
      <w:bookmarkEnd w:id="55"/>
      <w:bookmarkEnd w:id="56"/>
      <w:r w:rsidRPr="00DB0EA6">
        <w:t xml:space="preserve"> </w:t>
      </w:r>
    </w:p>
    <w:p w14:paraId="512B0BE8" w14:textId="77777777" w:rsidR="00271CF4" w:rsidRDefault="007D2F5C" w:rsidP="0062283F">
      <w:pPr>
        <w:pStyle w:val="SingleTxtG"/>
        <w:numPr>
          <w:ilvl w:val="0"/>
          <w:numId w:val="13"/>
        </w:numPr>
        <w:ind w:left="1138" w:right="1138" w:firstLine="0"/>
      </w:pPr>
      <w:r>
        <w:t xml:space="preserve">Five panellists provided introductory remarks, commenting on a range of issues, including </w:t>
      </w:r>
      <w:r w:rsidR="003802DB">
        <w:t xml:space="preserve">violations of indigenous peoples’ rights, abusive practices in drug patenting and pricing, harms of agricultural projects, impunity relating to toxic pollution, development projects displacing communities, and the role of international financial institutions in supporting harmful practices.  </w:t>
      </w:r>
    </w:p>
    <w:p w14:paraId="0E12044E" w14:textId="318A973A" w:rsidR="00F82E67" w:rsidRPr="00DB0EA6" w:rsidRDefault="00271CF4" w:rsidP="0062283F">
      <w:pPr>
        <w:pStyle w:val="SingleTxtG"/>
        <w:numPr>
          <w:ilvl w:val="0"/>
          <w:numId w:val="13"/>
        </w:numPr>
        <w:ind w:left="1138" w:right="1138" w:firstLine="0"/>
      </w:pPr>
      <w:r>
        <w:t xml:space="preserve">The panellist presentations were </w:t>
      </w:r>
      <w:r w:rsidR="003802DB">
        <w:t xml:space="preserve">followed by interventions </w:t>
      </w:r>
      <w:r>
        <w:t xml:space="preserve">from </w:t>
      </w:r>
      <w:r w:rsidR="00F82E67">
        <w:t>delegations</w:t>
      </w:r>
      <w:r w:rsidR="003802DB">
        <w:t xml:space="preserve"> and NGOs, </w:t>
      </w:r>
      <w:r>
        <w:t xml:space="preserve">highlighting </w:t>
      </w:r>
      <w:r w:rsidR="0022404B">
        <w:t>specific cases of abuse</w:t>
      </w:r>
      <w:r w:rsidR="00F82E67">
        <w:t xml:space="preserve"> </w:t>
      </w:r>
      <w:r>
        <w:t xml:space="preserve">as well as </w:t>
      </w:r>
      <w:r w:rsidR="00F82E67">
        <w:t>lack of State implementation of existing human rights obligations.  Some delegations called for the strengthening of existing institutions</w:t>
      </w:r>
      <w:r>
        <w:t xml:space="preserve"> and implementation of existing </w:t>
      </w:r>
      <w:r w:rsidR="00F82E67">
        <w:t>instruments, such as the UNGPs</w:t>
      </w:r>
      <w:r w:rsidR="00774B9B">
        <w:t xml:space="preserve">, and </w:t>
      </w:r>
      <w:r>
        <w:t xml:space="preserve">noted </w:t>
      </w:r>
      <w:r w:rsidR="007961C5">
        <w:t xml:space="preserve">that </w:t>
      </w:r>
      <w:r w:rsidR="00774B9B">
        <w:t xml:space="preserve">guidance </w:t>
      </w:r>
      <w:r w:rsidR="007961C5">
        <w:t xml:space="preserve">in this regard </w:t>
      </w:r>
      <w:r w:rsidR="00774B9B">
        <w:t xml:space="preserve">could be drawn from </w:t>
      </w:r>
      <w:r w:rsidR="007961C5">
        <w:t xml:space="preserve">initiatives like </w:t>
      </w:r>
      <w:r w:rsidR="00774B9B">
        <w:t xml:space="preserve">the OHCHR Accountability and Remedy Project.  Others </w:t>
      </w:r>
      <w:r w:rsidR="007961C5">
        <w:t xml:space="preserve">expressed the view that existing institutions and instruments are failing to ensure protection of victims, and </w:t>
      </w:r>
      <w:r>
        <w:t xml:space="preserve">that </w:t>
      </w:r>
      <w:r w:rsidR="007961C5">
        <w:t xml:space="preserve">the creation of a legally binding instrument to oblige States and </w:t>
      </w:r>
      <w:r w:rsidR="003D46D6">
        <w:t>TNCs and OBEs</w:t>
      </w:r>
      <w:r w:rsidR="007961C5">
        <w:t xml:space="preserve"> to comply with </w:t>
      </w:r>
      <w:r>
        <w:t xml:space="preserve">human rights </w:t>
      </w:r>
      <w:r w:rsidR="007961C5">
        <w:t xml:space="preserve">standards, and </w:t>
      </w:r>
      <w:r>
        <w:t>the creation of</w:t>
      </w:r>
      <w:r w:rsidR="007961C5">
        <w:t xml:space="preserve"> mechanisms to enforce such obligations, </w:t>
      </w:r>
      <w:r>
        <w:t xml:space="preserve">are necessary to </w:t>
      </w:r>
      <w:r w:rsidR="00AA2362">
        <w:t>address shortcomings in the current system</w:t>
      </w:r>
      <w:r w:rsidR="007961C5">
        <w:t>.  Delegations and NGOs stressed the importance of victi</w:t>
      </w:r>
      <w:r w:rsidR="00AA2362">
        <w:t xml:space="preserve">ms’ participation in these processes, the need to ensure that they obtain redress when their rights are violated, and the importance of protecting human rights defenders. </w:t>
      </w:r>
    </w:p>
    <w:p w14:paraId="1B13832D" w14:textId="77777777" w:rsidR="00CE2983" w:rsidRPr="00DB0EA6" w:rsidRDefault="00CE2983" w:rsidP="006F5A72">
      <w:pPr>
        <w:pStyle w:val="HChG"/>
      </w:pPr>
      <w:r w:rsidRPr="00DB0EA6">
        <w:tab/>
      </w:r>
      <w:bookmarkStart w:id="57" w:name="_Toc471217418"/>
      <w:bookmarkStart w:id="58" w:name="_Toc496373820"/>
      <w:bookmarkStart w:id="59" w:name="_Toc497205726"/>
      <w:r w:rsidRPr="00DB0EA6">
        <w:t>V.</w:t>
      </w:r>
      <w:r w:rsidRPr="00DB0EA6">
        <w:tab/>
        <w:t>Recommendations of the Chair-Rapporteur and conclusions of the working group</w:t>
      </w:r>
      <w:bookmarkEnd w:id="57"/>
      <w:bookmarkEnd w:id="58"/>
      <w:bookmarkEnd w:id="59"/>
    </w:p>
    <w:p w14:paraId="569C19AE" w14:textId="77777777" w:rsidR="00CE2983" w:rsidRPr="00DB0EA6" w:rsidRDefault="00CE2983" w:rsidP="006F5A72">
      <w:pPr>
        <w:pStyle w:val="H1G"/>
      </w:pPr>
      <w:r w:rsidRPr="00DB0EA6">
        <w:tab/>
      </w:r>
      <w:bookmarkStart w:id="60" w:name="_Toc471217419"/>
      <w:bookmarkStart w:id="61" w:name="_Toc496373821"/>
      <w:bookmarkStart w:id="62" w:name="_Toc497205727"/>
      <w:r w:rsidRPr="00DB0EA6">
        <w:t>A.</w:t>
      </w:r>
      <w:r w:rsidRPr="00DB0EA6">
        <w:tab/>
        <w:t>Recommendations of the Chair-Rapporteur</w:t>
      </w:r>
      <w:bookmarkEnd w:id="60"/>
      <w:bookmarkEnd w:id="61"/>
      <w:bookmarkEnd w:id="62"/>
    </w:p>
    <w:p w14:paraId="3D921B3A" w14:textId="0B979EE7" w:rsidR="00CE2983" w:rsidRDefault="00CE2983" w:rsidP="00E32A27">
      <w:pPr>
        <w:pStyle w:val="SingleTxtG"/>
        <w:numPr>
          <w:ilvl w:val="0"/>
          <w:numId w:val="13"/>
        </w:numPr>
        <w:ind w:left="1138" w:right="1138" w:firstLine="0"/>
        <w:rPr>
          <w:b/>
          <w:bCs/>
        </w:rPr>
      </w:pPr>
      <w:r w:rsidRPr="00DB0EA6">
        <w:rPr>
          <w:b/>
          <w:bCs/>
        </w:rPr>
        <w:t xml:space="preserve"> </w:t>
      </w:r>
      <w:r w:rsidR="002116BE" w:rsidRPr="008C4D92">
        <w:rPr>
          <w:b/>
          <w:bCs/>
        </w:rPr>
        <w:t>Following the discussions held during the first three sessions of the OEIGWG, in particular discussion of the elements for the draft legally binding instrument on transnational corporations and other business enterprises with respect to human rights presented by the Chair-Rapporteur, and pursuant to its mandate, as spelled out in operative paragraph 1 of Resolution 26/9, and acknowledging different views expressed</w:t>
      </w:r>
      <w:r w:rsidR="002116BE">
        <w:rPr>
          <w:b/>
          <w:bCs/>
        </w:rPr>
        <w:t>, the Chair-Rapporteur should</w:t>
      </w:r>
      <w:r w:rsidRPr="00DB0EA6">
        <w:rPr>
          <w:b/>
          <w:bCs/>
        </w:rPr>
        <w:t>:</w:t>
      </w:r>
    </w:p>
    <w:p w14:paraId="7FB08F67" w14:textId="36DCF388" w:rsidR="00633B21" w:rsidRDefault="00464D6D" w:rsidP="00BB5DB7">
      <w:pPr>
        <w:pStyle w:val="SingleTxtG"/>
        <w:numPr>
          <w:ilvl w:val="0"/>
          <w:numId w:val="28"/>
        </w:numPr>
        <w:ind w:left="1138" w:right="1138" w:firstLine="562"/>
        <w:rPr>
          <w:b/>
          <w:bCs/>
        </w:rPr>
      </w:pPr>
      <w:r w:rsidRPr="00633B21">
        <w:rPr>
          <w:b/>
          <w:bCs/>
        </w:rPr>
        <w:t>Invite States and different stakeholders to submit their comments and proposals on the draft element paper no later than the end of February 2018.</w:t>
      </w:r>
    </w:p>
    <w:p w14:paraId="27ACE12F" w14:textId="7614D34F" w:rsidR="00633B21" w:rsidRDefault="00464D6D" w:rsidP="00BB5DB7">
      <w:pPr>
        <w:pStyle w:val="SingleTxtG"/>
        <w:numPr>
          <w:ilvl w:val="0"/>
          <w:numId w:val="28"/>
        </w:numPr>
        <w:ind w:left="1138" w:right="1138" w:firstLine="562"/>
        <w:rPr>
          <w:b/>
          <w:bCs/>
        </w:rPr>
      </w:pPr>
      <w:r w:rsidRPr="00633B21">
        <w:rPr>
          <w:b/>
          <w:bCs/>
        </w:rPr>
        <w:t>Present a draft legally binding instrument on transnational corporations and other business enterprises with respect to human rights, on the basis of the contributions from States and other relevant stakeholders, at least four months before the fourth session of the Working Group, for substantive negotiations during its fourth and upcoming annual sessions until the fulfilment of its mandate</w:t>
      </w:r>
      <w:r w:rsidR="00633B21" w:rsidRPr="00633B21">
        <w:rPr>
          <w:b/>
          <w:bCs/>
        </w:rPr>
        <w:t>.</w:t>
      </w:r>
    </w:p>
    <w:p w14:paraId="5A7BC2C0" w14:textId="571DA76D" w:rsidR="00464D6D" w:rsidRPr="00633B21" w:rsidRDefault="00464D6D" w:rsidP="00BB5DB7">
      <w:pPr>
        <w:pStyle w:val="SingleTxtG"/>
        <w:numPr>
          <w:ilvl w:val="0"/>
          <w:numId w:val="28"/>
        </w:numPr>
        <w:ind w:left="1138" w:right="1138" w:firstLine="562"/>
        <w:rPr>
          <w:b/>
          <w:bCs/>
        </w:rPr>
      </w:pPr>
      <w:r w:rsidRPr="00633B21">
        <w:rPr>
          <w:b/>
          <w:bCs/>
        </w:rPr>
        <w:t>Convene a fourth session of the Working Group to be held in 2018 and undertake informal consultations with States and other relevant stakeholders on its programme of work.</w:t>
      </w:r>
    </w:p>
    <w:p w14:paraId="5695E24B" w14:textId="384DE368" w:rsidR="00CE2983" w:rsidRDefault="00CE2983" w:rsidP="005710F5">
      <w:pPr>
        <w:pStyle w:val="H1G"/>
      </w:pPr>
      <w:r w:rsidRPr="00DB0EA6">
        <w:tab/>
      </w:r>
      <w:bookmarkStart w:id="63" w:name="_Toc471217420"/>
      <w:bookmarkStart w:id="64" w:name="_Toc496373822"/>
      <w:bookmarkStart w:id="65" w:name="_Toc497205728"/>
      <w:r w:rsidRPr="00DB0EA6">
        <w:t>B.</w:t>
      </w:r>
      <w:r w:rsidRPr="00DB0EA6">
        <w:tab/>
        <w:t>Conclusions of the working group</w:t>
      </w:r>
      <w:bookmarkEnd w:id="63"/>
      <w:bookmarkEnd w:id="64"/>
      <w:bookmarkEnd w:id="65"/>
    </w:p>
    <w:p w14:paraId="6426C0AE" w14:textId="7625A123" w:rsidR="006012E2" w:rsidRPr="00464D6D" w:rsidRDefault="00FF550E" w:rsidP="00EE1C04">
      <w:pPr>
        <w:pStyle w:val="ListParagraph"/>
        <w:numPr>
          <w:ilvl w:val="0"/>
          <w:numId w:val="13"/>
        </w:numPr>
        <w:ind w:left="1138" w:right="1138" w:firstLine="0"/>
        <w:jc w:val="both"/>
        <w:rPr>
          <w:b/>
          <w:bCs/>
        </w:rPr>
      </w:pPr>
      <w:r w:rsidRPr="00FF550E">
        <w:rPr>
          <w:b/>
        </w:rPr>
        <w:t xml:space="preserve"> At the final meeting of its third session, on 27 October 2017, the working group adopted the following conclusions, in accordance with its mandate established by resolution 26/9:</w:t>
      </w:r>
    </w:p>
    <w:p w14:paraId="086F2D2F" w14:textId="626E4CC7" w:rsidR="002116BE" w:rsidRPr="008C4D92" w:rsidRDefault="00464D6D" w:rsidP="00BB5DB7">
      <w:pPr>
        <w:pStyle w:val="SingleTxtG"/>
        <w:ind w:left="1138" w:right="1138" w:firstLine="562"/>
        <w:rPr>
          <w:b/>
          <w:bCs/>
        </w:rPr>
      </w:pPr>
      <w:r w:rsidRPr="008C4D92">
        <w:rPr>
          <w:b/>
          <w:bCs/>
        </w:rPr>
        <w:t>(a)</w:t>
      </w:r>
      <w:r w:rsidRPr="008C4D92">
        <w:rPr>
          <w:b/>
          <w:bCs/>
        </w:rPr>
        <w:tab/>
        <w:t>The Working Group welcomed the opening messages of the United Nations High Commissioner for Human Rights, Zeid Ra’ad Al Hussein and of the President of the Human Rights Council, Joaquín Alexander Maza Martelli, and thanked the Minister of Foreign Affairs of Ecuador, Minister María Fernanda Espinosa Garcés, and the Member of the French National Assembly, Dominique Potier, for their participation as keynote speakers. It also thanked the independent experts and representatives who took part in panel discussions, the interventions, proposals and comments received from Governments, regional and political groups, intergovernmental organizations, civil society, NGOs and all other relevant stakeholders, which contributed to the substantive discussions of this session</w:t>
      </w:r>
      <w:r w:rsidR="00633B21">
        <w:rPr>
          <w:b/>
          <w:bCs/>
        </w:rPr>
        <w:t>.</w:t>
      </w:r>
      <w:r w:rsidRPr="008C4D92">
        <w:rPr>
          <w:b/>
          <w:bCs/>
        </w:rPr>
        <w:t xml:space="preserve"> </w:t>
      </w:r>
    </w:p>
    <w:p w14:paraId="3AD3B4D2" w14:textId="3BC43B85" w:rsidR="00464D6D" w:rsidRPr="008C4D92" w:rsidRDefault="00464D6D" w:rsidP="00BB5DB7">
      <w:pPr>
        <w:pStyle w:val="SingleTxtG"/>
        <w:ind w:left="1138" w:right="1138" w:firstLine="562"/>
        <w:rPr>
          <w:b/>
          <w:bCs/>
        </w:rPr>
      </w:pPr>
      <w:r w:rsidRPr="008C4D92">
        <w:rPr>
          <w:b/>
          <w:bCs/>
        </w:rPr>
        <w:t>(b)</w:t>
      </w:r>
      <w:r w:rsidRPr="008C4D92">
        <w:rPr>
          <w:b/>
          <w:bCs/>
        </w:rPr>
        <w:tab/>
        <w:t>The Working Group took note of</w:t>
      </w:r>
      <w:r w:rsidR="00633B21">
        <w:rPr>
          <w:b/>
          <w:bCs/>
        </w:rPr>
        <w:t xml:space="preserve"> the</w:t>
      </w:r>
      <w:r w:rsidR="001A0E35">
        <w:rPr>
          <w:b/>
          <w:bCs/>
        </w:rPr>
        <w:t xml:space="preserve"> elements for </w:t>
      </w:r>
      <w:r w:rsidR="00DD0F74">
        <w:rPr>
          <w:b/>
          <w:bCs/>
        </w:rPr>
        <w:t>the</w:t>
      </w:r>
      <w:r w:rsidRPr="008C4D92">
        <w:rPr>
          <w:b/>
          <w:bCs/>
        </w:rPr>
        <w:t xml:space="preserve"> draft legally binding instrument on transnational corporations and other business enterprises with respect to human rights, prepared by the Chair-Rapporteur in accordance with operative paragraph 3 of HRC Resolution 26/9 and the substantive discussions and negotiations and the presentation of various views thereof. </w:t>
      </w:r>
    </w:p>
    <w:p w14:paraId="1CA3AFEE" w14:textId="66CCAEEF" w:rsidR="00464D6D" w:rsidRPr="008C4D92" w:rsidRDefault="00464D6D" w:rsidP="00BB5DB7">
      <w:pPr>
        <w:pStyle w:val="SingleTxtG"/>
        <w:ind w:left="1138" w:right="1138" w:firstLine="562"/>
        <w:rPr>
          <w:b/>
          <w:bCs/>
        </w:rPr>
      </w:pPr>
      <w:r w:rsidRPr="008C4D92">
        <w:rPr>
          <w:b/>
          <w:bCs/>
        </w:rPr>
        <w:t>(c)</w:t>
      </w:r>
      <w:r w:rsidRPr="008C4D92">
        <w:rPr>
          <w:b/>
          <w:bCs/>
        </w:rPr>
        <w:tab/>
        <w:t>The Working Group requests the Chair-Rapporteur to undertake informal consultations with States and other relevant stakeholders on the way forward on the elaboration of a legally binding instrument pursuant to the mandate of Human Rights Council Resolution 26/9.</w:t>
      </w:r>
    </w:p>
    <w:p w14:paraId="1C0BA2AC" w14:textId="77777777" w:rsidR="00CE2983" w:rsidRPr="00DB0EA6" w:rsidRDefault="00CE2983" w:rsidP="00F955DD">
      <w:pPr>
        <w:pStyle w:val="HChG"/>
      </w:pPr>
      <w:r w:rsidRPr="00DB0EA6">
        <w:tab/>
      </w:r>
      <w:bookmarkStart w:id="66" w:name="_Toc471217421"/>
      <w:bookmarkStart w:id="67" w:name="_Toc496373823"/>
      <w:bookmarkStart w:id="68" w:name="_Toc497205729"/>
      <w:r w:rsidRPr="00DB0EA6">
        <w:t>VI.</w:t>
      </w:r>
      <w:r w:rsidRPr="00DB0EA6">
        <w:tab/>
        <w:t>Adoption of the report</w:t>
      </w:r>
      <w:bookmarkEnd w:id="66"/>
      <w:bookmarkEnd w:id="67"/>
      <w:bookmarkEnd w:id="68"/>
    </w:p>
    <w:p w14:paraId="056C6CC4" w14:textId="07EB42D1" w:rsidR="00CE2983" w:rsidRPr="006012E2" w:rsidRDefault="00FD3DAC" w:rsidP="006012E2">
      <w:pPr>
        <w:pStyle w:val="SingleTxtG"/>
        <w:numPr>
          <w:ilvl w:val="0"/>
          <w:numId w:val="13"/>
        </w:numPr>
        <w:shd w:val="clear" w:color="auto" w:fill="FFFFFF" w:themeFill="background1"/>
        <w:ind w:left="1138" w:right="1138" w:firstLine="0"/>
        <w:rPr>
          <w:b/>
          <w:bCs/>
        </w:rPr>
      </w:pPr>
      <w:r w:rsidRPr="006012E2">
        <w:rPr>
          <w:b/>
          <w:bCs/>
        </w:rPr>
        <w:t>At its 10th meeting, on 27 October 2017</w:t>
      </w:r>
      <w:r w:rsidR="00CE2983" w:rsidRPr="006012E2">
        <w:rPr>
          <w:b/>
          <w:bCs/>
        </w:rPr>
        <w:t>, the working</w:t>
      </w:r>
      <w:r w:rsidR="00633B21">
        <w:rPr>
          <w:b/>
          <w:bCs/>
        </w:rPr>
        <w:t xml:space="preserve"> </w:t>
      </w:r>
      <w:r w:rsidR="00633B21" w:rsidRPr="00633B21">
        <w:rPr>
          <w:b/>
          <w:bCs/>
        </w:rPr>
        <w:t xml:space="preserve">group adopted </w:t>
      </w:r>
      <w:r w:rsidR="00633B21" w:rsidRPr="00633B21">
        <w:rPr>
          <w:b/>
          <w:bCs/>
          <w:i/>
        </w:rPr>
        <w:t>ad referendum</w:t>
      </w:r>
      <w:r w:rsidR="00633B21" w:rsidRPr="00633B21">
        <w:rPr>
          <w:b/>
          <w:bCs/>
        </w:rPr>
        <w:t xml:space="preserve"> the draft report on its third session and decided to entrust the Chair-Rapporteur with its finalization and submission to the Human Rights Council for consideration at its thirty-seventh session.</w:t>
      </w:r>
    </w:p>
    <w:p w14:paraId="2B954B3C" w14:textId="77777777" w:rsidR="00CE2983" w:rsidRPr="00DB0EA6" w:rsidRDefault="00CE2983" w:rsidP="00D34C58">
      <w:pPr>
        <w:pStyle w:val="HMG"/>
      </w:pPr>
      <w:r w:rsidRPr="00DB0EA6">
        <w:br w:type="page"/>
      </w:r>
      <w:bookmarkStart w:id="69" w:name="_Toc471217422"/>
      <w:bookmarkStart w:id="70" w:name="_Toc496373824"/>
      <w:bookmarkStart w:id="71" w:name="Annex"/>
      <w:bookmarkEnd w:id="0"/>
      <w:r w:rsidRPr="00DB0EA6">
        <w:t>Annex I</w:t>
      </w:r>
      <w:bookmarkEnd w:id="69"/>
      <w:bookmarkEnd w:id="70"/>
    </w:p>
    <w:p w14:paraId="197400D6" w14:textId="77777777" w:rsidR="00CE2983" w:rsidRPr="00DB0EA6" w:rsidRDefault="00CE2983" w:rsidP="00C23E3D">
      <w:pPr>
        <w:pStyle w:val="HChG"/>
      </w:pPr>
      <w:r w:rsidRPr="00DB0EA6">
        <w:tab/>
      </w:r>
      <w:r w:rsidRPr="00DB0EA6">
        <w:tab/>
      </w:r>
      <w:bookmarkStart w:id="72" w:name="_Toc471217423"/>
      <w:bookmarkStart w:id="73" w:name="_Toc496373825"/>
      <w:bookmarkStart w:id="74" w:name="_Toc496376081"/>
      <w:r w:rsidRPr="00DB0EA6">
        <w:t>List of participants</w:t>
      </w:r>
      <w:bookmarkEnd w:id="72"/>
      <w:bookmarkEnd w:id="73"/>
      <w:bookmarkEnd w:id="74"/>
    </w:p>
    <w:p w14:paraId="1250C286" w14:textId="77777777" w:rsidR="00CE2983" w:rsidRPr="00DB0EA6" w:rsidRDefault="00CE2983" w:rsidP="00C23E3D">
      <w:pPr>
        <w:pStyle w:val="H1G"/>
      </w:pPr>
      <w:r w:rsidRPr="00DB0EA6">
        <w:tab/>
      </w:r>
      <w:r w:rsidRPr="00DB0EA6">
        <w:tab/>
      </w:r>
      <w:bookmarkStart w:id="75" w:name="_Toc471217424"/>
      <w:bookmarkStart w:id="76" w:name="_Toc496373826"/>
      <w:r w:rsidRPr="00DB0EA6">
        <w:t>States Members of the United Nations</w:t>
      </w:r>
      <w:bookmarkEnd w:id="75"/>
      <w:bookmarkEnd w:id="76"/>
    </w:p>
    <w:p w14:paraId="3F434BAC" w14:textId="01154783" w:rsidR="00CE2983" w:rsidRPr="00DB0EA6" w:rsidRDefault="00492E6C" w:rsidP="00AE0892">
      <w:pPr>
        <w:pStyle w:val="SingleTxtG"/>
      </w:pPr>
      <w:r w:rsidRPr="00EE35D4">
        <w:t xml:space="preserve">Algeria, </w:t>
      </w:r>
      <w:r>
        <w:t xml:space="preserve">Angola, </w:t>
      </w:r>
      <w:r w:rsidRPr="00EE35D4">
        <w:t xml:space="preserve">Argentina, Australia, Austria, </w:t>
      </w:r>
      <w:r>
        <w:t xml:space="preserve">Azerbaijan, Bahrain, </w:t>
      </w:r>
      <w:r w:rsidRPr="00EE35D4">
        <w:t xml:space="preserve">Bangladesh, Belarus, Belgium, Bolivia (Plurinational State of), Botswana, Brazil, </w:t>
      </w:r>
      <w:r>
        <w:t xml:space="preserve">Burundi, Central African Republic, </w:t>
      </w:r>
      <w:r w:rsidRPr="00EE35D4">
        <w:t>Chile, China, Colombia,</w:t>
      </w:r>
      <w:r>
        <w:t xml:space="preserve"> </w:t>
      </w:r>
      <w:r w:rsidRPr="00EE35D4">
        <w:t>Costa Rica,</w:t>
      </w:r>
      <w:r>
        <w:t xml:space="preserve"> Croatia,</w:t>
      </w:r>
      <w:r w:rsidRPr="00EE35D4">
        <w:t xml:space="preserve"> Cuba, </w:t>
      </w:r>
      <w:r>
        <w:t xml:space="preserve">Cyprus, </w:t>
      </w:r>
      <w:r w:rsidRPr="00EE35D4">
        <w:t xml:space="preserve">Czechia, </w:t>
      </w:r>
      <w:r w:rsidR="00F42CBA">
        <w:t xml:space="preserve">Democratic Republic of the Congo, </w:t>
      </w:r>
      <w:r w:rsidRPr="00EE35D4">
        <w:t xml:space="preserve">Ecuador, Egypt, </w:t>
      </w:r>
      <w:r>
        <w:t>Estonia</w:t>
      </w:r>
      <w:r w:rsidRPr="00EE35D4">
        <w:t xml:space="preserve">, Ethiopia, Finland, </w:t>
      </w:r>
      <w:r>
        <w:t xml:space="preserve">The Former Yugoslav Republic of Macedonia, </w:t>
      </w:r>
      <w:r w:rsidRPr="00EE35D4">
        <w:t xml:space="preserve">France, Georgia, Germany, Ghana, Greece, Guatemala, Haiti, Honduras, India, Indonesia, Iran (Islamic Republic of), Iraq, </w:t>
      </w:r>
      <w:r>
        <w:t>Ireland, Israel</w:t>
      </w:r>
      <w:r w:rsidRPr="00EE35D4">
        <w:t xml:space="preserve">, Italy, </w:t>
      </w:r>
      <w:r>
        <w:t>Ivory Coast, Jamaica, Jordan,</w:t>
      </w:r>
      <w:r w:rsidRPr="00EE35D4">
        <w:t xml:space="preserve"> Kazakhstan, Kenya,</w:t>
      </w:r>
      <w:r>
        <w:t xml:space="preserve"> Lesotho, Liechtenstein, Lithuania, </w:t>
      </w:r>
      <w:r w:rsidRPr="00EE35D4">
        <w:t xml:space="preserve">Luxembourg, </w:t>
      </w:r>
      <w:r>
        <w:t xml:space="preserve">Madagascar, Malta, Mauritania, </w:t>
      </w:r>
      <w:r w:rsidRPr="00EE35D4">
        <w:t xml:space="preserve">Mexico, </w:t>
      </w:r>
      <w:r>
        <w:t xml:space="preserve">Monaco, </w:t>
      </w:r>
      <w:r w:rsidRPr="00EE35D4">
        <w:t>Morocco,</w:t>
      </w:r>
      <w:r>
        <w:t xml:space="preserve"> Mozambique,</w:t>
      </w:r>
      <w:r w:rsidRPr="00EE35D4">
        <w:t xml:space="preserve"> Myanmar, Namibia </w:t>
      </w:r>
      <w:r>
        <w:t>Netherlands, Nicaragua,</w:t>
      </w:r>
      <w:r w:rsidRPr="00EE35D4">
        <w:t xml:space="preserve"> Niger</w:t>
      </w:r>
      <w:r>
        <w:t xml:space="preserve">ia, Norway, </w:t>
      </w:r>
      <w:r w:rsidRPr="00EE35D4">
        <w:t xml:space="preserve">Pakistan, Panama, Peru, </w:t>
      </w:r>
      <w:r>
        <w:t xml:space="preserve">Philippines, </w:t>
      </w:r>
      <w:r w:rsidRPr="00EE35D4">
        <w:t>Portugal, Qatar,</w:t>
      </w:r>
      <w:r>
        <w:t xml:space="preserve"> Republic of Korea,</w:t>
      </w:r>
      <w:r w:rsidRPr="00EE35D4">
        <w:t xml:space="preserve"> </w:t>
      </w:r>
      <w:r>
        <w:t xml:space="preserve">Republic of Moldova, </w:t>
      </w:r>
      <w:r w:rsidRPr="00EE35D4">
        <w:t xml:space="preserve">Russian Federation, Rwanda, Saudi Arabia, Serbia, </w:t>
      </w:r>
      <w:r>
        <w:t xml:space="preserve">Singapore, </w:t>
      </w:r>
      <w:r w:rsidRPr="00EE35D4">
        <w:t xml:space="preserve">Slovakia, </w:t>
      </w:r>
      <w:r>
        <w:t>Slovenia,</w:t>
      </w:r>
      <w:r w:rsidRPr="00EE35D4">
        <w:t xml:space="preserve"> </w:t>
      </w:r>
      <w:r>
        <w:t xml:space="preserve">Somalia, </w:t>
      </w:r>
      <w:r w:rsidRPr="008E438C">
        <w:t>South Africa,</w:t>
      </w:r>
      <w:r w:rsidRPr="00EE35D4">
        <w:t xml:space="preserve"> Spain</w:t>
      </w:r>
      <w:r>
        <w:t xml:space="preserve">, Sudan, Sweden, Syrian Arab Republic, Switzerland, </w:t>
      </w:r>
      <w:r w:rsidRPr="00EE35D4">
        <w:t xml:space="preserve">Thailand, </w:t>
      </w:r>
      <w:r>
        <w:t xml:space="preserve">Trinidad &amp; Tobago, </w:t>
      </w:r>
      <w:r w:rsidRPr="00EE35D4">
        <w:t>Tunisia, Turkey, Ukraine, United Arab Emirates, United Kingdom of Great Britain and Northern Ireland, Uruguay, Venezuela (Bolivarian Republic of)</w:t>
      </w:r>
      <w:r>
        <w:t>, Zambia</w:t>
      </w:r>
      <w:r w:rsidRPr="00EE35D4">
        <w:t>.</w:t>
      </w:r>
    </w:p>
    <w:p w14:paraId="13BAD9C8" w14:textId="77777777" w:rsidR="00CE2983" w:rsidRPr="00DB0EA6" w:rsidRDefault="00CE2983" w:rsidP="00C23E3D">
      <w:pPr>
        <w:pStyle w:val="H1G"/>
      </w:pPr>
      <w:r w:rsidRPr="00DB0EA6">
        <w:tab/>
      </w:r>
      <w:r w:rsidRPr="00DB0EA6">
        <w:tab/>
      </w:r>
      <w:bookmarkStart w:id="77" w:name="_Toc471217425"/>
      <w:bookmarkStart w:id="78" w:name="_Toc496373827"/>
      <w:r w:rsidRPr="00DB0EA6">
        <w:t>Non-member States represented by an observer</w:t>
      </w:r>
      <w:bookmarkEnd w:id="77"/>
      <w:bookmarkEnd w:id="78"/>
    </w:p>
    <w:p w14:paraId="02418E66" w14:textId="77777777" w:rsidR="00CE2983" w:rsidRPr="00DB0EA6" w:rsidRDefault="00CE2983" w:rsidP="00AE0892">
      <w:pPr>
        <w:pStyle w:val="SingleTxtG"/>
      </w:pPr>
      <w:r w:rsidRPr="00492E6C">
        <w:t>Holy See; State of Palestine.</w:t>
      </w:r>
    </w:p>
    <w:p w14:paraId="28009022" w14:textId="77777777" w:rsidR="00CE2983" w:rsidRPr="00DB0EA6" w:rsidRDefault="00CE2983" w:rsidP="00C23E3D">
      <w:pPr>
        <w:pStyle w:val="H1G"/>
      </w:pPr>
      <w:r w:rsidRPr="00DB0EA6">
        <w:tab/>
      </w:r>
      <w:r w:rsidRPr="00DB0EA6">
        <w:tab/>
      </w:r>
      <w:bookmarkStart w:id="79" w:name="_Toc471217426"/>
      <w:bookmarkStart w:id="80" w:name="_Toc496373828"/>
      <w:r w:rsidRPr="00DB0EA6">
        <w:t>United Nations funds, programmes, specialized agencies and related organizations</w:t>
      </w:r>
      <w:bookmarkEnd w:id="79"/>
      <w:bookmarkEnd w:id="80"/>
    </w:p>
    <w:p w14:paraId="38A64138" w14:textId="57C7AC80" w:rsidR="00CE2983" w:rsidRPr="00DB0EA6" w:rsidRDefault="00CE2983" w:rsidP="00AE0892">
      <w:pPr>
        <w:pStyle w:val="SingleTxtG"/>
      </w:pPr>
      <w:r w:rsidRPr="00DB0EA6">
        <w:t>United Nations Conference on Trade and Development</w:t>
      </w:r>
      <w:r w:rsidR="00492E6C">
        <w:t>.</w:t>
      </w:r>
    </w:p>
    <w:p w14:paraId="5D20DC28" w14:textId="77777777" w:rsidR="00CE2983" w:rsidRPr="00DB0EA6" w:rsidRDefault="009854D6" w:rsidP="00C23E3D">
      <w:pPr>
        <w:pStyle w:val="H1G"/>
      </w:pPr>
      <w:r w:rsidRPr="00DB0EA6">
        <w:tab/>
      </w:r>
      <w:r w:rsidRPr="00DB0EA6">
        <w:tab/>
      </w:r>
      <w:bookmarkStart w:id="81" w:name="_Toc471217427"/>
      <w:bookmarkStart w:id="82" w:name="_Toc496373829"/>
      <w:r w:rsidR="00CE2983" w:rsidRPr="00DB0EA6">
        <w:t>Intergovernmental organizations</w:t>
      </w:r>
      <w:bookmarkEnd w:id="81"/>
      <w:bookmarkEnd w:id="82"/>
    </w:p>
    <w:p w14:paraId="50AACA10" w14:textId="33C650A8" w:rsidR="00CE2983" w:rsidRPr="00DB0EA6" w:rsidRDefault="00CE2983" w:rsidP="00AE0892">
      <w:pPr>
        <w:pStyle w:val="SingleTxtG"/>
      </w:pPr>
      <w:r w:rsidRPr="00DB0EA6">
        <w:t>European Union</w:t>
      </w:r>
      <w:r w:rsidR="007466DA" w:rsidRPr="00DB0EA6">
        <w:t>, International Chamber of Commerce</w:t>
      </w:r>
      <w:r w:rsidR="00492E6C">
        <w:t xml:space="preserve">, </w:t>
      </w:r>
      <w:r w:rsidR="00ED4B9E">
        <w:t xml:space="preserve">International Development Law Organization, </w:t>
      </w:r>
      <w:r w:rsidR="00492E6C">
        <w:t>Organisation of Islamic Cooperation</w:t>
      </w:r>
      <w:r w:rsidR="00097A31">
        <w:t>, South Centre</w:t>
      </w:r>
      <w:r w:rsidR="00492E6C">
        <w:t>.</w:t>
      </w:r>
    </w:p>
    <w:p w14:paraId="1BE218DE" w14:textId="77777777" w:rsidR="00CE2983" w:rsidRPr="00DB0EA6" w:rsidRDefault="00CE2983" w:rsidP="00C23E3D">
      <w:pPr>
        <w:pStyle w:val="H1G"/>
      </w:pPr>
      <w:r w:rsidRPr="00DB0EA6">
        <w:tab/>
      </w:r>
      <w:r w:rsidRPr="00DB0EA6">
        <w:tab/>
      </w:r>
      <w:bookmarkStart w:id="83" w:name="_Toc471217429"/>
      <w:bookmarkStart w:id="84" w:name="_Toc496373831"/>
      <w:r w:rsidRPr="00DB0EA6">
        <w:t>Special procedures of the Human Rights Council</w:t>
      </w:r>
      <w:bookmarkEnd w:id="83"/>
      <w:bookmarkEnd w:id="84"/>
    </w:p>
    <w:p w14:paraId="4BE0C94D" w14:textId="5FAF2AFF" w:rsidR="00CE2983" w:rsidRPr="00DB0EA6" w:rsidRDefault="00CE2983" w:rsidP="00AE0892">
      <w:pPr>
        <w:pStyle w:val="SingleTxtG"/>
      </w:pPr>
      <w:r w:rsidRPr="00DB0EA6">
        <w:t xml:space="preserve">Working Group on </w:t>
      </w:r>
      <w:r w:rsidR="00576972">
        <w:t>the issue of human rights and transnational corporations and other business enterprises</w:t>
      </w:r>
      <w:r w:rsidR="007466DA" w:rsidRPr="00DB0EA6">
        <w:t>, Special Rapporteur on the implications for human rights of the environmentally sound management and disposal of hazardous substances and wastes</w:t>
      </w:r>
      <w:r w:rsidR="00492E6C">
        <w:t>, Independent Expert on the promotion of a democratic and equitable international order.</w:t>
      </w:r>
    </w:p>
    <w:p w14:paraId="099761D9" w14:textId="77777777" w:rsidR="00CE2983" w:rsidRPr="00DB0EA6" w:rsidRDefault="00CE2983" w:rsidP="00C23E3D">
      <w:pPr>
        <w:pStyle w:val="H1G"/>
      </w:pPr>
      <w:r w:rsidRPr="00DB0EA6">
        <w:tab/>
      </w:r>
      <w:r w:rsidRPr="00DB0EA6">
        <w:tab/>
      </w:r>
      <w:bookmarkStart w:id="85" w:name="_Toc471217430"/>
      <w:bookmarkStart w:id="86" w:name="_Toc496373832"/>
      <w:r w:rsidRPr="00DB0EA6">
        <w:t>National human rights institutions</w:t>
      </w:r>
      <w:bookmarkEnd w:id="85"/>
      <w:bookmarkEnd w:id="86"/>
    </w:p>
    <w:p w14:paraId="324C163E" w14:textId="77777777" w:rsidR="00492E6C" w:rsidRPr="00DB0EA6" w:rsidRDefault="00492E6C" w:rsidP="00492E6C">
      <w:pPr>
        <w:pStyle w:val="SingleTxtG"/>
      </w:pPr>
      <w:r w:rsidRPr="00DB0EA6">
        <w:t>The National Human Rights Council of Morocco</w:t>
      </w:r>
      <w:r>
        <w:t xml:space="preserve">, </w:t>
      </w:r>
      <w:r w:rsidRPr="00E54AA0">
        <w:t>German Institute for Human Rights</w:t>
      </w:r>
      <w:r>
        <w:t xml:space="preserve">, </w:t>
      </w:r>
      <w:r w:rsidRPr="00E54AA0">
        <w:t>Danish Institute for Human Rights</w:t>
      </w:r>
      <w:r>
        <w:t>.</w:t>
      </w:r>
    </w:p>
    <w:p w14:paraId="59B2F05A" w14:textId="77777777" w:rsidR="00CE2983" w:rsidRPr="00DB0EA6" w:rsidRDefault="00CE2983" w:rsidP="00C23E3D">
      <w:pPr>
        <w:pStyle w:val="H1G"/>
      </w:pPr>
      <w:r w:rsidRPr="00DB0EA6">
        <w:tab/>
      </w:r>
      <w:r w:rsidRPr="00DB0EA6">
        <w:tab/>
      </w:r>
      <w:bookmarkStart w:id="87" w:name="_Toc471217431"/>
      <w:bookmarkStart w:id="88" w:name="_Toc496373833"/>
      <w:r w:rsidRPr="00DB0EA6">
        <w:t>Non-governmental organizations in consultative status with the Economic and Social Council</w:t>
      </w:r>
      <w:bookmarkEnd w:id="87"/>
      <w:bookmarkEnd w:id="88"/>
    </w:p>
    <w:p w14:paraId="5C2943D1" w14:textId="7702B0E2" w:rsidR="00492E6C" w:rsidRPr="00DB0EA6" w:rsidRDefault="00492E6C" w:rsidP="00492E6C">
      <w:pPr>
        <w:pStyle w:val="SingleTxtG"/>
      </w:pPr>
      <w:r w:rsidRPr="00A04A70">
        <w:t>Academic Council on the United Nations System</w:t>
      </w:r>
      <w:r w:rsidR="00ED4B9E">
        <w:t>;</w:t>
      </w:r>
      <w:r w:rsidRPr="00A04A70">
        <w:t xml:space="preserve"> Al-Haq</w:t>
      </w:r>
      <w:r w:rsidR="00ED4B9E">
        <w:t>;</w:t>
      </w:r>
      <w:r w:rsidRPr="00A04A70">
        <w:t xml:space="preserve"> Law in the Service of Man</w:t>
      </w:r>
      <w:r w:rsidR="00ED4B9E">
        <w:t>;</w:t>
      </w:r>
      <w:r w:rsidRPr="00A04A70">
        <w:t xml:space="preserve"> American Bar Association</w:t>
      </w:r>
      <w:r w:rsidR="00ED4B9E">
        <w:t>;</w:t>
      </w:r>
      <w:r w:rsidRPr="00A04A70">
        <w:t xml:space="preserve"> Amnesty International</w:t>
      </w:r>
      <w:r w:rsidR="00ED4B9E">
        <w:t>;</w:t>
      </w:r>
      <w:r w:rsidRPr="00A04A70">
        <w:t xml:space="preserve"> Asia Pacific Forum on Women, Law and Development (APWLD</w:t>
      </w:r>
      <w:r w:rsidR="00ED4B9E" w:rsidRPr="00A04A70">
        <w:t>)</w:t>
      </w:r>
      <w:r w:rsidR="00ED4B9E">
        <w:t>;</w:t>
      </w:r>
      <w:r w:rsidR="00ED4B9E" w:rsidRPr="00A04A70">
        <w:t xml:space="preserve"> </w:t>
      </w:r>
      <w:r w:rsidRPr="00A04A70">
        <w:t>Association for Women's Rights in Development (AWID</w:t>
      </w:r>
      <w:r w:rsidR="00ED4B9E" w:rsidRPr="00A04A70">
        <w:t>)</w:t>
      </w:r>
      <w:r w:rsidR="00ED4B9E">
        <w:t>;</w:t>
      </w:r>
      <w:r w:rsidR="00ED4B9E" w:rsidRPr="00A04A70">
        <w:t xml:space="preserve"> </w:t>
      </w:r>
      <w:r w:rsidRPr="00A04A70">
        <w:t xml:space="preserve">Centre Europe </w:t>
      </w:r>
      <w:r w:rsidR="00CC4D0E">
        <w:t>–</w:t>
      </w:r>
      <w:r w:rsidRPr="00A04A70">
        <w:t xml:space="preserve"> Tiers Monde </w:t>
      </w:r>
      <w:r w:rsidR="00CC4D0E">
        <w:t>–</w:t>
      </w:r>
      <w:r w:rsidRPr="00A04A70">
        <w:t xml:space="preserve"> Europe-Third World Centre (CETIM)</w:t>
      </w:r>
      <w:r w:rsidR="00ED4B9E">
        <w:t>;</w:t>
      </w:r>
      <w:r w:rsidRPr="00A04A70">
        <w:t xml:space="preserve"> Center for International Environmental Law (CIEL</w:t>
      </w:r>
      <w:r w:rsidR="00ED4B9E" w:rsidRPr="00A04A70">
        <w:t>)</w:t>
      </w:r>
      <w:r w:rsidR="00ED4B9E">
        <w:t>;</w:t>
      </w:r>
      <w:r w:rsidR="00ED4B9E" w:rsidRPr="00A04A70">
        <w:t xml:space="preserve"> </w:t>
      </w:r>
      <w:r w:rsidRPr="00A04A70">
        <w:t>Comité Catholique contre la Faim et pour le Développement (CCFD</w:t>
      </w:r>
      <w:r w:rsidR="00ED4B9E" w:rsidRPr="00A04A70">
        <w:t>)</w:t>
      </w:r>
      <w:r w:rsidR="00ED4B9E">
        <w:t>;</w:t>
      </w:r>
      <w:r w:rsidR="00ED4B9E" w:rsidRPr="00A04A70">
        <w:t xml:space="preserve"> </w:t>
      </w:r>
      <w:r w:rsidRPr="00A04A70">
        <w:t>Conectas Direitos Humanos</w:t>
      </w:r>
      <w:r w:rsidR="00ED4B9E">
        <w:t>;</w:t>
      </w:r>
      <w:r w:rsidR="00ED4B9E" w:rsidRPr="00A04A70">
        <w:t xml:space="preserve"> </w:t>
      </w:r>
      <w:r w:rsidRPr="00A04A70">
        <w:t>Coopération Internationale pour le Développement et la Solidarité (CIDSE</w:t>
      </w:r>
      <w:r w:rsidR="00ED4B9E" w:rsidRPr="00A04A70">
        <w:t>)</w:t>
      </w:r>
      <w:r w:rsidR="00ED4B9E">
        <w:t>;</w:t>
      </w:r>
      <w:r w:rsidR="00ED4B9E" w:rsidRPr="00A04A70">
        <w:t xml:space="preserve"> </w:t>
      </w:r>
      <w:r w:rsidRPr="00A04A70">
        <w:t>Corporate Accountability International (CAI</w:t>
      </w:r>
      <w:r w:rsidR="00ED4B9E" w:rsidRPr="00A04A70">
        <w:t>)</w:t>
      </w:r>
      <w:r w:rsidR="00ED4B9E">
        <w:t>;</w:t>
      </w:r>
      <w:r w:rsidR="00ED4B9E" w:rsidRPr="00A04A70">
        <w:t xml:space="preserve"> </w:t>
      </w:r>
      <w:r w:rsidRPr="00A04A70">
        <w:t>Fondation pour l'étude des relations internationales et du développement</w:t>
      </w:r>
      <w:r w:rsidR="00ED4B9E">
        <w:t>;</w:t>
      </w:r>
      <w:r w:rsidR="00ED4B9E" w:rsidRPr="00A04A70">
        <w:t xml:space="preserve"> </w:t>
      </w:r>
      <w:r w:rsidRPr="00A04A70">
        <w:t>FIAN International e.V.</w:t>
      </w:r>
      <w:r w:rsidR="00ED4B9E">
        <w:t>;</w:t>
      </w:r>
      <w:r w:rsidRPr="00A04A70">
        <w:t xml:space="preserve"> Franciscans International</w:t>
      </w:r>
      <w:r w:rsidR="00ED4B9E">
        <w:t>;</w:t>
      </w:r>
      <w:r w:rsidR="00ED4B9E" w:rsidRPr="00A04A70">
        <w:t xml:space="preserve"> </w:t>
      </w:r>
      <w:r w:rsidRPr="00A04A70">
        <w:t>Friends of the Earth International</w:t>
      </w:r>
      <w:r w:rsidR="00ED4B9E">
        <w:t>;</w:t>
      </w:r>
      <w:r w:rsidR="00ED4B9E" w:rsidRPr="00A04A70">
        <w:t xml:space="preserve"> </w:t>
      </w:r>
      <w:r w:rsidRPr="00A04A70">
        <w:t>Global Policy Forum</w:t>
      </w:r>
      <w:r w:rsidR="00ED4B9E">
        <w:t>;</w:t>
      </w:r>
      <w:r w:rsidR="00ED4B9E" w:rsidRPr="00A04A70">
        <w:t xml:space="preserve"> </w:t>
      </w:r>
      <w:r w:rsidRPr="00A04A70">
        <w:t>Indian Movement "Tupaj Amaru</w:t>
      </w:r>
      <w:r w:rsidR="00ED4B9E">
        <w:t>;</w:t>
      </w:r>
      <w:r w:rsidR="00ED4B9E" w:rsidRPr="00A04A70">
        <w:t xml:space="preserve">" </w:t>
      </w:r>
      <w:r w:rsidRPr="00A04A70">
        <w:t>Indigenous Peoples' International Centre for Policy Research and Education (Tebtebba</w:t>
      </w:r>
      <w:r w:rsidR="00ED4B9E" w:rsidRPr="00A04A70">
        <w:t>)</w:t>
      </w:r>
      <w:r w:rsidR="00ED4B9E">
        <w:t>;</w:t>
      </w:r>
      <w:r w:rsidR="00ED4B9E" w:rsidRPr="00A04A70">
        <w:t xml:space="preserve"> </w:t>
      </w:r>
      <w:r w:rsidRPr="00A04A70">
        <w:t>Institute for Policy Studies</w:t>
      </w:r>
      <w:r w:rsidR="00097A31">
        <w:t xml:space="preserve"> (IPS</w:t>
      </w:r>
      <w:r w:rsidR="00ED4B9E">
        <w:t>);</w:t>
      </w:r>
      <w:r w:rsidR="00ED4B9E" w:rsidRPr="00A04A70">
        <w:t xml:space="preserve"> </w:t>
      </w:r>
      <w:r w:rsidRPr="00A04A70">
        <w:t>Instituto Para la Participación y el Desarrollo-INPADE-Asociación Civil</w:t>
      </w:r>
      <w:r w:rsidR="00ED4B9E">
        <w:t>;</w:t>
      </w:r>
      <w:r w:rsidR="00ED4B9E" w:rsidRPr="00A04A70">
        <w:t xml:space="preserve"> </w:t>
      </w:r>
      <w:r w:rsidRPr="00A04A70">
        <w:t>International Association of Democratic Lawyers (IADL</w:t>
      </w:r>
      <w:r w:rsidR="00ED4B9E" w:rsidRPr="00A04A70">
        <w:t>)</w:t>
      </w:r>
      <w:r w:rsidR="00ED4B9E">
        <w:t>;</w:t>
      </w:r>
      <w:r w:rsidR="00ED4B9E" w:rsidRPr="00A04A70">
        <w:t xml:space="preserve"> </w:t>
      </w:r>
      <w:r w:rsidRPr="00A04A70">
        <w:t>International Commission of Jurists</w:t>
      </w:r>
      <w:r w:rsidR="00ED4B9E">
        <w:t>;</w:t>
      </w:r>
      <w:r w:rsidR="00ED4B9E" w:rsidRPr="00A04A70">
        <w:t xml:space="preserve"> </w:t>
      </w:r>
      <w:r w:rsidRPr="00A04A70">
        <w:t>International Federation for Human Rights Leagues (FIDH</w:t>
      </w:r>
      <w:r w:rsidR="00ED4B9E" w:rsidRPr="00A04A70">
        <w:t>)</w:t>
      </w:r>
      <w:r w:rsidR="00ED4B9E">
        <w:t>;</w:t>
      </w:r>
      <w:r w:rsidR="00ED4B9E" w:rsidRPr="00A04A70">
        <w:t xml:space="preserve"> </w:t>
      </w:r>
      <w:r w:rsidRPr="00A04A70">
        <w:t>International Institute of Sustainable Development</w:t>
      </w:r>
      <w:r w:rsidR="00ED4B9E">
        <w:t>;</w:t>
      </w:r>
      <w:r w:rsidR="00ED4B9E" w:rsidRPr="00A04A70">
        <w:t xml:space="preserve"> </w:t>
      </w:r>
      <w:r w:rsidRPr="00A04A70">
        <w:t>International Organisation of Employers (IOE</w:t>
      </w:r>
      <w:r w:rsidR="00ED4B9E" w:rsidRPr="00A04A70">
        <w:t>)</w:t>
      </w:r>
      <w:r w:rsidR="00ED4B9E">
        <w:t>;</w:t>
      </w:r>
      <w:r w:rsidR="00ED4B9E" w:rsidRPr="00A04A70">
        <w:t xml:space="preserve"> </w:t>
      </w:r>
      <w:r w:rsidR="00097A31">
        <w:t>International Service for Human Rights (ISHR</w:t>
      </w:r>
      <w:r w:rsidR="00ED4B9E">
        <w:t xml:space="preserve">); </w:t>
      </w:r>
      <w:r w:rsidRPr="00A04A70">
        <w:t>International Trade Union Confederation</w:t>
      </w:r>
      <w:r w:rsidR="00ED4B9E">
        <w:t>;</w:t>
      </w:r>
      <w:r w:rsidR="00ED4B9E" w:rsidRPr="00A04A70">
        <w:t xml:space="preserve"> </w:t>
      </w:r>
      <w:r w:rsidRPr="00A04A70">
        <w:t>IT for Change</w:t>
      </w:r>
      <w:r w:rsidR="00ED4B9E">
        <w:t>;</w:t>
      </w:r>
      <w:r w:rsidR="00ED4B9E" w:rsidRPr="00A04A70">
        <w:t xml:space="preserve"> </w:t>
      </w:r>
      <w:r w:rsidRPr="00A04A70">
        <w:t>iuventum e.V.</w:t>
      </w:r>
      <w:r w:rsidR="00ED4B9E">
        <w:t>;</w:t>
      </w:r>
      <w:r w:rsidRPr="00A04A70">
        <w:t xml:space="preserve"> Legal Resources Centre</w:t>
      </w:r>
      <w:r w:rsidR="00ED4B9E">
        <w:t>;</w:t>
      </w:r>
      <w:r w:rsidR="00ED4B9E" w:rsidRPr="00A04A70">
        <w:t xml:space="preserve"> </w:t>
      </w:r>
      <w:r w:rsidRPr="00A04A70">
        <w:t>Oxfam International</w:t>
      </w:r>
      <w:r w:rsidR="00ED4B9E">
        <w:t>;</w:t>
      </w:r>
      <w:r w:rsidR="00ED4B9E" w:rsidRPr="00A04A70">
        <w:t xml:space="preserve"> </w:t>
      </w:r>
      <w:r w:rsidRPr="00A04A70">
        <w:t>Public Services International</w:t>
      </w:r>
      <w:r w:rsidR="00097A31">
        <w:t xml:space="preserve"> (PSI</w:t>
      </w:r>
      <w:r w:rsidR="00ED4B9E">
        <w:t>);</w:t>
      </w:r>
      <w:r w:rsidR="00ED4B9E" w:rsidRPr="00A04A70">
        <w:t xml:space="preserve"> </w:t>
      </w:r>
      <w:r w:rsidRPr="00A04A70">
        <w:t>Réseau International des Droits Humains (RIDH</w:t>
      </w:r>
      <w:r w:rsidR="00ED4B9E" w:rsidRPr="00A04A70">
        <w:t>)</w:t>
      </w:r>
      <w:r w:rsidR="00ED4B9E">
        <w:t>;</w:t>
      </w:r>
      <w:r w:rsidR="00ED4B9E" w:rsidRPr="00A04A70">
        <w:t xml:space="preserve"> </w:t>
      </w:r>
      <w:r w:rsidRPr="00A04A70">
        <w:t>Sikh Human Rights Group</w:t>
      </w:r>
      <w:r w:rsidR="00ED4B9E">
        <w:t>;</w:t>
      </w:r>
      <w:r w:rsidR="00ED4B9E" w:rsidRPr="00A04A70">
        <w:t xml:space="preserve"> </w:t>
      </w:r>
      <w:r w:rsidRPr="00A04A70">
        <w:t>Social Service Agency of the Protestant Church in Germany</w:t>
      </w:r>
      <w:r w:rsidR="00ED4B9E">
        <w:t>;</w:t>
      </w:r>
      <w:r w:rsidR="00ED4B9E" w:rsidRPr="00A04A70">
        <w:t xml:space="preserve"> </w:t>
      </w:r>
      <w:r w:rsidRPr="00A04A70">
        <w:t>Society for Internat</w:t>
      </w:r>
      <w:r w:rsidR="00097A31">
        <w:t>ional Development</w:t>
      </w:r>
      <w:r w:rsidR="00ED4B9E">
        <w:t xml:space="preserve">; </w:t>
      </w:r>
      <w:r w:rsidRPr="00A04A70">
        <w:t>Stichting Global Forest Coalition</w:t>
      </w:r>
      <w:r w:rsidR="00ED4B9E">
        <w:t>;</w:t>
      </w:r>
      <w:r w:rsidR="00ED4B9E" w:rsidRPr="00A04A70">
        <w:t xml:space="preserve"> </w:t>
      </w:r>
      <w:r w:rsidRPr="00A04A70">
        <w:t>Swiss Catholic Lenten Fund</w:t>
      </w:r>
      <w:r w:rsidR="00ED4B9E">
        <w:t>;</w:t>
      </w:r>
      <w:r w:rsidR="00ED4B9E" w:rsidRPr="00A04A70">
        <w:t xml:space="preserve"> </w:t>
      </w:r>
      <w:r w:rsidRPr="00A04A70">
        <w:t>Tides Center</w:t>
      </w:r>
      <w:r w:rsidR="00ED4B9E">
        <w:t>;</w:t>
      </w:r>
      <w:r w:rsidR="00ED4B9E" w:rsidRPr="00A04A70">
        <w:t xml:space="preserve"> </w:t>
      </w:r>
      <w:r w:rsidRPr="00A04A70">
        <w:t>Verein Sudwind Entwicklungspolitik</w:t>
      </w:r>
      <w:r w:rsidR="00ED4B9E">
        <w:t>;</w:t>
      </w:r>
      <w:r w:rsidR="00ED4B9E" w:rsidRPr="00A04A70">
        <w:t xml:space="preserve"> </w:t>
      </w:r>
      <w:r w:rsidRPr="00A04A70">
        <w:t>Women’s International League for Peace and Freedom</w:t>
      </w:r>
      <w:r w:rsidR="00097A31">
        <w:t xml:space="preserve"> (WILPF)</w:t>
      </w:r>
      <w:r w:rsidRPr="00A04A70">
        <w:t>.</w:t>
      </w:r>
    </w:p>
    <w:p w14:paraId="1E4B7645" w14:textId="77777777" w:rsidR="00CE2983" w:rsidRPr="00DB0EA6" w:rsidRDefault="00CE2983" w:rsidP="00D34C58">
      <w:pPr>
        <w:pStyle w:val="HMG"/>
      </w:pPr>
      <w:r w:rsidRPr="00DB0EA6">
        <w:br w:type="page"/>
      </w:r>
      <w:bookmarkStart w:id="89" w:name="_Toc471217432"/>
      <w:bookmarkStart w:id="90" w:name="_Toc496373834"/>
      <w:r w:rsidRPr="00DB0EA6">
        <w:t>Annex II</w:t>
      </w:r>
      <w:bookmarkEnd w:id="89"/>
      <w:bookmarkEnd w:id="90"/>
    </w:p>
    <w:p w14:paraId="5005047D" w14:textId="77777777" w:rsidR="00CE2983" w:rsidRPr="00DB0EA6" w:rsidRDefault="00CE2983" w:rsidP="007D5290">
      <w:pPr>
        <w:pStyle w:val="HChG"/>
      </w:pPr>
      <w:r w:rsidRPr="00DB0EA6">
        <w:tab/>
      </w:r>
      <w:r w:rsidRPr="00DB0EA6">
        <w:tab/>
      </w:r>
      <w:bookmarkStart w:id="91" w:name="_Toc471217433"/>
      <w:bookmarkStart w:id="92" w:name="_Toc496373835"/>
      <w:bookmarkStart w:id="93" w:name="_Toc496376082"/>
      <w:r w:rsidRPr="00DB0EA6">
        <w:t>List of panellists and moderators</w:t>
      </w:r>
      <w:bookmarkEnd w:id="91"/>
      <w:bookmarkEnd w:id="92"/>
      <w:bookmarkEnd w:id="93"/>
    </w:p>
    <w:p w14:paraId="4039C428" w14:textId="05DD1041" w:rsidR="00F42CBA" w:rsidRPr="00DB0EA6" w:rsidRDefault="00F42CBA" w:rsidP="00F42CBA">
      <w:pPr>
        <w:pStyle w:val="H23G"/>
      </w:pPr>
      <w:r>
        <w:tab/>
      </w:r>
      <w:r>
        <w:tab/>
      </w:r>
      <w:r w:rsidRPr="00DB0EA6">
        <w:t>Monday, 2</w:t>
      </w:r>
      <w:r>
        <w:t>3</w:t>
      </w:r>
      <w:r w:rsidRPr="00DB0EA6">
        <w:t xml:space="preserve"> October 201</w:t>
      </w:r>
      <w:r>
        <w:t>7</w:t>
      </w:r>
    </w:p>
    <w:p w14:paraId="03271657" w14:textId="77777777" w:rsidR="00F42CBA" w:rsidRPr="00DB0EA6" w:rsidRDefault="00F42CBA" w:rsidP="00F42CBA">
      <w:pPr>
        <w:pStyle w:val="H23G"/>
      </w:pPr>
      <w:r w:rsidRPr="00DB0EA6">
        <w:tab/>
      </w:r>
      <w:r w:rsidRPr="00DB0EA6">
        <w:tab/>
        <w:t>Keynote speaker</w:t>
      </w:r>
      <w:r>
        <w:t>s</w:t>
      </w:r>
    </w:p>
    <w:p w14:paraId="0D90B8FD" w14:textId="147B8F5E" w:rsidR="00F42CBA" w:rsidRDefault="00F42CBA" w:rsidP="00F42CBA">
      <w:pPr>
        <w:pStyle w:val="Bullet1G"/>
        <w:numPr>
          <w:ilvl w:val="0"/>
          <w:numId w:val="0"/>
        </w:numPr>
        <w:tabs>
          <w:tab w:val="left" w:pos="1701"/>
        </w:tabs>
        <w:ind w:left="1701" w:hanging="170"/>
      </w:pPr>
      <w:r w:rsidRPr="00DB0EA6">
        <w:t>•</w:t>
      </w:r>
      <w:r w:rsidRPr="00DB0EA6">
        <w:tab/>
      </w:r>
      <w:r w:rsidRPr="00640A21">
        <w:t>H.E. María Fernanda Espinosa, Minister of Foreign Affairs of Ec</w:t>
      </w:r>
      <w:r>
        <w:t>uador, and former Chairperson-</w:t>
      </w:r>
      <w:r w:rsidRPr="00640A21">
        <w:t xml:space="preserve">Rapporteur of the </w:t>
      </w:r>
      <w:r>
        <w:t>o</w:t>
      </w:r>
      <w:r w:rsidRPr="00640A21">
        <w:t xml:space="preserve">pen-ended </w:t>
      </w:r>
      <w:r>
        <w:t>intergovernmental w</w:t>
      </w:r>
      <w:r w:rsidRPr="00640A21">
        <w:t>orking</w:t>
      </w:r>
      <w:r>
        <w:t xml:space="preserve"> group</w:t>
      </w:r>
    </w:p>
    <w:p w14:paraId="041569EE" w14:textId="77777777" w:rsidR="00F42CBA" w:rsidRPr="00640A21" w:rsidRDefault="00F42CBA" w:rsidP="00F42CBA">
      <w:pPr>
        <w:pStyle w:val="Bullet1G"/>
        <w:numPr>
          <w:ilvl w:val="0"/>
          <w:numId w:val="0"/>
        </w:numPr>
        <w:tabs>
          <w:tab w:val="left" w:pos="1701"/>
        </w:tabs>
        <w:ind w:left="1701" w:hanging="170"/>
      </w:pPr>
      <w:r w:rsidRPr="00DB0EA6">
        <w:t>•</w:t>
      </w:r>
      <w:r w:rsidRPr="00DB0EA6">
        <w:tab/>
      </w:r>
      <w:r w:rsidRPr="00640A21">
        <w:t>Dominique Potier, Member of the French National Assembly</w:t>
      </w:r>
    </w:p>
    <w:p w14:paraId="448D736D" w14:textId="18CE9BEA" w:rsidR="00F42CBA" w:rsidRPr="00DB0EA6" w:rsidRDefault="00F42CBA" w:rsidP="00F42CBA">
      <w:pPr>
        <w:pStyle w:val="SingleTxtG"/>
        <w:rPr>
          <w:b/>
          <w:bCs/>
        </w:rPr>
      </w:pPr>
      <w:r>
        <w:rPr>
          <w:b/>
          <w:bCs/>
        </w:rPr>
        <w:t>Subject</w:t>
      </w:r>
      <w:r w:rsidRPr="00DB0EA6">
        <w:rPr>
          <w:b/>
          <w:bCs/>
        </w:rPr>
        <w:t xml:space="preserve"> I</w:t>
      </w:r>
      <w:r>
        <w:rPr>
          <w:b/>
          <w:bCs/>
        </w:rPr>
        <w:t xml:space="preserve"> – General framework</w:t>
      </w:r>
      <w:r w:rsidRPr="00DB0EA6">
        <w:rPr>
          <w:b/>
          <w:bCs/>
        </w:rPr>
        <w:tab/>
        <w:t xml:space="preserve">(15:00-18:00) </w:t>
      </w:r>
    </w:p>
    <w:p w14:paraId="58BBEBF1"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640A21">
        <w:t>Lola Sánchez, Member of the European Parliament</w:t>
      </w:r>
    </w:p>
    <w:p w14:paraId="3C577051"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640A21">
        <w:t>Richard Kozul-Wright, Director of the Division of Globalization and Development Strategies, UNCTAD</w:t>
      </w:r>
    </w:p>
    <w:p w14:paraId="017CAAB9"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640A21">
        <w:t>Vicente Yu, Deputy Executive Director, South Centre</w:t>
      </w:r>
    </w:p>
    <w:p w14:paraId="1C95AB18" w14:textId="77777777" w:rsidR="00F42CBA" w:rsidRDefault="00F42CBA" w:rsidP="00F42CBA">
      <w:pPr>
        <w:pStyle w:val="H23G"/>
      </w:pPr>
      <w:r w:rsidRPr="00DB0EA6">
        <w:tab/>
      </w:r>
      <w:r w:rsidRPr="00DB0EA6">
        <w:tab/>
      </w:r>
    </w:p>
    <w:p w14:paraId="26AE1FC6" w14:textId="0315369F" w:rsidR="00F42CBA" w:rsidRPr="00DB0EA6" w:rsidRDefault="00F42CBA" w:rsidP="00F42CBA">
      <w:pPr>
        <w:pStyle w:val="H23G"/>
      </w:pPr>
      <w:r>
        <w:tab/>
      </w:r>
      <w:r>
        <w:tab/>
      </w:r>
      <w:r w:rsidRPr="00DB0EA6">
        <w:t>Tuesday, 2</w:t>
      </w:r>
      <w:r>
        <w:t>4</w:t>
      </w:r>
      <w:r w:rsidRPr="00DB0EA6">
        <w:t xml:space="preserve"> October 201</w:t>
      </w:r>
      <w:r>
        <w:t>7</w:t>
      </w:r>
    </w:p>
    <w:p w14:paraId="0105BAFD" w14:textId="4CFAA8EA" w:rsidR="00F42CBA" w:rsidRPr="00DB0EA6" w:rsidRDefault="00F42CBA" w:rsidP="00F42CBA">
      <w:pPr>
        <w:pStyle w:val="H23G"/>
      </w:pPr>
      <w:r>
        <w:tab/>
      </w:r>
      <w:r>
        <w:tab/>
        <w:t>Subject</w:t>
      </w:r>
      <w:r w:rsidRPr="00DB0EA6">
        <w:t xml:space="preserve"> II</w:t>
      </w:r>
      <w:r>
        <w:t xml:space="preserve"> – Scope of application</w:t>
      </w:r>
      <w:r w:rsidRPr="00DB0EA6">
        <w:tab/>
        <w:t>(10h00-13h00)</w:t>
      </w:r>
    </w:p>
    <w:p w14:paraId="193709F5"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D9143A">
        <w:t>Kinda Mohamedieh, South Centre</w:t>
      </w:r>
    </w:p>
    <w:p w14:paraId="6F85CC53"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D9143A">
        <w:t>Sigrun Skogli, Professor, University of Lancaster</w:t>
      </w:r>
      <w:r w:rsidRPr="00DB0EA6">
        <w:t xml:space="preserve"> </w:t>
      </w:r>
    </w:p>
    <w:p w14:paraId="7AFC8190" w14:textId="77777777" w:rsidR="00F42CBA" w:rsidRPr="00D9143A" w:rsidRDefault="00F42CBA" w:rsidP="00F42CBA">
      <w:pPr>
        <w:pStyle w:val="Bullet1G"/>
        <w:numPr>
          <w:ilvl w:val="0"/>
          <w:numId w:val="0"/>
        </w:numPr>
        <w:tabs>
          <w:tab w:val="left" w:pos="1701"/>
        </w:tabs>
        <w:ind w:left="1701" w:hanging="170"/>
        <w:rPr>
          <w:lang w:val="es-419"/>
        </w:rPr>
      </w:pPr>
      <w:r w:rsidRPr="00D9143A">
        <w:rPr>
          <w:lang w:val="es-419"/>
        </w:rPr>
        <w:t>•</w:t>
      </w:r>
      <w:r w:rsidRPr="00D9143A">
        <w:rPr>
          <w:lang w:val="es-419"/>
        </w:rPr>
        <w:tab/>
        <w:t>Manoela Roland, Professor, Universidade Federale de Juiz de Fora</w:t>
      </w:r>
    </w:p>
    <w:p w14:paraId="4403636E" w14:textId="17E7A9DC" w:rsidR="00F42CBA" w:rsidRPr="00DB0EA6" w:rsidRDefault="00F42CBA" w:rsidP="00F42CBA">
      <w:pPr>
        <w:pStyle w:val="H23G"/>
      </w:pPr>
      <w:r w:rsidRPr="00D9143A">
        <w:rPr>
          <w:lang w:val="es-419"/>
        </w:rPr>
        <w:tab/>
      </w:r>
      <w:r w:rsidRPr="00D9143A">
        <w:rPr>
          <w:lang w:val="es-419"/>
        </w:rPr>
        <w:tab/>
      </w:r>
      <w:r w:rsidRPr="007D004A">
        <w:t>Subject</w:t>
      </w:r>
      <w:r w:rsidRPr="00DB0EA6">
        <w:t xml:space="preserve"> </w:t>
      </w:r>
      <w:r>
        <w:t>III – General obligations</w:t>
      </w:r>
      <w:r>
        <w:tab/>
      </w:r>
      <w:r w:rsidRPr="00DB0EA6">
        <w:t>(15h00-18h00)</w:t>
      </w:r>
    </w:p>
    <w:p w14:paraId="6328B12A" w14:textId="77777777" w:rsidR="00F42CBA" w:rsidRPr="00EE1C04" w:rsidRDefault="00F42CBA" w:rsidP="00F42CBA">
      <w:pPr>
        <w:pStyle w:val="Bullet1G"/>
        <w:keepNext/>
        <w:keepLines/>
        <w:numPr>
          <w:ilvl w:val="0"/>
          <w:numId w:val="0"/>
        </w:numPr>
        <w:tabs>
          <w:tab w:val="left" w:pos="1701"/>
        </w:tabs>
        <w:ind w:left="1701" w:hanging="170"/>
        <w:rPr>
          <w:lang w:val="fr-FR"/>
        </w:rPr>
      </w:pPr>
      <w:r w:rsidRPr="00EE1C04">
        <w:rPr>
          <w:lang w:val="fr-FR"/>
        </w:rPr>
        <w:t>•</w:t>
      </w:r>
      <w:r w:rsidRPr="00EE1C04">
        <w:rPr>
          <w:lang w:val="fr-FR"/>
        </w:rPr>
        <w:tab/>
        <w:t>Olivier De Schutter, Professor, Université de Louvain</w:t>
      </w:r>
    </w:p>
    <w:p w14:paraId="2B218402"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D9143A">
        <w:t>Linda Kromjong, Secretary-General of the International Organization of Employers</w:t>
      </w:r>
    </w:p>
    <w:p w14:paraId="3FD2074F"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D9143A">
        <w:t>David Bilchitz, Professor, University of Johannesburg and Director, South African Institute of Advances Constitutional, Public, Human Rights and International Law</w:t>
      </w:r>
      <w:r w:rsidRPr="00DB0EA6">
        <w:t xml:space="preserve"> </w:t>
      </w:r>
    </w:p>
    <w:p w14:paraId="776F3F95"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D9143A">
        <w:t>Makbule Sahan, representative of the International Trade Union Confederation</w:t>
      </w:r>
      <w:r w:rsidRPr="00DB0EA6">
        <w:t xml:space="preserve"> </w:t>
      </w:r>
    </w:p>
    <w:p w14:paraId="52E37545" w14:textId="77777777" w:rsidR="00F42CBA" w:rsidRDefault="00F42CBA" w:rsidP="00F42CBA">
      <w:pPr>
        <w:pStyle w:val="H23G"/>
      </w:pPr>
    </w:p>
    <w:p w14:paraId="01E727D3" w14:textId="70644CCE" w:rsidR="00F42CBA" w:rsidRPr="00DB0EA6" w:rsidRDefault="00F42CBA" w:rsidP="00F42CBA">
      <w:pPr>
        <w:pStyle w:val="H23G"/>
      </w:pPr>
      <w:r w:rsidRPr="00DB0EA6">
        <w:tab/>
      </w:r>
      <w:r w:rsidRPr="00DB0EA6">
        <w:tab/>
        <w:t>Wednesday, 2</w:t>
      </w:r>
      <w:r>
        <w:t>5</w:t>
      </w:r>
      <w:r w:rsidRPr="00DB0EA6">
        <w:t xml:space="preserve"> October 201</w:t>
      </w:r>
      <w:r>
        <w:t>7</w:t>
      </w:r>
      <w:r w:rsidRPr="00DB0EA6">
        <w:t xml:space="preserve"> </w:t>
      </w:r>
    </w:p>
    <w:p w14:paraId="1BEF8453" w14:textId="48D75067" w:rsidR="00F42CBA" w:rsidRPr="00DB0EA6" w:rsidRDefault="00F42CBA" w:rsidP="00F42CBA">
      <w:pPr>
        <w:pStyle w:val="H23G"/>
      </w:pPr>
      <w:r w:rsidRPr="00DB0EA6">
        <w:tab/>
      </w:r>
      <w:r w:rsidRPr="00DB0EA6">
        <w:tab/>
      </w:r>
      <w:r>
        <w:t>Subject IV – Preventive measures</w:t>
      </w:r>
      <w:r w:rsidRPr="00DB0EA6">
        <w:tab/>
        <w:t>(10h00-13h00)</w:t>
      </w:r>
    </w:p>
    <w:p w14:paraId="6F45F54A" w14:textId="77777777" w:rsidR="00F42CBA" w:rsidRPr="00EE1C04" w:rsidRDefault="00F42CBA" w:rsidP="00F42CBA">
      <w:pPr>
        <w:pStyle w:val="Bullet1G"/>
        <w:numPr>
          <w:ilvl w:val="0"/>
          <w:numId w:val="0"/>
        </w:numPr>
        <w:tabs>
          <w:tab w:val="left" w:pos="1701"/>
        </w:tabs>
        <w:ind w:left="1701" w:hanging="170"/>
        <w:rPr>
          <w:lang w:val="es-419"/>
        </w:rPr>
      </w:pPr>
      <w:r w:rsidRPr="00EE1C04">
        <w:rPr>
          <w:lang w:val="es-419"/>
        </w:rPr>
        <w:t>•</w:t>
      </w:r>
      <w:r w:rsidRPr="00EE1C04">
        <w:rPr>
          <w:lang w:val="es-419"/>
        </w:rPr>
        <w:tab/>
        <w:t>Baskut Tuncak, UN Special Rapporteur on hazardous substances and wastes</w:t>
      </w:r>
    </w:p>
    <w:p w14:paraId="69E00101" w14:textId="77777777" w:rsidR="00F42CBA" w:rsidRPr="00525589" w:rsidRDefault="00F42CBA" w:rsidP="00F42CBA">
      <w:pPr>
        <w:pStyle w:val="Bullet1G"/>
        <w:numPr>
          <w:ilvl w:val="0"/>
          <w:numId w:val="0"/>
        </w:numPr>
        <w:tabs>
          <w:tab w:val="left" w:pos="1701"/>
        </w:tabs>
        <w:ind w:left="1701" w:hanging="170"/>
        <w:rPr>
          <w:lang w:val="es-419"/>
        </w:rPr>
      </w:pPr>
      <w:r w:rsidRPr="00525589">
        <w:rPr>
          <w:lang w:val="es-419"/>
        </w:rPr>
        <w:t>•</w:t>
      </w:r>
      <w:r w:rsidRPr="00525589">
        <w:rPr>
          <w:lang w:val="es-419"/>
        </w:rPr>
        <w:tab/>
        <w:t>Ana María Suárez-Franco, FIAN International</w:t>
      </w:r>
    </w:p>
    <w:p w14:paraId="51937D92" w14:textId="77777777" w:rsidR="00F42CBA" w:rsidRDefault="00F42CBA" w:rsidP="00F42CBA">
      <w:pPr>
        <w:pStyle w:val="Bullet1G"/>
        <w:numPr>
          <w:ilvl w:val="0"/>
          <w:numId w:val="0"/>
        </w:numPr>
        <w:tabs>
          <w:tab w:val="left" w:pos="1701"/>
        </w:tabs>
        <w:ind w:left="1701" w:hanging="170"/>
        <w:rPr>
          <w:lang w:val="es-419"/>
        </w:rPr>
      </w:pPr>
      <w:r w:rsidRPr="00525589">
        <w:rPr>
          <w:lang w:val="es-419"/>
        </w:rPr>
        <w:t>•</w:t>
      </w:r>
      <w:r w:rsidRPr="00525589">
        <w:rPr>
          <w:lang w:val="es-419"/>
        </w:rPr>
        <w:tab/>
        <w:t>Iván González, representative of the Confederación Sindical de Trabajadores de las Américas, CSA</w:t>
      </w:r>
    </w:p>
    <w:p w14:paraId="22452DB2" w14:textId="09DFFC1F" w:rsidR="00F42CBA" w:rsidRPr="00DB0EA6" w:rsidRDefault="00F42CBA" w:rsidP="00F42CBA">
      <w:pPr>
        <w:pStyle w:val="H23G"/>
      </w:pPr>
      <w:r>
        <w:rPr>
          <w:lang w:val="es-419"/>
        </w:rPr>
        <w:tab/>
      </w:r>
      <w:r>
        <w:rPr>
          <w:lang w:val="es-419"/>
        </w:rPr>
        <w:tab/>
      </w:r>
      <w:r w:rsidRPr="00DF177A">
        <w:t>Subject</w:t>
      </w:r>
      <w:r>
        <w:t xml:space="preserve"> V – Legal liability</w:t>
      </w:r>
      <w:r w:rsidRPr="00DB0EA6">
        <w:tab/>
        <w:t>(10h00-13h00)</w:t>
      </w:r>
    </w:p>
    <w:p w14:paraId="61820536"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525589">
        <w:t>Richard Meeran, Partner, Leigh Day &amp; Co.</w:t>
      </w:r>
    </w:p>
    <w:p w14:paraId="540EC18E" w14:textId="77777777" w:rsidR="00F42CBA" w:rsidRDefault="00F42CBA" w:rsidP="00F42CBA">
      <w:pPr>
        <w:pStyle w:val="Bullet1G"/>
        <w:numPr>
          <w:ilvl w:val="0"/>
          <w:numId w:val="0"/>
        </w:numPr>
        <w:tabs>
          <w:tab w:val="left" w:pos="1701"/>
        </w:tabs>
        <w:ind w:left="1701" w:hanging="170"/>
      </w:pPr>
      <w:r w:rsidRPr="00DB0EA6">
        <w:t>•</w:t>
      </w:r>
      <w:r w:rsidRPr="00DB0EA6">
        <w:tab/>
      </w:r>
      <w:r w:rsidRPr="00525589">
        <w:t>Carlos López, International Commission of Jurists</w:t>
      </w:r>
    </w:p>
    <w:p w14:paraId="552455BA"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525589">
        <w:t>Humberto Cantú Rivera, Professor, University of Monterrey</w:t>
      </w:r>
    </w:p>
    <w:p w14:paraId="1D3DAD74" w14:textId="6EE97ACD" w:rsidR="00F42CBA" w:rsidRPr="00DB0EA6" w:rsidRDefault="00F42CBA" w:rsidP="00F42CBA">
      <w:pPr>
        <w:pStyle w:val="H23G"/>
      </w:pPr>
      <w:r w:rsidRPr="00DB0EA6">
        <w:tab/>
      </w:r>
      <w:r w:rsidRPr="00DB0EA6">
        <w:tab/>
      </w:r>
      <w:r>
        <w:t xml:space="preserve">Subject VI – </w:t>
      </w:r>
      <w:r w:rsidRPr="00525589">
        <w:t>Access to justice, effective remedy and guarantees of non-repetition</w:t>
      </w:r>
      <w:r>
        <w:t xml:space="preserve"> </w:t>
      </w:r>
      <w:r w:rsidRPr="00DB0EA6">
        <w:tab/>
        <w:t xml:space="preserve">(15h00-18h00)  </w:t>
      </w:r>
    </w:p>
    <w:p w14:paraId="62340ACA"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525589">
        <w:t>Surya Deva, Chairperson of the United Nations Working Group on Business and Human Rights</w:t>
      </w:r>
    </w:p>
    <w:p w14:paraId="018EC473" w14:textId="77777777" w:rsidR="00F42CBA" w:rsidRPr="00EE1C04" w:rsidRDefault="00F42CBA" w:rsidP="00F42CBA">
      <w:pPr>
        <w:pStyle w:val="Bullet1G"/>
        <w:numPr>
          <w:ilvl w:val="0"/>
          <w:numId w:val="0"/>
        </w:numPr>
        <w:tabs>
          <w:tab w:val="left" w:pos="1701"/>
        </w:tabs>
        <w:ind w:left="1701" w:hanging="170"/>
        <w:rPr>
          <w:lang w:val="fr-FR"/>
        </w:rPr>
      </w:pPr>
      <w:r w:rsidRPr="00EE1C04">
        <w:rPr>
          <w:lang w:val="fr-FR"/>
        </w:rPr>
        <w:t>•</w:t>
      </w:r>
      <w:r w:rsidRPr="00EE1C04">
        <w:rPr>
          <w:lang w:val="fr-FR"/>
        </w:rPr>
        <w:tab/>
        <w:t>Gilles Lhuilier, Professor, Ecole Normale Supérieure (ENS) Rennes, France</w:t>
      </w:r>
    </w:p>
    <w:p w14:paraId="5D1313D1"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Richard Meeran, Partner, Leigh Day &amp; Co.</w:t>
      </w:r>
      <w:r w:rsidRPr="00DB0EA6">
        <w:t xml:space="preserve"> </w:t>
      </w:r>
    </w:p>
    <w:p w14:paraId="1BE25AF7" w14:textId="77777777" w:rsidR="00F42CBA" w:rsidRDefault="00F42CBA" w:rsidP="00F42CBA">
      <w:pPr>
        <w:pStyle w:val="H23G"/>
      </w:pPr>
      <w:r>
        <w:tab/>
      </w:r>
      <w:r>
        <w:tab/>
      </w:r>
    </w:p>
    <w:p w14:paraId="3FEC20EE" w14:textId="2CB7A8EE" w:rsidR="00F42CBA" w:rsidRPr="00DB0EA6" w:rsidRDefault="00F42CBA" w:rsidP="00F42CBA">
      <w:pPr>
        <w:pStyle w:val="H23G"/>
      </w:pPr>
      <w:r>
        <w:tab/>
      </w:r>
      <w:r>
        <w:tab/>
        <w:t>Thursday, 26</w:t>
      </w:r>
      <w:r w:rsidRPr="00DB0EA6">
        <w:t xml:space="preserve"> October 201</w:t>
      </w:r>
      <w:r>
        <w:t>7</w:t>
      </w:r>
    </w:p>
    <w:p w14:paraId="60B80DE5" w14:textId="7EA33994" w:rsidR="00F42CBA" w:rsidRPr="00DB0EA6" w:rsidRDefault="00F42CBA" w:rsidP="00F42CBA">
      <w:pPr>
        <w:pStyle w:val="H23G"/>
      </w:pPr>
      <w:r>
        <w:tab/>
      </w:r>
      <w:r>
        <w:tab/>
        <w:t xml:space="preserve">Subject </w:t>
      </w:r>
      <w:r w:rsidRPr="00DB0EA6">
        <w:t>V</w:t>
      </w:r>
      <w:r>
        <w:t>II - Jurisdiction</w:t>
      </w:r>
      <w:r w:rsidRPr="00DB0EA6">
        <w:tab/>
        <w:t xml:space="preserve">(10h00-13h00) </w:t>
      </w:r>
    </w:p>
    <w:p w14:paraId="036B3907"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Sandra Epal Ratjen, International Advocacy Director, Franciscans International</w:t>
      </w:r>
    </w:p>
    <w:p w14:paraId="43776C7A"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Gabriela Quijano, Amnesty International</w:t>
      </w:r>
      <w:r w:rsidRPr="00DB0EA6">
        <w:t xml:space="preserve"> </w:t>
      </w:r>
    </w:p>
    <w:p w14:paraId="5789613B" w14:textId="77777777" w:rsidR="00F42CBA" w:rsidRDefault="00F42CBA" w:rsidP="00F42CBA">
      <w:pPr>
        <w:pStyle w:val="Bullet1G"/>
        <w:numPr>
          <w:ilvl w:val="0"/>
          <w:numId w:val="0"/>
        </w:numPr>
        <w:tabs>
          <w:tab w:val="left" w:pos="1701"/>
        </w:tabs>
        <w:ind w:left="1701" w:hanging="170"/>
      </w:pPr>
      <w:r w:rsidRPr="00DB0EA6">
        <w:t>•</w:t>
      </w:r>
      <w:r w:rsidRPr="00DB0EA6">
        <w:tab/>
      </w:r>
      <w:r w:rsidRPr="007D004A">
        <w:t>Lavanga Wijekoon, Littler Mendelson</w:t>
      </w:r>
    </w:p>
    <w:p w14:paraId="4C63F743" w14:textId="48C2DA56" w:rsidR="00F42CBA" w:rsidRDefault="00F42CBA" w:rsidP="00F42CBA">
      <w:pPr>
        <w:pStyle w:val="H23G"/>
      </w:pPr>
      <w:r>
        <w:tab/>
      </w:r>
      <w:r>
        <w:tab/>
        <w:t>Subject VIII – International cooperation</w:t>
      </w:r>
      <w:r>
        <w:tab/>
      </w:r>
      <w:r w:rsidRPr="00DB0EA6">
        <w:t>(10h00-13h00)</w:t>
      </w:r>
    </w:p>
    <w:p w14:paraId="6C6FF2B6"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Harris Gleckman, Center for Governance and Sustainability, University of Massachusetts, Boston</w:t>
      </w:r>
    </w:p>
    <w:p w14:paraId="1DBF2B4D"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Vicente Yu, Deputy Executive Director, South Centre</w:t>
      </w:r>
      <w:r w:rsidRPr="00DB0EA6">
        <w:t xml:space="preserve"> </w:t>
      </w:r>
    </w:p>
    <w:p w14:paraId="49ECF420" w14:textId="12E22A34" w:rsidR="00F42CBA" w:rsidRPr="00DB0EA6" w:rsidRDefault="00F42CBA" w:rsidP="00F42CBA">
      <w:pPr>
        <w:pStyle w:val="H23G"/>
      </w:pPr>
      <w:r w:rsidRPr="00DB0EA6">
        <w:tab/>
      </w:r>
      <w:r w:rsidRPr="00DB0EA6">
        <w:tab/>
      </w:r>
      <w:r>
        <w:t>Subject</w:t>
      </w:r>
      <w:r w:rsidRPr="00DB0EA6">
        <w:t xml:space="preserve"> </w:t>
      </w:r>
      <w:r>
        <w:t xml:space="preserve">IX - </w:t>
      </w:r>
      <w:r w:rsidRPr="007D004A">
        <w:t>Mechanisms for promotion, implementation and monitoring</w:t>
      </w:r>
      <w:r w:rsidRPr="00DB0EA6">
        <w:tab/>
      </w:r>
      <w:r>
        <w:t xml:space="preserve">           </w:t>
      </w:r>
      <w:r w:rsidRPr="00DB0EA6">
        <w:t xml:space="preserve">(15h00-18h00) </w:t>
      </w:r>
    </w:p>
    <w:p w14:paraId="17463F9F"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Baskut Tuncak, UN Special Rapporteur on hazardous substances and wastes</w:t>
      </w:r>
    </w:p>
    <w:p w14:paraId="7D0361EB"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D004A">
        <w:t>Anne van Schaik, Friends of the Earth Europe</w:t>
      </w:r>
    </w:p>
    <w:p w14:paraId="05D06631" w14:textId="77777777" w:rsidR="00F42CBA" w:rsidRDefault="00F42CBA" w:rsidP="00F42CBA">
      <w:pPr>
        <w:pStyle w:val="Bullet1G"/>
        <w:numPr>
          <w:ilvl w:val="0"/>
          <w:numId w:val="0"/>
        </w:numPr>
        <w:tabs>
          <w:tab w:val="left" w:pos="1701"/>
        </w:tabs>
        <w:ind w:left="1701" w:hanging="170"/>
      </w:pPr>
      <w:r w:rsidRPr="00DB0EA6">
        <w:t>•</w:t>
      </w:r>
      <w:r w:rsidRPr="00DB0EA6">
        <w:tab/>
      </w:r>
      <w:r w:rsidRPr="007D004A">
        <w:t xml:space="preserve">Melik </w:t>
      </w:r>
      <w:r>
        <w:t>Ö</w:t>
      </w:r>
      <w:r w:rsidRPr="007D004A">
        <w:t>zden, CETIM</w:t>
      </w:r>
    </w:p>
    <w:p w14:paraId="26ED15FB" w14:textId="0ACF0655" w:rsidR="00F42CBA" w:rsidRDefault="00F42CBA" w:rsidP="00F42CBA">
      <w:pPr>
        <w:pStyle w:val="H23G"/>
      </w:pPr>
      <w:r>
        <w:tab/>
      </w:r>
      <w:r>
        <w:tab/>
        <w:t>Subject</w:t>
      </w:r>
      <w:r w:rsidRPr="00DB0EA6">
        <w:t xml:space="preserve"> </w:t>
      </w:r>
      <w:r>
        <w:t>X – General provisions</w:t>
      </w:r>
      <w:r w:rsidRPr="00DB0EA6">
        <w:tab/>
        <w:t xml:space="preserve">(15h00-18h00) </w:t>
      </w:r>
    </w:p>
    <w:p w14:paraId="3A69E845" w14:textId="77777777" w:rsidR="00F42CBA" w:rsidRDefault="00F42CBA" w:rsidP="00F42CBA">
      <w:pPr>
        <w:pStyle w:val="H23G"/>
      </w:pPr>
    </w:p>
    <w:p w14:paraId="3C859D6E" w14:textId="13478945" w:rsidR="00F42CBA" w:rsidRPr="00DB0EA6" w:rsidRDefault="00F42CBA" w:rsidP="00F42CBA">
      <w:pPr>
        <w:pStyle w:val="H23G"/>
      </w:pPr>
      <w:r w:rsidRPr="00DB0EA6">
        <w:tab/>
      </w:r>
      <w:r w:rsidRPr="00DB0EA6">
        <w:tab/>
        <w:t>Friday, 2</w:t>
      </w:r>
      <w:r>
        <w:t>7</w:t>
      </w:r>
      <w:r w:rsidRPr="00DB0EA6">
        <w:t xml:space="preserve"> October </w:t>
      </w:r>
      <w:r>
        <w:t>2017</w:t>
      </w:r>
    </w:p>
    <w:p w14:paraId="6CF56923" w14:textId="2D8B5E08" w:rsidR="00F42CBA" w:rsidRPr="00DB0EA6" w:rsidRDefault="00F42CBA" w:rsidP="00F42CBA">
      <w:pPr>
        <w:pStyle w:val="H23G"/>
      </w:pPr>
      <w:r w:rsidRPr="00DB0EA6">
        <w:tab/>
      </w:r>
      <w:r w:rsidRPr="00DB0EA6">
        <w:tab/>
        <w:t>Panel</w:t>
      </w:r>
      <w:r>
        <w:t xml:space="preserve"> – </w:t>
      </w:r>
      <w:r w:rsidRPr="007D004A">
        <w:t>The voices of the victims (selected cases from</w:t>
      </w:r>
      <w:r>
        <w:t xml:space="preserve"> different sectors and regions)</w:t>
      </w:r>
      <w:r>
        <w:tab/>
        <w:t xml:space="preserve"> </w:t>
      </w:r>
      <w:r w:rsidRPr="00DB0EA6">
        <w:t xml:space="preserve">(10h00-13h00) </w:t>
      </w:r>
    </w:p>
    <w:p w14:paraId="376169BE" w14:textId="77777777" w:rsidR="00F42CBA" w:rsidRPr="00DB0EA6" w:rsidRDefault="00F42CBA" w:rsidP="00F42CBA">
      <w:pPr>
        <w:pStyle w:val="Bullet1G"/>
        <w:numPr>
          <w:ilvl w:val="0"/>
          <w:numId w:val="0"/>
        </w:numPr>
        <w:tabs>
          <w:tab w:val="left" w:pos="1701"/>
        </w:tabs>
        <w:ind w:left="1701" w:hanging="170"/>
      </w:pPr>
      <w:r w:rsidRPr="00DB0EA6">
        <w:t>•</w:t>
      </w:r>
      <w:r w:rsidRPr="00DB0EA6">
        <w:tab/>
      </w:r>
      <w:r w:rsidRPr="007B5249">
        <w:t>Alfred de Zayas, United Nations Independent Expert on the promotion of a democratic and equitable international order</w:t>
      </w:r>
    </w:p>
    <w:p w14:paraId="2F227996" w14:textId="77777777" w:rsidR="00F42CBA" w:rsidRPr="007B5249" w:rsidRDefault="00F42CBA" w:rsidP="00F42CBA">
      <w:pPr>
        <w:pStyle w:val="Bullet1G"/>
        <w:numPr>
          <w:ilvl w:val="0"/>
          <w:numId w:val="0"/>
        </w:numPr>
        <w:tabs>
          <w:tab w:val="left" w:pos="1701"/>
        </w:tabs>
        <w:ind w:left="1701" w:hanging="170"/>
        <w:rPr>
          <w:lang w:val="es-419"/>
        </w:rPr>
      </w:pPr>
      <w:r w:rsidRPr="007B5249">
        <w:rPr>
          <w:lang w:val="es-419"/>
        </w:rPr>
        <w:t>•</w:t>
      </w:r>
      <w:r w:rsidRPr="007B5249">
        <w:rPr>
          <w:lang w:val="es-419"/>
        </w:rPr>
        <w:tab/>
        <w:t>Lorena</w:t>
      </w:r>
      <w:r>
        <w:rPr>
          <w:lang w:val="es-419"/>
        </w:rPr>
        <w:t xml:space="preserve"> di Giano, Red Latinoamericana por el</w:t>
      </w:r>
      <w:r w:rsidRPr="007B5249">
        <w:rPr>
          <w:lang w:val="es-419"/>
        </w:rPr>
        <w:t xml:space="preserve"> Acceso a los Medicamentos</w:t>
      </w:r>
    </w:p>
    <w:p w14:paraId="589F47FB" w14:textId="77777777" w:rsidR="00F42CBA" w:rsidRPr="007B5249" w:rsidRDefault="00F42CBA" w:rsidP="00F42CBA">
      <w:pPr>
        <w:pStyle w:val="Bullet1G"/>
        <w:numPr>
          <w:ilvl w:val="0"/>
          <w:numId w:val="0"/>
        </w:numPr>
        <w:tabs>
          <w:tab w:val="left" w:pos="1701"/>
        </w:tabs>
        <w:ind w:left="1701" w:hanging="170"/>
        <w:rPr>
          <w:lang w:val="es-419"/>
        </w:rPr>
      </w:pPr>
      <w:r w:rsidRPr="007B5249">
        <w:rPr>
          <w:lang w:val="es-419"/>
        </w:rPr>
        <w:t>•</w:t>
      </w:r>
      <w:r w:rsidRPr="007B5249">
        <w:rPr>
          <w:lang w:val="es-419"/>
        </w:rPr>
        <w:tab/>
        <w:t>Mohamed Hakech, La Vía Campesina MENA region</w:t>
      </w:r>
    </w:p>
    <w:p w14:paraId="719955E0" w14:textId="77777777" w:rsidR="00F42CBA" w:rsidRDefault="00F42CBA" w:rsidP="00F42CBA">
      <w:pPr>
        <w:pStyle w:val="Bullet1G"/>
        <w:numPr>
          <w:ilvl w:val="0"/>
          <w:numId w:val="0"/>
        </w:numPr>
        <w:tabs>
          <w:tab w:val="left" w:pos="1701"/>
        </w:tabs>
        <w:ind w:left="1701" w:hanging="170"/>
        <w:rPr>
          <w:lang w:val="es-419"/>
        </w:rPr>
      </w:pPr>
      <w:r w:rsidRPr="007B5249">
        <w:rPr>
          <w:lang w:val="es-419"/>
        </w:rPr>
        <w:t>•</w:t>
      </w:r>
      <w:r w:rsidRPr="007B5249">
        <w:rPr>
          <w:lang w:val="es-419"/>
        </w:rPr>
        <w:tab/>
        <w:t>María del Carmen Figueroa, Asamblea Nacional de Afectados Nacionales</w:t>
      </w:r>
    </w:p>
    <w:p w14:paraId="6C6BA99E" w14:textId="471050FC" w:rsidR="00CE2983" w:rsidRPr="00DB0EA6" w:rsidRDefault="00F42CBA" w:rsidP="00F42CBA">
      <w:pPr>
        <w:pStyle w:val="Bullet1G"/>
        <w:numPr>
          <w:ilvl w:val="0"/>
          <w:numId w:val="0"/>
        </w:numPr>
        <w:tabs>
          <w:tab w:val="left" w:pos="1701"/>
        </w:tabs>
        <w:ind w:left="1701" w:hanging="170"/>
      </w:pPr>
      <w:r w:rsidRPr="007B5249">
        <w:t>•</w:t>
      </w:r>
      <w:r w:rsidRPr="007B5249">
        <w:tab/>
        <w:t>Hemantha Withanage, Friends of the Earth – CEJ</w:t>
      </w:r>
    </w:p>
    <w:bookmarkEnd w:id="71"/>
    <w:p w14:paraId="7956F454" w14:textId="77777777" w:rsidR="0001493A" w:rsidRPr="00DB0EA6" w:rsidRDefault="009970E9">
      <w:pPr>
        <w:spacing w:before="240"/>
        <w:jc w:val="center"/>
        <w:rPr>
          <w:u w:val="single"/>
        </w:rPr>
      </w:pPr>
      <w:r w:rsidRPr="00DB0EA6">
        <w:rPr>
          <w:u w:val="single"/>
        </w:rPr>
        <w:tab/>
      </w:r>
      <w:r w:rsidRPr="00DB0EA6">
        <w:rPr>
          <w:u w:val="single"/>
        </w:rPr>
        <w:tab/>
      </w:r>
      <w:r w:rsidRPr="00DB0EA6">
        <w:rPr>
          <w:u w:val="single"/>
        </w:rPr>
        <w:tab/>
      </w:r>
    </w:p>
    <w:sectPr w:rsidR="0001493A" w:rsidRPr="00DB0EA6" w:rsidSect="00112B3E">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50BC" w14:textId="77777777" w:rsidR="0062283F" w:rsidRPr="00C47B2E" w:rsidRDefault="0062283F" w:rsidP="00C47B2E">
      <w:pPr>
        <w:pStyle w:val="Footer"/>
      </w:pPr>
    </w:p>
  </w:endnote>
  <w:endnote w:type="continuationSeparator" w:id="0">
    <w:p w14:paraId="4A843079" w14:textId="77777777" w:rsidR="0062283F" w:rsidRPr="00C47B2E" w:rsidRDefault="0062283F" w:rsidP="00C47B2E">
      <w:pPr>
        <w:pStyle w:val="Footer"/>
      </w:pPr>
    </w:p>
  </w:endnote>
  <w:endnote w:type="continuationNotice" w:id="1">
    <w:p w14:paraId="7738EAAB" w14:textId="77777777" w:rsidR="0062283F" w:rsidRPr="00C47B2E" w:rsidRDefault="0062283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AA08" w14:textId="3B76C06A" w:rsidR="0062283F" w:rsidRPr="00DF1E54" w:rsidRDefault="0062283F" w:rsidP="00CE2983">
    <w:pPr>
      <w:pStyle w:val="Footer"/>
      <w:tabs>
        <w:tab w:val="right" w:pos="9598"/>
      </w:tabs>
    </w:pPr>
    <w:r w:rsidRPr="00DF1E54">
      <w:rPr>
        <w:b/>
        <w:sz w:val="18"/>
      </w:rPr>
      <w:fldChar w:fldCharType="begin"/>
    </w:r>
    <w:r w:rsidRPr="00DF1E54">
      <w:rPr>
        <w:b/>
        <w:sz w:val="18"/>
      </w:rPr>
      <w:instrText xml:space="preserve"> PAGE  \* MERGEFORMAT </w:instrText>
    </w:r>
    <w:r w:rsidRPr="00DF1E54">
      <w:rPr>
        <w:b/>
        <w:sz w:val="18"/>
      </w:rPr>
      <w:fldChar w:fldCharType="separate"/>
    </w:r>
    <w:r w:rsidR="001B7645">
      <w:rPr>
        <w:b/>
        <w:noProof/>
        <w:sz w:val="18"/>
      </w:rPr>
      <w:t>18</w:t>
    </w:r>
    <w:r w:rsidRPr="00DF1E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D84D" w14:textId="6089360E" w:rsidR="0062283F" w:rsidRPr="00DF1E54" w:rsidRDefault="0062283F" w:rsidP="00DF1E54">
    <w:pPr>
      <w:pStyle w:val="Footer"/>
      <w:tabs>
        <w:tab w:val="right" w:pos="9598"/>
      </w:tabs>
      <w:rPr>
        <w:b/>
        <w:sz w:val="18"/>
      </w:rPr>
    </w:pPr>
    <w:r>
      <w:tab/>
    </w:r>
    <w:r w:rsidRPr="00DF1E54">
      <w:rPr>
        <w:b/>
        <w:sz w:val="18"/>
      </w:rPr>
      <w:fldChar w:fldCharType="begin"/>
    </w:r>
    <w:r w:rsidRPr="00DF1E54">
      <w:rPr>
        <w:b/>
        <w:sz w:val="18"/>
      </w:rPr>
      <w:instrText xml:space="preserve"> PAGE  \* MERGEFORMAT </w:instrText>
    </w:r>
    <w:r w:rsidRPr="00DF1E54">
      <w:rPr>
        <w:b/>
        <w:sz w:val="18"/>
      </w:rPr>
      <w:fldChar w:fldCharType="separate"/>
    </w:r>
    <w:r w:rsidR="001B7645">
      <w:rPr>
        <w:b/>
        <w:noProof/>
        <w:sz w:val="18"/>
      </w:rPr>
      <w:t>17</w:t>
    </w:r>
    <w:r w:rsidRPr="00DF1E5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EAC8" w14:textId="77777777" w:rsidR="0062283F" w:rsidRPr="00C47B2E" w:rsidRDefault="0062283F" w:rsidP="00C47B2E">
      <w:pPr>
        <w:tabs>
          <w:tab w:val="right" w:pos="2155"/>
        </w:tabs>
        <w:spacing w:after="80" w:line="240" w:lineRule="auto"/>
        <w:ind w:left="680"/>
      </w:pPr>
      <w:r>
        <w:rPr>
          <w:u w:val="single"/>
        </w:rPr>
        <w:tab/>
      </w:r>
    </w:p>
  </w:footnote>
  <w:footnote w:type="continuationSeparator" w:id="0">
    <w:p w14:paraId="3C642007" w14:textId="77777777" w:rsidR="0062283F" w:rsidRPr="00C47B2E" w:rsidRDefault="0062283F" w:rsidP="005E716E">
      <w:pPr>
        <w:tabs>
          <w:tab w:val="right" w:pos="2155"/>
        </w:tabs>
        <w:spacing w:after="80" w:line="240" w:lineRule="auto"/>
        <w:ind w:left="680"/>
      </w:pPr>
      <w:r>
        <w:rPr>
          <w:u w:val="single"/>
        </w:rPr>
        <w:tab/>
      </w:r>
    </w:p>
  </w:footnote>
  <w:footnote w:type="continuationNotice" w:id="1">
    <w:p w14:paraId="332AAA90" w14:textId="77777777" w:rsidR="0062283F" w:rsidRPr="00C47B2E" w:rsidRDefault="0062283F" w:rsidP="00C47B2E">
      <w:pPr>
        <w:pStyle w:val="Footer"/>
      </w:pPr>
    </w:p>
  </w:footnote>
  <w:footnote w:id="2">
    <w:p w14:paraId="5A3ADEB9" w14:textId="6C009F55" w:rsidR="0062283F" w:rsidRPr="00C00D93" w:rsidRDefault="0062283F" w:rsidP="003C037F">
      <w:pPr>
        <w:pStyle w:val="FootnoteText"/>
        <w:spacing w:after="0"/>
        <w:ind w:left="1138" w:right="1138" w:hanging="1138"/>
        <w:rPr>
          <w:lang w:val="en-US"/>
        </w:rPr>
      </w:pPr>
      <w:r>
        <w:tab/>
      </w:r>
      <w:r>
        <w:rPr>
          <w:rStyle w:val="FootnoteReference"/>
        </w:rPr>
        <w:footnoteRef/>
      </w:r>
      <w:r>
        <w:t xml:space="preserve"> </w:t>
      </w:r>
      <w:r>
        <w:tab/>
      </w:r>
      <w:r w:rsidRPr="00C00D93">
        <w:rPr>
          <w:i/>
        </w:rPr>
        <w:t>See</w:t>
      </w:r>
      <w:r>
        <w:t xml:space="preserve"> </w:t>
      </w:r>
      <w:r>
        <w:rPr>
          <w:lang w:val="en-US"/>
        </w:rPr>
        <w:t>A/HRC/31/50; A/HRC/34/47.</w:t>
      </w:r>
    </w:p>
  </w:footnote>
  <w:footnote w:id="3">
    <w:p w14:paraId="64836218" w14:textId="369DD464" w:rsidR="0062283F" w:rsidRPr="003C037F" w:rsidRDefault="0062283F">
      <w:pPr>
        <w:pStyle w:val="FootnoteText"/>
        <w:rPr>
          <w:lang w:val="en-US"/>
        </w:rPr>
      </w:pPr>
      <w:r>
        <w:tab/>
      </w:r>
      <w:r>
        <w:rPr>
          <w:rStyle w:val="FootnoteReference"/>
        </w:rPr>
        <w:footnoteRef/>
      </w:r>
      <w:r>
        <w:t xml:space="preserve"> </w:t>
      </w:r>
      <w:r>
        <w:tab/>
      </w:r>
      <w:r>
        <w:tab/>
      </w:r>
      <w:r w:rsidRPr="003C037F">
        <w:t>A/HRC/RES/17/4</w:t>
      </w:r>
      <w:r>
        <w:t>.</w:t>
      </w:r>
    </w:p>
  </w:footnote>
  <w:footnote w:id="4">
    <w:p w14:paraId="63214959" w14:textId="77777777" w:rsidR="0062283F" w:rsidRPr="006D45EA" w:rsidRDefault="0062283F" w:rsidP="00C00D93">
      <w:pPr>
        <w:pStyle w:val="FootnoteText"/>
        <w:spacing w:after="0"/>
        <w:ind w:left="1138" w:right="1138" w:hanging="1138"/>
        <w:rPr>
          <w:lang w:val="en-US"/>
        </w:rPr>
      </w:pPr>
      <w:r>
        <w:tab/>
      </w:r>
      <w:r>
        <w:rPr>
          <w:rStyle w:val="FootnoteReference"/>
        </w:rPr>
        <w:footnoteRef/>
      </w:r>
      <w:r>
        <w:tab/>
      </w:r>
      <w:r w:rsidRPr="00613178">
        <w:t>http://www.ohchr.org/EN/HRBodies/HRC/WGTransCorp/Session3/Pages/Session3.aspx</w:t>
      </w:r>
      <w:r>
        <w:t>.</w:t>
      </w:r>
    </w:p>
  </w:footnote>
  <w:footnote w:id="5">
    <w:p w14:paraId="0942EE06" w14:textId="65FEDF33" w:rsidR="0062283F" w:rsidRPr="00C00D93" w:rsidRDefault="0062283F" w:rsidP="00C00D93">
      <w:pPr>
        <w:pStyle w:val="FootnoteText"/>
        <w:spacing w:after="0"/>
        <w:ind w:left="1138" w:right="1138" w:hanging="1138"/>
        <w:rPr>
          <w:lang w:val="en-US"/>
        </w:rPr>
      </w:pPr>
      <w:r>
        <w:tab/>
      </w:r>
      <w:r>
        <w:rPr>
          <w:rStyle w:val="FootnoteReference"/>
        </w:rPr>
        <w:footnoteRef/>
      </w:r>
      <w:r>
        <w:t xml:space="preserve"> </w:t>
      </w:r>
      <w:r>
        <w:tab/>
      </w:r>
      <w:r>
        <w:rPr>
          <w:lang w:val="en-US"/>
        </w:rPr>
        <w:t>Only delegations that explicitly requested attribution are named in this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F6E44"/>
    <w:multiLevelType w:val="hybridMultilevel"/>
    <w:tmpl w:val="FB5A50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F5A2C74"/>
    <w:multiLevelType w:val="hybridMultilevel"/>
    <w:tmpl w:val="35D80D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1396345"/>
    <w:multiLevelType w:val="hybridMultilevel"/>
    <w:tmpl w:val="4B28C8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52C9C"/>
    <w:multiLevelType w:val="hybridMultilevel"/>
    <w:tmpl w:val="1916BDC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CFF63A7"/>
    <w:multiLevelType w:val="hybridMultilevel"/>
    <w:tmpl w:val="AF40D4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518EB"/>
    <w:multiLevelType w:val="hybridMultilevel"/>
    <w:tmpl w:val="287204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3D034E1D"/>
    <w:multiLevelType w:val="hybridMultilevel"/>
    <w:tmpl w:val="C942A0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5A011530"/>
    <w:multiLevelType w:val="hybridMultilevel"/>
    <w:tmpl w:val="294230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5BC97455"/>
    <w:multiLevelType w:val="hybridMultilevel"/>
    <w:tmpl w:val="4F5CDB7A"/>
    <w:lvl w:ilvl="0" w:tplc="2E888308">
      <w:start w:val="1"/>
      <w:numFmt w:val="lowerLetter"/>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17492"/>
    <w:multiLevelType w:val="hybridMultilevel"/>
    <w:tmpl w:val="BC3E4F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C57EA"/>
    <w:multiLevelType w:val="hybridMultilevel"/>
    <w:tmpl w:val="D432167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EF74833"/>
    <w:multiLevelType w:val="hybridMultilevel"/>
    <w:tmpl w:val="25CC6A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7074580B"/>
    <w:multiLevelType w:val="hybridMultilevel"/>
    <w:tmpl w:val="BDFC0B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71144BBB"/>
    <w:multiLevelType w:val="hybridMultilevel"/>
    <w:tmpl w:val="07CA1B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75E11315"/>
    <w:multiLevelType w:val="hybridMultilevel"/>
    <w:tmpl w:val="90DEF7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480B7B"/>
    <w:multiLevelType w:val="hybridMultilevel"/>
    <w:tmpl w:val="3946961C"/>
    <w:lvl w:ilvl="0" w:tplc="1C264818">
      <w:start w:val="1"/>
      <w:numFmt w:val="upp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5" w15:restartNumberingAfterBreak="0">
    <w:nsid w:val="7DF334EF"/>
    <w:multiLevelType w:val="hybridMultilevel"/>
    <w:tmpl w:val="453C697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6"/>
  </w:num>
  <w:num w:numId="3">
    <w:abstractNumId w:val="0"/>
  </w:num>
  <w:num w:numId="4">
    <w:abstractNumId w:val="14"/>
  </w:num>
  <w:num w:numId="5">
    <w:abstractNumId w:val="16"/>
  </w:num>
  <w:num w:numId="6">
    <w:abstractNumId w:val="23"/>
  </w:num>
  <w:num w:numId="7">
    <w:abstractNumId w:val="5"/>
  </w:num>
  <w:num w:numId="8">
    <w:abstractNumId w:val="1"/>
  </w:num>
  <w:num w:numId="9">
    <w:abstractNumId w:val="17"/>
  </w:num>
  <w:num w:numId="10">
    <w:abstractNumId w:val="1"/>
  </w:num>
  <w:num w:numId="11">
    <w:abstractNumId w:val="17"/>
  </w:num>
  <w:num w:numId="12">
    <w:abstractNumId w:val="24"/>
  </w:num>
  <w:num w:numId="13">
    <w:abstractNumId w:val="25"/>
  </w:num>
  <w:num w:numId="14">
    <w:abstractNumId w:val="10"/>
  </w:num>
  <w:num w:numId="15">
    <w:abstractNumId w:val="8"/>
  </w:num>
  <w:num w:numId="16">
    <w:abstractNumId w:val="11"/>
  </w:num>
  <w:num w:numId="17">
    <w:abstractNumId w:val="2"/>
  </w:num>
  <w:num w:numId="18">
    <w:abstractNumId w:val="4"/>
  </w:num>
  <w:num w:numId="19">
    <w:abstractNumId w:val="7"/>
  </w:num>
  <w:num w:numId="20">
    <w:abstractNumId w:val="12"/>
  </w:num>
  <w:num w:numId="21">
    <w:abstractNumId w:val="21"/>
  </w:num>
  <w:num w:numId="22">
    <w:abstractNumId w:val="3"/>
  </w:num>
  <w:num w:numId="23">
    <w:abstractNumId w:val="20"/>
  </w:num>
  <w:num w:numId="24">
    <w:abstractNumId w:val="22"/>
  </w:num>
  <w:num w:numId="25">
    <w:abstractNumId w:val="18"/>
  </w:num>
  <w:num w:numId="26">
    <w:abstractNumId w:val="19"/>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C"/>
    <w:rsid w:val="0000055E"/>
    <w:rsid w:val="0001493A"/>
    <w:rsid w:val="0002492F"/>
    <w:rsid w:val="00030849"/>
    <w:rsid w:val="000328A3"/>
    <w:rsid w:val="00046E92"/>
    <w:rsid w:val="000556B0"/>
    <w:rsid w:val="00056A7E"/>
    <w:rsid w:val="00056EE1"/>
    <w:rsid w:val="00063C90"/>
    <w:rsid w:val="000659FB"/>
    <w:rsid w:val="00086AA6"/>
    <w:rsid w:val="00086BAC"/>
    <w:rsid w:val="0009163C"/>
    <w:rsid w:val="00097A31"/>
    <w:rsid w:val="000A14E7"/>
    <w:rsid w:val="000A2C75"/>
    <w:rsid w:val="000B067C"/>
    <w:rsid w:val="000C3510"/>
    <w:rsid w:val="000C3F5A"/>
    <w:rsid w:val="000D24B2"/>
    <w:rsid w:val="000F1A0B"/>
    <w:rsid w:val="00101B98"/>
    <w:rsid w:val="00102AA3"/>
    <w:rsid w:val="0010631E"/>
    <w:rsid w:val="00111579"/>
    <w:rsid w:val="00112B3E"/>
    <w:rsid w:val="00113A0F"/>
    <w:rsid w:val="00125450"/>
    <w:rsid w:val="00154506"/>
    <w:rsid w:val="00154583"/>
    <w:rsid w:val="0016734A"/>
    <w:rsid w:val="001828AC"/>
    <w:rsid w:val="00183848"/>
    <w:rsid w:val="001A0E35"/>
    <w:rsid w:val="001A1BD8"/>
    <w:rsid w:val="001A1E3E"/>
    <w:rsid w:val="001B19A5"/>
    <w:rsid w:val="001B7645"/>
    <w:rsid w:val="001C34A9"/>
    <w:rsid w:val="001C6CDF"/>
    <w:rsid w:val="001E060E"/>
    <w:rsid w:val="001F30D5"/>
    <w:rsid w:val="002012A6"/>
    <w:rsid w:val="00206491"/>
    <w:rsid w:val="0020676C"/>
    <w:rsid w:val="002116BE"/>
    <w:rsid w:val="00211CFC"/>
    <w:rsid w:val="0021599A"/>
    <w:rsid w:val="002163BD"/>
    <w:rsid w:val="0022404B"/>
    <w:rsid w:val="00234D4C"/>
    <w:rsid w:val="00240132"/>
    <w:rsid w:val="002429A1"/>
    <w:rsid w:val="00245499"/>
    <w:rsid w:val="0024664B"/>
    <w:rsid w:val="00247E2C"/>
    <w:rsid w:val="00251B02"/>
    <w:rsid w:val="0025340E"/>
    <w:rsid w:val="00264DA7"/>
    <w:rsid w:val="00271CF4"/>
    <w:rsid w:val="002767AE"/>
    <w:rsid w:val="0029082F"/>
    <w:rsid w:val="00291C67"/>
    <w:rsid w:val="00295122"/>
    <w:rsid w:val="002A32CB"/>
    <w:rsid w:val="002A4213"/>
    <w:rsid w:val="002A71A4"/>
    <w:rsid w:val="002C5E4B"/>
    <w:rsid w:val="002D6C53"/>
    <w:rsid w:val="002F05A0"/>
    <w:rsid w:val="002F5595"/>
    <w:rsid w:val="002F7F86"/>
    <w:rsid w:val="00300343"/>
    <w:rsid w:val="00305B2C"/>
    <w:rsid w:val="00325C0C"/>
    <w:rsid w:val="00325E32"/>
    <w:rsid w:val="00334F6A"/>
    <w:rsid w:val="00342AC8"/>
    <w:rsid w:val="003437D8"/>
    <w:rsid w:val="003555B0"/>
    <w:rsid w:val="00360617"/>
    <w:rsid w:val="00367B22"/>
    <w:rsid w:val="00367B2B"/>
    <w:rsid w:val="00375C06"/>
    <w:rsid w:val="0037642D"/>
    <w:rsid w:val="003802DB"/>
    <w:rsid w:val="00390C41"/>
    <w:rsid w:val="00394783"/>
    <w:rsid w:val="003969EB"/>
    <w:rsid w:val="003B4550"/>
    <w:rsid w:val="003C037F"/>
    <w:rsid w:val="003C0833"/>
    <w:rsid w:val="003C1800"/>
    <w:rsid w:val="003D03BA"/>
    <w:rsid w:val="003D46D6"/>
    <w:rsid w:val="003F4E05"/>
    <w:rsid w:val="004019A1"/>
    <w:rsid w:val="00401C64"/>
    <w:rsid w:val="0040768B"/>
    <w:rsid w:val="00414948"/>
    <w:rsid w:val="00414A86"/>
    <w:rsid w:val="004209D4"/>
    <w:rsid w:val="00421CBA"/>
    <w:rsid w:val="00425ED6"/>
    <w:rsid w:val="00426439"/>
    <w:rsid w:val="004401E2"/>
    <w:rsid w:val="0044607B"/>
    <w:rsid w:val="00454E76"/>
    <w:rsid w:val="004555EC"/>
    <w:rsid w:val="004564E8"/>
    <w:rsid w:val="004571C9"/>
    <w:rsid w:val="00460B5B"/>
    <w:rsid w:val="00461253"/>
    <w:rsid w:val="00463AE7"/>
    <w:rsid w:val="00464D6D"/>
    <w:rsid w:val="004716D0"/>
    <w:rsid w:val="00474254"/>
    <w:rsid w:val="004928C8"/>
    <w:rsid w:val="00492E6C"/>
    <w:rsid w:val="00497C5F"/>
    <w:rsid w:val="004A2814"/>
    <w:rsid w:val="004A34C2"/>
    <w:rsid w:val="004A4F9B"/>
    <w:rsid w:val="004B0270"/>
    <w:rsid w:val="004B47FD"/>
    <w:rsid w:val="004B5E4C"/>
    <w:rsid w:val="004C0622"/>
    <w:rsid w:val="004C446B"/>
    <w:rsid w:val="004D6324"/>
    <w:rsid w:val="004D7920"/>
    <w:rsid w:val="004E4A2B"/>
    <w:rsid w:val="004E713A"/>
    <w:rsid w:val="004F045F"/>
    <w:rsid w:val="004F16DE"/>
    <w:rsid w:val="004F1A5C"/>
    <w:rsid w:val="004F1E8E"/>
    <w:rsid w:val="004F49B6"/>
    <w:rsid w:val="005042C2"/>
    <w:rsid w:val="00510E5F"/>
    <w:rsid w:val="00513BFD"/>
    <w:rsid w:val="00525474"/>
    <w:rsid w:val="00534601"/>
    <w:rsid w:val="00541A0B"/>
    <w:rsid w:val="00552606"/>
    <w:rsid w:val="00561E3D"/>
    <w:rsid w:val="0056395B"/>
    <w:rsid w:val="00565CCC"/>
    <w:rsid w:val="005710F5"/>
    <w:rsid w:val="0057582F"/>
    <w:rsid w:val="00576972"/>
    <w:rsid w:val="00580DD9"/>
    <w:rsid w:val="00586217"/>
    <w:rsid w:val="005A3E1B"/>
    <w:rsid w:val="005B45D1"/>
    <w:rsid w:val="005C17F0"/>
    <w:rsid w:val="005C20FC"/>
    <w:rsid w:val="005C4A45"/>
    <w:rsid w:val="005D716F"/>
    <w:rsid w:val="005E6CCF"/>
    <w:rsid w:val="005E716E"/>
    <w:rsid w:val="006012E2"/>
    <w:rsid w:val="006016C2"/>
    <w:rsid w:val="00613178"/>
    <w:rsid w:val="00614B09"/>
    <w:rsid w:val="0062283F"/>
    <w:rsid w:val="00625BD7"/>
    <w:rsid w:val="00633B21"/>
    <w:rsid w:val="0063641D"/>
    <w:rsid w:val="006416FB"/>
    <w:rsid w:val="00653588"/>
    <w:rsid w:val="00671529"/>
    <w:rsid w:val="006809C4"/>
    <w:rsid w:val="00682A29"/>
    <w:rsid w:val="00682B83"/>
    <w:rsid w:val="00685D66"/>
    <w:rsid w:val="00693DA7"/>
    <w:rsid w:val="00693E08"/>
    <w:rsid w:val="006B5334"/>
    <w:rsid w:val="006B55C6"/>
    <w:rsid w:val="006D4583"/>
    <w:rsid w:val="006E2308"/>
    <w:rsid w:val="006F5A72"/>
    <w:rsid w:val="0070489D"/>
    <w:rsid w:val="007065B4"/>
    <w:rsid w:val="0070766E"/>
    <w:rsid w:val="007268F9"/>
    <w:rsid w:val="007338A3"/>
    <w:rsid w:val="007379FB"/>
    <w:rsid w:val="00745A93"/>
    <w:rsid w:val="007466DA"/>
    <w:rsid w:val="00751034"/>
    <w:rsid w:val="00752881"/>
    <w:rsid w:val="00760579"/>
    <w:rsid w:val="00770C0F"/>
    <w:rsid w:val="0077163B"/>
    <w:rsid w:val="00774B9B"/>
    <w:rsid w:val="00777DE0"/>
    <w:rsid w:val="00785FFC"/>
    <w:rsid w:val="00786E59"/>
    <w:rsid w:val="007905AE"/>
    <w:rsid w:val="007910DA"/>
    <w:rsid w:val="007961C5"/>
    <w:rsid w:val="007A57D3"/>
    <w:rsid w:val="007B37AB"/>
    <w:rsid w:val="007B5A39"/>
    <w:rsid w:val="007B5E50"/>
    <w:rsid w:val="007C473C"/>
    <w:rsid w:val="007C52B0"/>
    <w:rsid w:val="007D2F5C"/>
    <w:rsid w:val="007D378E"/>
    <w:rsid w:val="007D5290"/>
    <w:rsid w:val="007E1918"/>
    <w:rsid w:val="007F1194"/>
    <w:rsid w:val="00805143"/>
    <w:rsid w:val="00811E96"/>
    <w:rsid w:val="008165AF"/>
    <w:rsid w:val="00823445"/>
    <w:rsid w:val="00827691"/>
    <w:rsid w:val="008427D7"/>
    <w:rsid w:val="0084437F"/>
    <w:rsid w:val="00852D33"/>
    <w:rsid w:val="00852DA3"/>
    <w:rsid w:val="008537A2"/>
    <w:rsid w:val="0086758E"/>
    <w:rsid w:val="008770EE"/>
    <w:rsid w:val="0089664A"/>
    <w:rsid w:val="00896F25"/>
    <w:rsid w:val="008B0708"/>
    <w:rsid w:val="008C4D92"/>
    <w:rsid w:val="008D53C8"/>
    <w:rsid w:val="008E28E6"/>
    <w:rsid w:val="008E2ACE"/>
    <w:rsid w:val="0093591E"/>
    <w:rsid w:val="009411B4"/>
    <w:rsid w:val="00942E18"/>
    <w:rsid w:val="009510CD"/>
    <w:rsid w:val="00953A0D"/>
    <w:rsid w:val="00953E21"/>
    <w:rsid w:val="00956C1E"/>
    <w:rsid w:val="00965CEB"/>
    <w:rsid w:val="00970C6C"/>
    <w:rsid w:val="009854D6"/>
    <w:rsid w:val="00992B61"/>
    <w:rsid w:val="009970E9"/>
    <w:rsid w:val="009A5AE0"/>
    <w:rsid w:val="009C4890"/>
    <w:rsid w:val="009D0139"/>
    <w:rsid w:val="009D2579"/>
    <w:rsid w:val="009D717D"/>
    <w:rsid w:val="009E4DDC"/>
    <w:rsid w:val="009F03F9"/>
    <w:rsid w:val="009F1FAD"/>
    <w:rsid w:val="009F5CDC"/>
    <w:rsid w:val="00A00B6E"/>
    <w:rsid w:val="00A16E14"/>
    <w:rsid w:val="00A17D2D"/>
    <w:rsid w:val="00A25DEA"/>
    <w:rsid w:val="00A47450"/>
    <w:rsid w:val="00A637B4"/>
    <w:rsid w:val="00A722BC"/>
    <w:rsid w:val="00A775CF"/>
    <w:rsid w:val="00A83DEE"/>
    <w:rsid w:val="00A86450"/>
    <w:rsid w:val="00A87744"/>
    <w:rsid w:val="00AA18E1"/>
    <w:rsid w:val="00AA2362"/>
    <w:rsid w:val="00AD39A1"/>
    <w:rsid w:val="00AD433C"/>
    <w:rsid w:val="00AE0892"/>
    <w:rsid w:val="00AE0D9E"/>
    <w:rsid w:val="00AE33B5"/>
    <w:rsid w:val="00B06045"/>
    <w:rsid w:val="00B109AA"/>
    <w:rsid w:val="00B16FB0"/>
    <w:rsid w:val="00B20797"/>
    <w:rsid w:val="00B23DD7"/>
    <w:rsid w:val="00B23F1B"/>
    <w:rsid w:val="00B24902"/>
    <w:rsid w:val="00B331C9"/>
    <w:rsid w:val="00B36339"/>
    <w:rsid w:val="00B46718"/>
    <w:rsid w:val="00B51807"/>
    <w:rsid w:val="00B52EF4"/>
    <w:rsid w:val="00B53C72"/>
    <w:rsid w:val="00B61AC7"/>
    <w:rsid w:val="00B77E92"/>
    <w:rsid w:val="00B830C1"/>
    <w:rsid w:val="00B84CAB"/>
    <w:rsid w:val="00B927AA"/>
    <w:rsid w:val="00B95F0D"/>
    <w:rsid w:val="00BB0367"/>
    <w:rsid w:val="00BB5DB7"/>
    <w:rsid w:val="00BC0A1A"/>
    <w:rsid w:val="00BC2283"/>
    <w:rsid w:val="00BD04D5"/>
    <w:rsid w:val="00BD1D15"/>
    <w:rsid w:val="00BD466E"/>
    <w:rsid w:val="00BD57A2"/>
    <w:rsid w:val="00BE0EDD"/>
    <w:rsid w:val="00BE18D7"/>
    <w:rsid w:val="00BF2724"/>
    <w:rsid w:val="00C00D93"/>
    <w:rsid w:val="00C012F8"/>
    <w:rsid w:val="00C019AB"/>
    <w:rsid w:val="00C03015"/>
    <w:rsid w:val="00C0358D"/>
    <w:rsid w:val="00C23E3D"/>
    <w:rsid w:val="00C252BF"/>
    <w:rsid w:val="00C35A27"/>
    <w:rsid w:val="00C47B2E"/>
    <w:rsid w:val="00C55422"/>
    <w:rsid w:val="00C55CFD"/>
    <w:rsid w:val="00C57539"/>
    <w:rsid w:val="00C63165"/>
    <w:rsid w:val="00C71CB4"/>
    <w:rsid w:val="00C7751D"/>
    <w:rsid w:val="00C9108C"/>
    <w:rsid w:val="00C94FA7"/>
    <w:rsid w:val="00C95066"/>
    <w:rsid w:val="00CB304B"/>
    <w:rsid w:val="00CC4D0E"/>
    <w:rsid w:val="00CD3AB3"/>
    <w:rsid w:val="00CD54F6"/>
    <w:rsid w:val="00CD5A0F"/>
    <w:rsid w:val="00CD7163"/>
    <w:rsid w:val="00CE2983"/>
    <w:rsid w:val="00CE3CE4"/>
    <w:rsid w:val="00CF07F7"/>
    <w:rsid w:val="00D0043F"/>
    <w:rsid w:val="00D00B99"/>
    <w:rsid w:val="00D15CFF"/>
    <w:rsid w:val="00D16DD7"/>
    <w:rsid w:val="00D1709E"/>
    <w:rsid w:val="00D32C3E"/>
    <w:rsid w:val="00D338AD"/>
    <w:rsid w:val="00D34C58"/>
    <w:rsid w:val="00D403E0"/>
    <w:rsid w:val="00D41354"/>
    <w:rsid w:val="00D4702A"/>
    <w:rsid w:val="00D57A3F"/>
    <w:rsid w:val="00D61A70"/>
    <w:rsid w:val="00D63BAA"/>
    <w:rsid w:val="00D6773D"/>
    <w:rsid w:val="00D75DA5"/>
    <w:rsid w:val="00DA168C"/>
    <w:rsid w:val="00DB0EA6"/>
    <w:rsid w:val="00DB4815"/>
    <w:rsid w:val="00DD0F74"/>
    <w:rsid w:val="00DF1E54"/>
    <w:rsid w:val="00DF506D"/>
    <w:rsid w:val="00E02C2B"/>
    <w:rsid w:val="00E12E30"/>
    <w:rsid w:val="00E13C4C"/>
    <w:rsid w:val="00E140EF"/>
    <w:rsid w:val="00E157ED"/>
    <w:rsid w:val="00E177FD"/>
    <w:rsid w:val="00E238D0"/>
    <w:rsid w:val="00E27338"/>
    <w:rsid w:val="00E32A27"/>
    <w:rsid w:val="00E42D24"/>
    <w:rsid w:val="00E431DA"/>
    <w:rsid w:val="00E45A01"/>
    <w:rsid w:val="00E52109"/>
    <w:rsid w:val="00E56874"/>
    <w:rsid w:val="00E571A5"/>
    <w:rsid w:val="00E60BDC"/>
    <w:rsid w:val="00E61EBE"/>
    <w:rsid w:val="00E66AF9"/>
    <w:rsid w:val="00E715F2"/>
    <w:rsid w:val="00E75317"/>
    <w:rsid w:val="00E75ABC"/>
    <w:rsid w:val="00E82C24"/>
    <w:rsid w:val="00E83489"/>
    <w:rsid w:val="00E92C9C"/>
    <w:rsid w:val="00EA0D98"/>
    <w:rsid w:val="00EA1843"/>
    <w:rsid w:val="00EA4FA5"/>
    <w:rsid w:val="00EC5B1D"/>
    <w:rsid w:val="00ED0C83"/>
    <w:rsid w:val="00ED4B9E"/>
    <w:rsid w:val="00ED6C48"/>
    <w:rsid w:val="00EE1C04"/>
    <w:rsid w:val="00EE77D5"/>
    <w:rsid w:val="00F2150D"/>
    <w:rsid w:val="00F22278"/>
    <w:rsid w:val="00F35497"/>
    <w:rsid w:val="00F3594E"/>
    <w:rsid w:val="00F42CBA"/>
    <w:rsid w:val="00F45464"/>
    <w:rsid w:val="00F52B1B"/>
    <w:rsid w:val="00F61439"/>
    <w:rsid w:val="00F64B76"/>
    <w:rsid w:val="00F65F5D"/>
    <w:rsid w:val="00F6604C"/>
    <w:rsid w:val="00F7773C"/>
    <w:rsid w:val="00F821DB"/>
    <w:rsid w:val="00F82E67"/>
    <w:rsid w:val="00F851DB"/>
    <w:rsid w:val="00F86A3A"/>
    <w:rsid w:val="00F931B0"/>
    <w:rsid w:val="00F944E4"/>
    <w:rsid w:val="00F955DD"/>
    <w:rsid w:val="00F95915"/>
    <w:rsid w:val="00FA5583"/>
    <w:rsid w:val="00FB5C96"/>
    <w:rsid w:val="00FC1045"/>
    <w:rsid w:val="00FC2464"/>
    <w:rsid w:val="00FD0E0B"/>
    <w:rsid w:val="00FD2B28"/>
    <w:rsid w:val="00FD3DAC"/>
    <w:rsid w:val="00FE5AB9"/>
    <w:rsid w:val="00FE6698"/>
    <w:rsid w:val="00FF3717"/>
    <w:rsid w:val="00FF550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1723E"/>
  <w15:docId w15:val="{07C7B861-E4EF-487C-863A-CDBD3036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821DB"/>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821DB"/>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821D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D34C58"/>
    <w:pPr>
      <w:tabs>
        <w:tab w:val="left" w:pos="1170"/>
        <w:tab w:val="right" w:leader="dot" w:pos="9629"/>
      </w:tabs>
      <w:spacing w:after="100"/>
      <w:ind w:left="810"/>
    </w:pPr>
  </w:style>
  <w:style w:type="paragraph" w:styleId="TOC2">
    <w:name w:val="toc 2"/>
    <w:basedOn w:val="Normal"/>
    <w:next w:val="Normal"/>
    <w:autoRedefine/>
    <w:uiPriority w:val="39"/>
    <w:unhideWhenUsed/>
    <w:rsid w:val="009510CD"/>
    <w:pPr>
      <w:tabs>
        <w:tab w:val="left" w:pos="1620"/>
        <w:tab w:val="right" w:leader="dot" w:pos="9630"/>
      </w:tabs>
      <w:spacing w:after="100"/>
      <w:ind w:left="1170"/>
    </w:pPr>
  </w:style>
  <w:style w:type="paragraph" w:styleId="ListParagraph">
    <w:name w:val="List Paragraph"/>
    <w:basedOn w:val="Normal"/>
    <w:uiPriority w:val="34"/>
    <w:rsid w:val="00E32A27"/>
    <w:pPr>
      <w:ind w:left="720"/>
      <w:contextualSpacing/>
    </w:pPr>
  </w:style>
  <w:style w:type="paragraph" w:styleId="TOCHeading">
    <w:name w:val="TOC Heading"/>
    <w:basedOn w:val="Heading1"/>
    <w:next w:val="Normal"/>
    <w:uiPriority w:val="39"/>
    <w:unhideWhenUsed/>
    <w:qFormat/>
    <w:rsid w:val="00112B3E"/>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112B3E"/>
    <w:pPr>
      <w:spacing w:after="100" w:line="259" w:lineRule="auto"/>
      <w:ind w:left="440"/>
    </w:pPr>
    <w:rPr>
      <w:rFonts w:asciiTheme="minorHAnsi" w:eastAsiaTheme="minorEastAsia" w:hAnsiTheme="minorHAnsi"/>
      <w:sz w:val="22"/>
      <w:szCs w:val="22"/>
      <w:lang w:val="en-US"/>
    </w:rPr>
  </w:style>
  <w:style w:type="character" w:styleId="CommentReference">
    <w:name w:val="annotation reference"/>
    <w:basedOn w:val="DefaultParagraphFont"/>
    <w:uiPriority w:val="99"/>
    <w:semiHidden/>
    <w:unhideWhenUsed/>
    <w:rsid w:val="00FD2B28"/>
    <w:rPr>
      <w:sz w:val="16"/>
      <w:szCs w:val="16"/>
    </w:rPr>
  </w:style>
  <w:style w:type="paragraph" w:styleId="CommentText">
    <w:name w:val="annotation text"/>
    <w:basedOn w:val="Normal"/>
    <w:link w:val="CommentTextChar"/>
    <w:uiPriority w:val="99"/>
    <w:semiHidden/>
    <w:unhideWhenUsed/>
    <w:rsid w:val="00FD2B28"/>
    <w:pPr>
      <w:spacing w:line="240" w:lineRule="auto"/>
    </w:pPr>
  </w:style>
  <w:style w:type="character" w:customStyle="1" w:styleId="CommentTextChar">
    <w:name w:val="Comment Text Char"/>
    <w:basedOn w:val="DefaultParagraphFont"/>
    <w:link w:val="CommentText"/>
    <w:uiPriority w:val="99"/>
    <w:semiHidden/>
    <w:rsid w:val="00FD2B2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D2B28"/>
    <w:rPr>
      <w:b/>
      <w:bCs/>
    </w:rPr>
  </w:style>
  <w:style w:type="character" w:customStyle="1" w:styleId="CommentSubjectChar">
    <w:name w:val="Comment Subject Char"/>
    <w:basedOn w:val="CommentTextChar"/>
    <w:link w:val="CommentSubject"/>
    <w:uiPriority w:val="99"/>
    <w:semiHidden/>
    <w:rsid w:val="00FD2B28"/>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D68C2-B5C9-4D2C-9EDD-524900B102BF}">
  <ds:schemaRefs>
    <ds:schemaRef ds:uri="http://schemas.openxmlformats.org/officeDocument/2006/bibliography"/>
  </ds:schemaRefs>
</ds:datastoreItem>
</file>

<file path=customXml/itemProps2.xml><?xml version="1.0" encoding="utf-8"?>
<ds:datastoreItem xmlns:ds="http://schemas.openxmlformats.org/officeDocument/2006/customXml" ds:itemID="{FBEF348C-B76E-47F9-A8ED-FA90551806B6}"/>
</file>

<file path=customXml/itemProps3.xml><?xml version="1.0" encoding="utf-8"?>
<ds:datastoreItem xmlns:ds="http://schemas.openxmlformats.org/officeDocument/2006/customXml" ds:itemID="{88C3832E-5691-4DBB-A473-A086282A257F}"/>
</file>

<file path=customXml/itemProps4.xml><?xml version="1.0" encoding="utf-8"?>
<ds:datastoreItem xmlns:ds="http://schemas.openxmlformats.org/officeDocument/2006/customXml" ds:itemID="{3A2255A3-5E4D-489B-B7B2-FDB9DBF65D87}"/>
</file>

<file path=docProps/app.xml><?xml version="1.0" encoding="utf-8"?>
<Properties xmlns="http://schemas.openxmlformats.org/officeDocument/2006/extended-properties" xmlns:vt="http://schemas.openxmlformats.org/officeDocument/2006/docPropsVTypes">
  <Template>A.dotm</Template>
  <TotalTime>0</TotalTime>
  <Pages>29</Pages>
  <Words>12569</Words>
  <Characters>71648</Characters>
  <Application>Microsoft Office Word</Application>
  <DocSecurity>0</DocSecurity>
  <Lines>597</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1622664</vt:lpstr>
      <vt:lpstr>1622664</vt:lpstr>
    </vt:vector>
  </TitlesOfParts>
  <Company>DCM</Company>
  <LinksUpToDate>false</LinksUpToDate>
  <CharactersWithSpaces>84049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Third Session</dc:title>
  <dc:subject>A/HRC/34/47</dc:subject>
  <dc:creator>Gatmaytan</dc:creator>
  <cp:lastModifiedBy>Benjamin Shea</cp:lastModifiedBy>
  <cp:revision>3</cp:revision>
  <cp:lastPrinted>2017-10-27T16:11:00Z</cp:lastPrinted>
  <dcterms:created xsi:type="dcterms:W3CDTF">2017-10-31T08:49:00Z</dcterms:created>
  <dcterms:modified xsi:type="dcterms:W3CDTF">2017-10-31T08:57:00Z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