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0073" w14:textId="725D37ED" w:rsidR="000C7791" w:rsidRPr="000C7791" w:rsidRDefault="000C7791">
      <w:pPr>
        <w:pStyle w:val="Standard"/>
        <w:tabs>
          <w:tab w:val="left" w:pos="7996"/>
        </w:tabs>
        <w:jc w:val="both"/>
        <w:rPr>
          <w:b/>
        </w:rPr>
      </w:pPr>
      <w:r w:rsidRPr="000C7791">
        <w:rPr>
          <w:b/>
        </w:rPr>
        <w:t>Oral-statement</w:t>
      </w:r>
    </w:p>
    <w:p w14:paraId="70C28B0C" w14:textId="5640B187" w:rsidR="000C7791" w:rsidRPr="000C7791" w:rsidRDefault="000C7791">
      <w:pPr>
        <w:pStyle w:val="Standard"/>
        <w:tabs>
          <w:tab w:val="left" w:pos="7996"/>
        </w:tabs>
        <w:jc w:val="both"/>
        <w:rPr>
          <w:b/>
        </w:rPr>
      </w:pPr>
      <w:r w:rsidRPr="000C7791">
        <w:rPr>
          <w:b/>
        </w:rPr>
        <w:t>CENTRE EUROPE TIERS MONDE</w:t>
      </w:r>
    </w:p>
    <w:p w14:paraId="7D3786F0" w14:textId="3CE49996" w:rsidR="000C7791" w:rsidRPr="000C7791" w:rsidRDefault="000C7791">
      <w:pPr>
        <w:pStyle w:val="Standard"/>
        <w:tabs>
          <w:tab w:val="left" w:pos="7996"/>
        </w:tabs>
        <w:jc w:val="both"/>
        <w:rPr>
          <w:b/>
        </w:rPr>
      </w:pPr>
      <w:r>
        <w:rPr>
          <w:b/>
        </w:rPr>
        <w:t xml:space="preserve">4th session </w:t>
      </w:r>
      <w:bookmarkStart w:id="0" w:name="_GoBack"/>
      <w:bookmarkEnd w:id="0"/>
      <w:r w:rsidRPr="000C7791">
        <w:rPr>
          <w:b/>
        </w:rPr>
        <w:t>OEIGWG Transnational corporations and human rights</w:t>
      </w:r>
    </w:p>
    <w:p w14:paraId="55FC90AA" w14:textId="2F8FDB80" w:rsidR="000C7791" w:rsidRPr="000C7791" w:rsidRDefault="000C7791">
      <w:pPr>
        <w:pStyle w:val="Standard"/>
        <w:tabs>
          <w:tab w:val="left" w:pos="7996"/>
        </w:tabs>
        <w:jc w:val="both"/>
        <w:rPr>
          <w:b/>
        </w:rPr>
      </w:pPr>
      <w:r w:rsidRPr="000C7791">
        <w:rPr>
          <w:b/>
        </w:rPr>
        <w:t>Subect 1 – Art.9 Prevention</w:t>
      </w:r>
    </w:p>
    <w:p w14:paraId="7C1946EA" w14:textId="77777777" w:rsidR="000C7791" w:rsidRDefault="000C7791">
      <w:pPr>
        <w:pStyle w:val="Standard"/>
        <w:tabs>
          <w:tab w:val="left" w:pos="7996"/>
        </w:tabs>
        <w:jc w:val="both"/>
      </w:pPr>
    </w:p>
    <w:p w14:paraId="21DEFF41" w14:textId="77777777" w:rsidR="00D9291C" w:rsidRDefault="008D2655">
      <w:pPr>
        <w:pStyle w:val="Standard"/>
        <w:tabs>
          <w:tab w:val="left" w:pos="7996"/>
        </w:tabs>
        <w:jc w:val="both"/>
      </w:pPr>
      <w:r>
        <w:t xml:space="preserve">Hablo en nombre de </w:t>
      </w:r>
      <w:r>
        <w:rPr>
          <w:b/>
          <w:bCs/>
        </w:rPr>
        <w:t>CETIM</w:t>
      </w:r>
      <w:r>
        <w:t xml:space="preserve">, miembro de la </w:t>
      </w:r>
      <w:r>
        <w:rPr>
          <w:b/>
          <w:bCs/>
        </w:rPr>
        <w:t>Campaña Global</w:t>
      </w:r>
      <w:r>
        <w:t xml:space="preserve"> Desmantelar el Poder Corporativo. Desde la Campaña queremos realizar una serie de </w:t>
      </w:r>
      <w:r>
        <w:rPr>
          <w:b/>
          <w:bCs/>
        </w:rPr>
        <w:t>apuntes críticos</w:t>
      </w:r>
      <w:r>
        <w:t xml:space="preserve"> respecto a este </w:t>
      </w:r>
      <w:r>
        <w:rPr>
          <w:b/>
          <w:bCs/>
        </w:rPr>
        <w:t>artículo 9</w:t>
      </w:r>
      <w:r>
        <w:t xml:space="preserve">, y la configuración en el borrador 0 de la llamada </w:t>
      </w:r>
      <w:r>
        <w:rPr>
          <w:b/>
          <w:bCs/>
        </w:rPr>
        <w:t>“debida diligencia”</w:t>
      </w:r>
      <w:r>
        <w:t xml:space="preserve">. Apuntes que consideramos </w:t>
      </w:r>
      <w:r>
        <w:rPr>
          <w:b/>
          <w:bCs/>
        </w:rPr>
        <w:t>trascendentales</w:t>
      </w:r>
      <w:r>
        <w:t xml:space="preserve"> para que la herramienta que estamos tratando de diseñar aquí, </w:t>
      </w:r>
      <w:r>
        <w:rPr>
          <w:b/>
          <w:bCs/>
        </w:rPr>
        <w:t xml:space="preserve">se adecue </w:t>
      </w:r>
      <w:r>
        <w:t xml:space="preserve">a los parámetros para los cuales se concibió en un origen, es decir, los parámetros de la </w:t>
      </w:r>
      <w:r>
        <w:rPr>
          <w:b/>
          <w:bCs/>
        </w:rPr>
        <w:t>Resolución 26/9</w:t>
      </w:r>
      <w:r>
        <w:t>.</w:t>
      </w:r>
    </w:p>
    <w:p w14:paraId="02F31238" w14:textId="77777777" w:rsidR="00D9291C" w:rsidRDefault="00D9291C">
      <w:pPr>
        <w:pStyle w:val="Standard"/>
        <w:jc w:val="both"/>
      </w:pPr>
    </w:p>
    <w:p w14:paraId="420EAB43" w14:textId="77777777" w:rsidR="00D9291C" w:rsidRDefault="008D2655">
      <w:pPr>
        <w:pStyle w:val="Standard"/>
        <w:jc w:val="both"/>
      </w:pPr>
      <w:r>
        <w:t xml:space="preserve">Creemos que la </w:t>
      </w:r>
      <w:r>
        <w:rPr>
          <w:b/>
          <w:bCs/>
        </w:rPr>
        <w:t>definición de las lógicas de prevención</w:t>
      </w:r>
      <w:r>
        <w:t xml:space="preserve"> que recoge este artículo 9, fundamentadas sobre la “debida diligencia”, suponen un </w:t>
      </w:r>
      <w:r>
        <w:rPr>
          <w:b/>
          <w:bCs/>
        </w:rPr>
        <w:t>alejamiento</w:t>
      </w:r>
      <w:r>
        <w:t xml:space="preserve"> de estos parámetros originales:</w:t>
      </w:r>
    </w:p>
    <w:p w14:paraId="47CCF6AB" w14:textId="77777777" w:rsidR="00D9291C" w:rsidRDefault="00D9291C">
      <w:pPr>
        <w:pStyle w:val="Standard"/>
        <w:jc w:val="both"/>
      </w:pPr>
    </w:p>
    <w:p w14:paraId="1D1FD9FC" w14:textId="77777777" w:rsidR="00D9291C" w:rsidRDefault="008D2655">
      <w:pPr>
        <w:pStyle w:val="Standard"/>
        <w:numPr>
          <w:ilvl w:val="0"/>
          <w:numId w:val="1"/>
        </w:numPr>
        <w:jc w:val="both"/>
      </w:pPr>
      <w:r>
        <w:t xml:space="preserve">Su concepción actual refleja </w:t>
      </w:r>
      <w:r>
        <w:rPr>
          <w:b/>
          <w:bCs/>
        </w:rPr>
        <w:t>importantes deficiencias</w:t>
      </w:r>
      <w:r>
        <w:t xml:space="preserve"> en el </w:t>
      </w:r>
      <w:r>
        <w:rPr>
          <w:b/>
          <w:bCs/>
        </w:rPr>
        <w:t>seguimiento y rendición de cuentas</w:t>
      </w:r>
      <w:r>
        <w:t xml:space="preserve"> de las Empresas Transnacionales.</w:t>
      </w:r>
    </w:p>
    <w:p w14:paraId="69FA668C" w14:textId="77777777" w:rsidR="00D9291C" w:rsidRDefault="008D2655">
      <w:pPr>
        <w:pStyle w:val="Standard"/>
        <w:numPr>
          <w:ilvl w:val="0"/>
          <w:numId w:val="1"/>
        </w:numPr>
        <w:jc w:val="both"/>
      </w:pPr>
      <w:r>
        <w:t xml:space="preserve">Estamos ante una concepción de la debida diligencia más cercana a parámetros de </w:t>
      </w:r>
      <w:r>
        <w:rPr>
          <w:b/>
          <w:bCs/>
        </w:rPr>
        <w:t>voluntariedad</w:t>
      </w:r>
      <w:r>
        <w:t xml:space="preserve">, en línea con el espíritu de los principios rectores, y no de la creación de una </w:t>
      </w:r>
      <w:r>
        <w:rPr>
          <w:b/>
          <w:bCs/>
        </w:rPr>
        <w:t>normativa realmente vinculante</w:t>
      </w:r>
      <w:r>
        <w:t xml:space="preserve"> que fiscalice, jurídicamente y de manera directa, a las Empresas Transnacionales.</w:t>
      </w:r>
    </w:p>
    <w:p w14:paraId="463CE612" w14:textId="77777777" w:rsidR="00D9291C" w:rsidRDefault="008D2655">
      <w:pPr>
        <w:pStyle w:val="Standard"/>
        <w:numPr>
          <w:ilvl w:val="0"/>
          <w:numId w:val="1"/>
        </w:numPr>
        <w:jc w:val="both"/>
      </w:pPr>
      <w:r>
        <w:t xml:space="preserve">Finalmente, destaca, como en el conjunto del borrador, que el </w:t>
      </w:r>
      <w:r>
        <w:rPr>
          <w:b/>
          <w:bCs/>
        </w:rPr>
        <w:t>control del cumplimiento</w:t>
      </w:r>
      <w:r>
        <w:t xml:space="preserve"> de esa debida diligencia recaiga en los </w:t>
      </w:r>
      <w:r>
        <w:rPr>
          <w:b/>
          <w:bCs/>
        </w:rPr>
        <w:t>estados</w:t>
      </w:r>
      <w:r>
        <w:t xml:space="preserve">. De nuevo, </w:t>
      </w:r>
      <w:r>
        <w:rPr>
          <w:b/>
          <w:bCs/>
        </w:rPr>
        <w:t>se desvía</w:t>
      </w:r>
      <w:r>
        <w:t xml:space="preserve"> un vector original de la resolución 26/9, ya que se abandona el </w:t>
      </w:r>
      <w:r>
        <w:rPr>
          <w:b/>
          <w:bCs/>
        </w:rPr>
        <w:t>objetivo de regular directamente</w:t>
      </w:r>
      <w:r>
        <w:t xml:space="preserve"> </w:t>
      </w:r>
      <w:r>
        <w:rPr>
          <w:b/>
          <w:bCs/>
        </w:rPr>
        <w:t>las obligaciones internacionales de las empresas</w:t>
      </w:r>
      <w:r>
        <w:t xml:space="preserve"> en materia de DDHH, poniendo el foco en establecer obligaciones para los estados. Es de vital importancia reconducir este cambio de orientación.</w:t>
      </w:r>
    </w:p>
    <w:p w14:paraId="6ADF1E8C" w14:textId="77777777" w:rsidR="000C7791" w:rsidRDefault="000C7791" w:rsidP="000C7791">
      <w:pPr>
        <w:pStyle w:val="Standard"/>
        <w:jc w:val="both"/>
      </w:pPr>
    </w:p>
    <w:p w14:paraId="0CA3C14C" w14:textId="013B2B66" w:rsidR="000C7791" w:rsidRDefault="000C7791" w:rsidP="000C7791">
      <w:pPr>
        <w:pStyle w:val="Standard"/>
        <w:jc w:val="both"/>
      </w:pPr>
      <w:r>
        <w:t>Muchas gracias.</w:t>
      </w:r>
    </w:p>
    <w:sectPr w:rsidR="000C77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194A" w14:textId="77777777" w:rsidR="0043164A" w:rsidRDefault="0043164A">
      <w:r>
        <w:separator/>
      </w:r>
    </w:p>
  </w:endnote>
  <w:endnote w:type="continuationSeparator" w:id="0">
    <w:p w14:paraId="123CDA55" w14:textId="77777777" w:rsidR="0043164A" w:rsidRDefault="0043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354A4" w14:textId="77777777" w:rsidR="0043164A" w:rsidRDefault="0043164A">
      <w:r>
        <w:rPr>
          <w:color w:val="000000"/>
        </w:rPr>
        <w:separator/>
      </w:r>
    </w:p>
  </w:footnote>
  <w:footnote w:type="continuationSeparator" w:id="0">
    <w:p w14:paraId="49235E3B" w14:textId="77777777" w:rsidR="0043164A" w:rsidRDefault="0043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3975"/>
    <w:multiLevelType w:val="multilevel"/>
    <w:tmpl w:val="12F219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C"/>
    <w:rsid w:val="000C7791"/>
    <w:rsid w:val="0043164A"/>
    <w:rsid w:val="00590A22"/>
    <w:rsid w:val="00596774"/>
    <w:rsid w:val="008D2655"/>
    <w:rsid w:val="00D9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088D3"/>
  <w15:docId w15:val="{65829F74-BEBA-4A08-A995-985DA56F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11AF8-2212-4896-A053-EA174F935D28}"/>
</file>

<file path=customXml/itemProps2.xml><?xml version="1.0" encoding="utf-8"?>
<ds:datastoreItem xmlns:ds="http://schemas.openxmlformats.org/officeDocument/2006/customXml" ds:itemID="{D077F4BB-8275-4AC8-9080-51C8995CBDC5}"/>
</file>

<file path=customXml/itemProps3.xml><?xml version="1.0" encoding="utf-8"?>
<ds:datastoreItem xmlns:ds="http://schemas.openxmlformats.org/officeDocument/2006/customXml" ds:itemID="{E9E56FF3-B71B-4DC8-807A-FBFCC39E6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Martija R</dc:creator>
  <cp:lastModifiedBy>Raffaele Morgantini</cp:lastModifiedBy>
  <cp:revision>3</cp:revision>
  <dcterms:created xsi:type="dcterms:W3CDTF">2018-10-17T08:57:00Z</dcterms:created>
  <dcterms:modified xsi:type="dcterms:W3CDTF">2018-10-17T08:59:00Z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