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D8" w:rsidRPr="00AB7E06" w:rsidRDefault="005D27D8" w:rsidP="00AB7E06">
      <w:pPr>
        <w:pStyle w:val="Sinespaciado"/>
        <w:jc w:val="center"/>
        <w:rPr>
          <w:rFonts w:ascii="Cambria" w:hAnsi="Cambria"/>
          <w:b/>
          <w:sz w:val="24"/>
          <w:szCs w:val="24"/>
        </w:rPr>
      </w:pPr>
      <w:r w:rsidRPr="00AB7E06">
        <w:rPr>
          <w:rFonts w:ascii="Cambria" w:hAnsi="Cambria"/>
          <w:b/>
          <w:sz w:val="24"/>
          <w:szCs w:val="24"/>
        </w:rPr>
        <w:t>Comentarios generales de Chile</w:t>
      </w:r>
    </w:p>
    <w:p w:rsidR="005D27D8" w:rsidRPr="00AB7E06" w:rsidRDefault="005D27D8" w:rsidP="00AB7E06">
      <w:pPr>
        <w:pStyle w:val="Sinespaciado"/>
        <w:jc w:val="center"/>
        <w:rPr>
          <w:rFonts w:ascii="Cambria" w:hAnsi="Cambria"/>
          <w:b/>
          <w:sz w:val="24"/>
          <w:szCs w:val="24"/>
        </w:rPr>
      </w:pPr>
      <w:r w:rsidRPr="00AB7E06">
        <w:rPr>
          <w:rFonts w:ascii="Cambria" w:hAnsi="Cambria"/>
          <w:b/>
          <w:sz w:val="24"/>
          <w:szCs w:val="24"/>
        </w:rPr>
        <w:t>4ª Sesión del Grupo de Trabajo Intergubernamental para la elaboración de un instrumentos vinculante sobre empresas y derechos humanos</w:t>
      </w:r>
    </w:p>
    <w:p w:rsidR="00AB7E06" w:rsidRPr="00AB7E06" w:rsidRDefault="00AB7E06" w:rsidP="00AB7E06">
      <w:pPr>
        <w:pStyle w:val="Sinespaciado"/>
        <w:jc w:val="center"/>
        <w:rPr>
          <w:rFonts w:ascii="Cambria" w:hAnsi="Cambria"/>
        </w:rPr>
      </w:pPr>
    </w:p>
    <w:p w:rsidR="005D27D8" w:rsidRPr="00AB7E06" w:rsidRDefault="005D27D8" w:rsidP="00AB7E06">
      <w:pPr>
        <w:pStyle w:val="Sinespaciado"/>
        <w:jc w:val="center"/>
        <w:rPr>
          <w:rFonts w:ascii="Cambria" w:hAnsi="Cambria"/>
        </w:rPr>
      </w:pPr>
      <w:r w:rsidRPr="00AB7E06">
        <w:rPr>
          <w:rFonts w:ascii="Cambria" w:hAnsi="Cambria"/>
        </w:rPr>
        <w:t>Artículo 6 Prescripción</w:t>
      </w:r>
    </w:p>
    <w:p w:rsidR="005D27D8" w:rsidRPr="00AB7E06" w:rsidRDefault="005D27D8" w:rsidP="00AB7E06">
      <w:pPr>
        <w:pStyle w:val="Sinespaciado"/>
        <w:jc w:val="center"/>
        <w:rPr>
          <w:rFonts w:ascii="Cambria" w:hAnsi="Cambria"/>
        </w:rPr>
      </w:pPr>
      <w:r w:rsidRPr="00AB7E06">
        <w:rPr>
          <w:rFonts w:ascii="Cambria" w:hAnsi="Cambria"/>
        </w:rPr>
        <w:t>Artículo 7 Derecho Aplicable</w:t>
      </w:r>
    </w:p>
    <w:p w:rsidR="005D27D8" w:rsidRPr="00AB7E06" w:rsidRDefault="005D27D8" w:rsidP="00AB7E06">
      <w:pPr>
        <w:pStyle w:val="Sinespaciado"/>
        <w:jc w:val="center"/>
        <w:rPr>
          <w:rFonts w:ascii="Cambria" w:hAnsi="Cambria"/>
        </w:rPr>
      </w:pPr>
      <w:r w:rsidRPr="00AB7E06">
        <w:rPr>
          <w:rFonts w:ascii="Cambria" w:hAnsi="Cambria"/>
        </w:rPr>
        <w:t>Artículo 13 Consistencia con el Derecho Internacional</w:t>
      </w:r>
    </w:p>
    <w:p w:rsidR="005D27D8" w:rsidRPr="00AB7E06" w:rsidRDefault="005D27D8" w:rsidP="00AB7E06">
      <w:pPr>
        <w:pStyle w:val="Sinespaciado"/>
        <w:jc w:val="center"/>
        <w:rPr>
          <w:rFonts w:ascii="Cambria" w:hAnsi="Cambria"/>
        </w:rPr>
      </w:pPr>
      <w:r w:rsidRPr="00AB7E06">
        <w:rPr>
          <w:rFonts w:ascii="Cambria" w:hAnsi="Cambria"/>
        </w:rPr>
        <w:t>Artículo 9 Prevención</w:t>
      </w:r>
    </w:p>
    <w:p w:rsidR="00AB7E06" w:rsidRPr="00AB7E06" w:rsidRDefault="00AB7E06" w:rsidP="00AB7E06">
      <w:pPr>
        <w:pStyle w:val="Sinespaciado"/>
        <w:jc w:val="center"/>
        <w:rPr>
          <w:rFonts w:ascii="Cambria" w:hAnsi="Cambria"/>
        </w:rPr>
      </w:pPr>
    </w:p>
    <w:p w:rsidR="005D27D8" w:rsidRPr="00AB7E06" w:rsidRDefault="005D27D8" w:rsidP="00AB7E06">
      <w:pPr>
        <w:pStyle w:val="Sinespaciado"/>
        <w:pBdr>
          <w:bottom w:val="single" w:sz="6" w:space="1" w:color="auto"/>
        </w:pBdr>
        <w:jc w:val="center"/>
        <w:rPr>
          <w:rFonts w:ascii="Cambria" w:hAnsi="Cambria"/>
        </w:rPr>
      </w:pPr>
      <w:r w:rsidRPr="00AB7E06">
        <w:rPr>
          <w:rFonts w:ascii="Cambria" w:hAnsi="Cambria"/>
        </w:rPr>
        <w:t>Ginebra, 16 de octubre</w:t>
      </w:r>
    </w:p>
    <w:p w:rsidR="00AB7E06" w:rsidRDefault="00AB7E06" w:rsidP="00AB7E06">
      <w:pPr>
        <w:jc w:val="both"/>
        <w:rPr>
          <w:rFonts w:ascii="Cambria" w:hAnsi="Cambria"/>
        </w:rPr>
      </w:pPr>
    </w:p>
    <w:p w:rsidR="00FB7A46" w:rsidRPr="002E38D4" w:rsidRDefault="00FB7A46" w:rsidP="002E38D4">
      <w:pPr>
        <w:jc w:val="both"/>
        <w:rPr>
          <w:rFonts w:ascii="Cambria" w:hAnsi="Cambria"/>
        </w:rPr>
      </w:pPr>
      <w:r w:rsidRPr="002E38D4">
        <w:rPr>
          <w:rFonts w:ascii="Cambria" w:hAnsi="Cambria"/>
        </w:rPr>
        <w:t>Señor Presidente-Relator,</w:t>
      </w:r>
    </w:p>
    <w:p w:rsidR="00FB7A46" w:rsidRPr="002E38D4" w:rsidRDefault="00FB7A46" w:rsidP="002E38D4">
      <w:pPr>
        <w:jc w:val="both"/>
        <w:rPr>
          <w:rFonts w:ascii="Cambria" w:hAnsi="Cambria"/>
        </w:rPr>
      </w:pPr>
      <w:r w:rsidRPr="002E38D4">
        <w:rPr>
          <w:rFonts w:ascii="Cambria" w:hAnsi="Cambria"/>
        </w:rPr>
        <w:t xml:space="preserve">En primer lugar </w:t>
      </w:r>
      <w:r w:rsidR="00B007C7" w:rsidRPr="002E38D4">
        <w:rPr>
          <w:rFonts w:ascii="Cambria" w:hAnsi="Cambria"/>
        </w:rPr>
        <w:t>queremos agradecer la introducción de sobre los artículos del borrador de</w:t>
      </w:r>
      <w:r w:rsidR="009A2AE9" w:rsidRPr="002E38D4">
        <w:rPr>
          <w:rFonts w:ascii="Cambria" w:hAnsi="Cambria"/>
        </w:rPr>
        <w:t>l</w:t>
      </w:r>
      <w:r w:rsidR="00B007C7" w:rsidRPr="002E38D4">
        <w:rPr>
          <w:rFonts w:ascii="Cambria" w:hAnsi="Cambria"/>
        </w:rPr>
        <w:t xml:space="preserve"> instrumento que serán discutidos hoy. En opinión de Chile, son temas de alta sensibilidad al tratar </w:t>
      </w:r>
      <w:r w:rsidR="009A2AE9" w:rsidRPr="002E38D4">
        <w:rPr>
          <w:rFonts w:ascii="Cambria" w:hAnsi="Cambria"/>
        </w:rPr>
        <w:t>sobre aspectos</w:t>
      </w:r>
      <w:r w:rsidR="00B007C7" w:rsidRPr="002E38D4">
        <w:rPr>
          <w:rFonts w:ascii="Cambria" w:hAnsi="Cambria"/>
        </w:rPr>
        <w:t xml:space="preserve"> jurídic</w:t>
      </w:r>
      <w:r w:rsidR="00CC365C">
        <w:rPr>
          <w:rFonts w:ascii="Cambria" w:hAnsi="Cambria"/>
        </w:rPr>
        <w:t>os, por lo cual</w:t>
      </w:r>
      <w:r w:rsidR="00B007C7" w:rsidRPr="002E38D4">
        <w:rPr>
          <w:rFonts w:ascii="Cambria" w:hAnsi="Cambria"/>
        </w:rPr>
        <w:t xml:space="preserve"> se requiere lograr una redacción </w:t>
      </w:r>
      <w:r w:rsidR="009A2AE9" w:rsidRPr="002E38D4">
        <w:rPr>
          <w:rFonts w:ascii="Cambria" w:hAnsi="Cambria"/>
        </w:rPr>
        <w:t xml:space="preserve">equilibrada y </w:t>
      </w:r>
      <w:r w:rsidR="00CC365C">
        <w:rPr>
          <w:rFonts w:ascii="Cambria" w:hAnsi="Cambria"/>
        </w:rPr>
        <w:t>que</w:t>
      </w:r>
      <w:r w:rsidR="009A2AE9" w:rsidRPr="002E38D4">
        <w:rPr>
          <w:rFonts w:ascii="Cambria" w:hAnsi="Cambria"/>
        </w:rPr>
        <w:t xml:space="preserve"> confiera obligaciones claras, sobre la base d</w:t>
      </w:r>
      <w:r w:rsidR="003C15A1" w:rsidRPr="002E38D4">
        <w:rPr>
          <w:rFonts w:ascii="Cambria" w:hAnsi="Cambria"/>
        </w:rPr>
        <w:t xml:space="preserve">el derecho internacional y que logre generar </w:t>
      </w:r>
      <w:r w:rsidR="00B02F33">
        <w:rPr>
          <w:rFonts w:ascii="Cambria" w:hAnsi="Cambria"/>
        </w:rPr>
        <w:t xml:space="preserve">una </w:t>
      </w:r>
      <w:r w:rsidR="003C15A1" w:rsidRPr="002E38D4">
        <w:rPr>
          <w:rFonts w:ascii="Cambria" w:hAnsi="Cambria"/>
        </w:rPr>
        <w:t>convergencia entre las diferencias partes involucradas en la negociación.</w:t>
      </w:r>
    </w:p>
    <w:p w:rsidR="0086745C" w:rsidRDefault="0084191F" w:rsidP="0086745C">
      <w:pPr>
        <w:jc w:val="both"/>
        <w:rPr>
          <w:rFonts w:ascii="Cambria" w:eastAsia="Times New Roman" w:hAnsi="Cambria" w:cs="Times New Roman"/>
          <w:lang w:eastAsia="es-ES_tradnl"/>
        </w:rPr>
      </w:pPr>
      <w:r w:rsidRPr="00A41209">
        <w:rPr>
          <w:rFonts w:ascii="Cambria" w:hAnsi="Cambria"/>
          <w:u w:val="single"/>
        </w:rPr>
        <w:t>Respecto d</w:t>
      </w:r>
      <w:r w:rsidR="003C15A1" w:rsidRPr="00A41209">
        <w:rPr>
          <w:rFonts w:ascii="Cambria" w:hAnsi="Cambria"/>
          <w:u w:val="single"/>
        </w:rPr>
        <w:t>el artículo 6</w:t>
      </w:r>
      <w:r w:rsidR="005557B2">
        <w:rPr>
          <w:rFonts w:ascii="Cambria" w:hAnsi="Cambria"/>
        </w:rPr>
        <w:t xml:space="preserve"> que trata de la Prescripción</w:t>
      </w:r>
      <w:r w:rsidR="003C15A1" w:rsidRPr="002E38D4">
        <w:rPr>
          <w:rFonts w:ascii="Cambria" w:hAnsi="Cambria"/>
        </w:rPr>
        <w:t xml:space="preserve">, </w:t>
      </w:r>
      <w:r w:rsidR="0086745C">
        <w:rPr>
          <w:rFonts w:ascii="Cambria" w:eastAsia="Times New Roman" w:hAnsi="Cambria" w:cs="Times New Roman"/>
          <w:lang w:eastAsia="es-ES_tradnl"/>
        </w:rPr>
        <w:t>estimamos no</w:t>
      </w:r>
      <w:r w:rsidR="0086745C" w:rsidRPr="002E38D4">
        <w:rPr>
          <w:rFonts w:ascii="Cambria" w:eastAsia="Times New Roman" w:hAnsi="Cambria" w:cs="Times New Roman"/>
          <w:lang w:eastAsia="es-ES_tradnl"/>
        </w:rPr>
        <w:t xml:space="preserve"> conveniente aludir a la imprescriptibilidad de los crímenes de derecho internacional, dado que la imprescriptibilidad de los crímenes de más grave trascendencia para la comunidad internacional (genocidio, crímenes de lesa humanidad y crímenes de guerra) ya constituye</w:t>
      </w:r>
      <w:r w:rsidR="0086745C">
        <w:rPr>
          <w:rFonts w:ascii="Cambria" w:eastAsia="Times New Roman" w:hAnsi="Cambria" w:cs="Times New Roman"/>
          <w:lang w:eastAsia="es-ES_tradnl"/>
        </w:rPr>
        <w:t>n</w:t>
      </w:r>
      <w:r w:rsidR="0086745C" w:rsidRPr="002E38D4">
        <w:rPr>
          <w:rFonts w:ascii="Cambria" w:eastAsia="Times New Roman" w:hAnsi="Cambria" w:cs="Times New Roman"/>
          <w:lang w:eastAsia="es-ES_tradnl"/>
        </w:rPr>
        <w:t xml:space="preserve"> una norma consuetudina</w:t>
      </w:r>
      <w:r w:rsidR="0086745C">
        <w:rPr>
          <w:rFonts w:ascii="Cambria" w:eastAsia="Times New Roman" w:hAnsi="Cambria" w:cs="Times New Roman"/>
          <w:lang w:eastAsia="es-ES_tradnl"/>
        </w:rPr>
        <w:t>ria vinculante para los Estados. P</w:t>
      </w:r>
      <w:r w:rsidR="0086745C" w:rsidRPr="002E38D4">
        <w:rPr>
          <w:rFonts w:ascii="Cambria" w:eastAsia="Times New Roman" w:hAnsi="Cambria" w:cs="Times New Roman"/>
          <w:lang w:eastAsia="es-ES_tradnl"/>
        </w:rPr>
        <w:t xml:space="preserve">ero no existe consenso sobre este punto en cuanto a otros ilícitos internacionales. </w:t>
      </w:r>
    </w:p>
    <w:p w:rsidR="0086745C" w:rsidRPr="002E38D4" w:rsidRDefault="0086745C" w:rsidP="0086745C">
      <w:pPr>
        <w:jc w:val="both"/>
        <w:rPr>
          <w:rFonts w:ascii="Cambria" w:eastAsia="Times New Roman" w:hAnsi="Cambria" w:cs="Times New Roman"/>
          <w:lang w:eastAsia="es-ES_tradnl"/>
        </w:rPr>
      </w:pPr>
      <w:r w:rsidRPr="002E38D4">
        <w:rPr>
          <w:rFonts w:ascii="Cambria" w:eastAsia="Times New Roman" w:hAnsi="Cambria" w:cs="Times New Roman"/>
          <w:lang w:eastAsia="es-ES_tradnl"/>
        </w:rPr>
        <w:t xml:space="preserve">En este contexto, si esta norma se mantiene de la forma </w:t>
      </w:r>
      <w:r>
        <w:rPr>
          <w:rFonts w:ascii="Cambria" w:eastAsia="Times New Roman" w:hAnsi="Cambria" w:cs="Times New Roman"/>
          <w:lang w:eastAsia="es-ES_tradnl"/>
        </w:rPr>
        <w:t>redactada en el borrador del instrumento,</w:t>
      </w:r>
      <w:r w:rsidRPr="002E38D4">
        <w:rPr>
          <w:rFonts w:ascii="Cambria" w:eastAsia="Times New Roman" w:hAnsi="Cambria" w:cs="Times New Roman"/>
          <w:lang w:eastAsia="es-ES_tradnl"/>
        </w:rPr>
        <w:t xml:space="preserve"> existe una </w:t>
      </w:r>
      <w:r>
        <w:rPr>
          <w:rFonts w:ascii="Cambria" w:eastAsia="Times New Roman" w:hAnsi="Cambria" w:cs="Times New Roman"/>
          <w:lang w:eastAsia="es-ES_tradnl"/>
        </w:rPr>
        <w:t>alta</w:t>
      </w:r>
      <w:r w:rsidRPr="002E38D4">
        <w:rPr>
          <w:rFonts w:ascii="Cambria" w:eastAsia="Times New Roman" w:hAnsi="Cambria" w:cs="Times New Roman"/>
          <w:lang w:eastAsia="es-ES_tradnl"/>
        </w:rPr>
        <w:t xml:space="preserve"> posibilidad de que los tipos penales cubiertos por</w:t>
      </w:r>
      <w:r>
        <w:rPr>
          <w:rFonts w:ascii="Cambria" w:eastAsia="Times New Roman" w:hAnsi="Cambria" w:cs="Times New Roman"/>
          <w:lang w:eastAsia="es-ES_tradnl"/>
        </w:rPr>
        <w:t xml:space="preserve"> la disposición sean materia controversia entre los Estados, quitando impulso al enfoque primordial del instrumento. </w:t>
      </w:r>
    </w:p>
    <w:p w:rsidR="00487F0E" w:rsidRPr="0086745C" w:rsidRDefault="002E38D4" w:rsidP="00AB7E06">
      <w:pPr>
        <w:jc w:val="both"/>
        <w:rPr>
          <w:rFonts w:ascii="Cambria" w:eastAsia="Times New Roman" w:hAnsi="Cambria" w:cs="Times New Roman"/>
          <w:lang w:eastAsia="es-ES_tradnl"/>
        </w:rPr>
      </w:pPr>
      <w:r>
        <w:rPr>
          <w:rFonts w:ascii="Cambria" w:eastAsia="Times New Roman" w:hAnsi="Cambria" w:cs="Times New Roman"/>
          <w:lang w:eastAsia="es-ES_tradnl"/>
        </w:rPr>
        <w:t xml:space="preserve">Adicionalmente, </w:t>
      </w:r>
      <w:r w:rsidR="0086745C" w:rsidRPr="002E38D4">
        <w:rPr>
          <w:rFonts w:ascii="Cambria" w:hAnsi="Cambria"/>
        </w:rPr>
        <w:t xml:space="preserve">creemos que el texto contiene una serie de adjetivos que </w:t>
      </w:r>
      <w:r w:rsidR="0086745C">
        <w:rPr>
          <w:rFonts w:ascii="Cambria" w:hAnsi="Cambria"/>
        </w:rPr>
        <w:t>requiere</w:t>
      </w:r>
      <w:r w:rsidR="009428E7">
        <w:rPr>
          <w:rFonts w:ascii="Cambria" w:hAnsi="Cambria"/>
        </w:rPr>
        <w:t>n explicase el por qué de su</w:t>
      </w:r>
      <w:r w:rsidR="0086745C" w:rsidRPr="002E38D4">
        <w:rPr>
          <w:rFonts w:ascii="Cambria" w:hAnsi="Cambria"/>
        </w:rPr>
        <w:t xml:space="preserve"> inclusión o considerar su eliminaci</w:t>
      </w:r>
      <w:r w:rsidR="0086745C">
        <w:rPr>
          <w:rFonts w:ascii="Cambria" w:hAnsi="Cambria"/>
        </w:rPr>
        <w:t>ón del texto</w:t>
      </w:r>
      <w:r w:rsidR="009428E7">
        <w:rPr>
          <w:rFonts w:ascii="Cambria" w:hAnsi="Cambria"/>
        </w:rPr>
        <w:t xml:space="preserve">. Me refiero a términos que aparecen en este artículo como </w:t>
      </w:r>
      <w:r w:rsidR="0086745C">
        <w:rPr>
          <w:rFonts w:ascii="Cambria" w:hAnsi="Cambria"/>
        </w:rPr>
        <w:t>“excesivamente restrictivas”, “plazo adecuado” y “particularmente en casos ocurridos en el exterior”.</w:t>
      </w:r>
    </w:p>
    <w:p w:rsidR="00A41209" w:rsidRDefault="00C12FF8" w:rsidP="002E38D4">
      <w:pPr>
        <w:jc w:val="both"/>
        <w:rPr>
          <w:rFonts w:ascii="Cambria" w:hAnsi="Cambria"/>
        </w:rPr>
      </w:pPr>
      <w:r w:rsidRPr="00A41209">
        <w:rPr>
          <w:rFonts w:ascii="Cambria" w:hAnsi="Cambria"/>
          <w:u w:val="single"/>
        </w:rPr>
        <w:t>Sobre el artículo 7</w:t>
      </w:r>
      <w:r>
        <w:rPr>
          <w:rFonts w:ascii="Cambria" w:hAnsi="Cambria"/>
        </w:rPr>
        <w:t>, derecho aplicable. Estimamos que se requiere</w:t>
      </w:r>
      <w:r w:rsidR="009428E7">
        <w:rPr>
          <w:rFonts w:ascii="Cambria" w:hAnsi="Cambria"/>
        </w:rPr>
        <w:t>n</w:t>
      </w:r>
      <w:r>
        <w:rPr>
          <w:rFonts w:ascii="Cambria" w:hAnsi="Cambria"/>
        </w:rPr>
        <w:t xml:space="preserve"> mayores precisiones sobre la redacción del art</w:t>
      </w:r>
      <w:r w:rsidR="0086745C">
        <w:rPr>
          <w:rFonts w:ascii="Cambria" w:hAnsi="Cambria"/>
        </w:rPr>
        <w:t>ículo, dado que versa sobre aspectos de sustancia y procedimiento, y en nuestra opinión, está escrito de forma abierta, lo que podría originar</w:t>
      </w:r>
      <w:r>
        <w:rPr>
          <w:rFonts w:ascii="Cambria" w:hAnsi="Cambria"/>
        </w:rPr>
        <w:t xml:space="preserve"> posibles divergencias de interpretaci</w:t>
      </w:r>
      <w:r w:rsidR="0086745C">
        <w:rPr>
          <w:rFonts w:ascii="Cambria" w:hAnsi="Cambria"/>
        </w:rPr>
        <w:t xml:space="preserve">ón y posteriores </w:t>
      </w:r>
      <w:r>
        <w:rPr>
          <w:rFonts w:ascii="Cambria" w:hAnsi="Cambria"/>
        </w:rPr>
        <w:t>controversias entre las partes</w:t>
      </w:r>
      <w:r w:rsidR="009428E7">
        <w:rPr>
          <w:rFonts w:ascii="Cambria" w:hAnsi="Cambria"/>
        </w:rPr>
        <w:t>.</w:t>
      </w:r>
      <w:r>
        <w:rPr>
          <w:rFonts w:ascii="Cambria" w:hAnsi="Cambria"/>
        </w:rPr>
        <w:t xml:space="preserve"> </w:t>
      </w:r>
    </w:p>
    <w:p w:rsidR="008634C8" w:rsidRDefault="0086745C" w:rsidP="002E38D4">
      <w:pPr>
        <w:jc w:val="both"/>
        <w:rPr>
          <w:rFonts w:ascii="Cambria" w:hAnsi="Cambria"/>
        </w:rPr>
      </w:pPr>
      <w:r>
        <w:rPr>
          <w:rFonts w:ascii="Cambria" w:hAnsi="Cambria"/>
        </w:rPr>
        <w:t>C</w:t>
      </w:r>
      <w:r w:rsidR="00BE10DD">
        <w:rPr>
          <w:rFonts w:ascii="Cambria" w:hAnsi="Cambria"/>
        </w:rPr>
        <w:t xml:space="preserve">onsideramos que debe </w:t>
      </w:r>
      <w:r w:rsidR="008634C8">
        <w:rPr>
          <w:rFonts w:ascii="Cambria" w:hAnsi="Cambria"/>
        </w:rPr>
        <w:t xml:space="preserve">darse un debate </w:t>
      </w:r>
      <w:r>
        <w:rPr>
          <w:rFonts w:ascii="Cambria" w:hAnsi="Cambria"/>
        </w:rPr>
        <w:t xml:space="preserve">sobre </w:t>
      </w:r>
      <w:r w:rsidR="008634C8">
        <w:rPr>
          <w:rFonts w:ascii="Cambria" w:hAnsi="Cambria"/>
        </w:rPr>
        <w:t xml:space="preserve">la pertinencia de incluir </w:t>
      </w:r>
      <w:r>
        <w:rPr>
          <w:rFonts w:ascii="Cambria" w:hAnsi="Cambria"/>
        </w:rPr>
        <w:t>el parágrafo 2, en el cual se considera</w:t>
      </w:r>
      <w:r w:rsidR="00BE10DD">
        <w:rPr>
          <w:rFonts w:ascii="Cambria" w:hAnsi="Cambria"/>
        </w:rPr>
        <w:t xml:space="preserve"> la inclusión en el texto que</w:t>
      </w:r>
      <w:r w:rsidR="009428E7">
        <w:rPr>
          <w:rFonts w:ascii="Cambria" w:hAnsi="Cambria"/>
        </w:rPr>
        <w:t>,</w:t>
      </w:r>
      <w:r w:rsidR="00BE10DD">
        <w:rPr>
          <w:rFonts w:ascii="Cambria" w:hAnsi="Cambria"/>
        </w:rPr>
        <w:t xml:space="preserve"> </w:t>
      </w:r>
      <w:r>
        <w:rPr>
          <w:rFonts w:ascii="Cambria" w:hAnsi="Cambria"/>
        </w:rPr>
        <w:t>a petición de las víctimas, las reclamaciones formuladas ante un tribunal competente</w:t>
      </w:r>
      <w:r w:rsidR="008634C8">
        <w:rPr>
          <w:rFonts w:ascii="Cambria" w:hAnsi="Cambria"/>
        </w:rPr>
        <w:t xml:space="preserve"> se podrá regir por la legislación de la Parte donde esté domiciliada la persona implicada en las actividades empresariales de carácter transnacional. Más allá de posibles mecanismos de cooperación y de asistencia que puedan existir, resultará un procedimiento complejo y el cual podría prestarse a una serie abusos de interpretación.</w:t>
      </w:r>
    </w:p>
    <w:p w:rsidR="00AB7E06" w:rsidRPr="0025219E" w:rsidRDefault="008634C8" w:rsidP="00AB7E06">
      <w:pPr>
        <w:jc w:val="both"/>
        <w:rPr>
          <w:rFonts w:ascii="Cambria" w:eastAsia="Times New Roman" w:hAnsi="Cambria" w:cs="Times New Roman"/>
          <w:lang w:eastAsia="es-ES_tradnl"/>
        </w:rPr>
      </w:pPr>
      <w:r>
        <w:rPr>
          <w:rFonts w:ascii="Cambria" w:eastAsia="Times New Roman" w:hAnsi="Cambria" w:cs="Times New Roman"/>
          <w:lang w:eastAsia="es-ES_tradnl"/>
        </w:rPr>
        <w:lastRenderedPageBreak/>
        <w:t xml:space="preserve">En efecto, una de las interpretaciones </w:t>
      </w:r>
      <w:r w:rsidR="009428E7">
        <w:rPr>
          <w:rFonts w:ascii="Cambria" w:eastAsia="Times New Roman" w:hAnsi="Cambria" w:cs="Times New Roman"/>
          <w:lang w:eastAsia="es-ES_tradnl"/>
        </w:rPr>
        <w:t>que se pueden obtener de</w:t>
      </w:r>
      <w:r>
        <w:rPr>
          <w:rFonts w:ascii="Cambria" w:eastAsia="Times New Roman" w:hAnsi="Cambria" w:cs="Times New Roman"/>
          <w:lang w:eastAsia="es-ES_tradnl"/>
        </w:rPr>
        <w:t xml:space="preserve"> este parágrafo es que</w:t>
      </w:r>
      <w:r w:rsidR="00487F0E" w:rsidRPr="002E38D4">
        <w:rPr>
          <w:rFonts w:ascii="Cambria" w:eastAsia="Times New Roman" w:hAnsi="Cambria" w:cs="Times New Roman"/>
          <w:lang w:eastAsia="es-ES_tradnl"/>
        </w:rPr>
        <w:t xml:space="preserve"> las reclamaciones por violaciones de derechos humanos pueden ser conocidas por los tribunales de un país distinto al de comisión los hechos, y que ellos podrían llegar a aplicar su propio derecho nacional sustantivo para evaluar la conducta de la empresa, si sus disposiciones internas relativas al conflicto de leyes lo llegaran a permitir. Ello también implicaría, indirectamente, una evaluación de la conducta del Estado donde ocurrieron los hechos.</w:t>
      </w:r>
    </w:p>
    <w:p w:rsidR="00487F0E" w:rsidRPr="00487F0E" w:rsidRDefault="00A41209" w:rsidP="00A41209">
      <w:pPr>
        <w:jc w:val="both"/>
        <w:rPr>
          <w:rFonts w:ascii="Cambria" w:eastAsia="Times New Roman" w:hAnsi="Cambria" w:cs="Times New Roman"/>
          <w:lang w:eastAsia="es-ES_tradnl"/>
        </w:rPr>
      </w:pPr>
      <w:r w:rsidRPr="00A41209">
        <w:rPr>
          <w:rFonts w:ascii="Cambria" w:hAnsi="Cambria"/>
          <w:u w:val="single"/>
        </w:rPr>
        <w:t xml:space="preserve">En relación al artículo 13, </w:t>
      </w:r>
      <w:r w:rsidR="00AB7E06" w:rsidRPr="00A41209">
        <w:rPr>
          <w:rFonts w:ascii="Cambria" w:hAnsi="Cambria"/>
          <w:u w:val="single"/>
        </w:rPr>
        <w:t>Consistencia con el Derecho Internacional</w:t>
      </w:r>
      <w:r w:rsidRPr="00A41209">
        <w:rPr>
          <w:rFonts w:ascii="Cambria" w:hAnsi="Cambria"/>
        </w:rPr>
        <w:t xml:space="preserve"> </w:t>
      </w:r>
      <w:r w:rsidR="00F52587">
        <w:rPr>
          <w:rFonts w:ascii="Cambria" w:hAnsi="Cambria"/>
        </w:rPr>
        <w:t>E</w:t>
      </w:r>
      <w:r w:rsidRPr="00A41209">
        <w:rPr>
          <w:rFonts w:ascii="Cambria" w:hAnsi="Cambria"/>
        </w:rPr>
        <w:t xml:space="preserve">ntendemos </w:t>
      </w:r>
      <w:r w:rsidRPr="00A41209">
        <w:rPr>
          <w:rFonts w:ascii="Cambria" w:eastAsia="Times New Roman" w:hAnsi="Cambria" w:cs="Times New Roman"/>
          <w:lang w:eastAsia="es-ES_tradnl"/>
        </w:rPr>
        <w:t xml:space="preserve">que este artículo </w:t>
      </w:r>
      <w:r w:rsidR="00487F0E" w:rsidRPr="00487F0E">
        <w:rPr>
          <w:rFonts w:ascii="Cambria" w:eastAsia="Times New Roman" w:hAnsi="Cambria" w:cs="Times New Roman"/>
          <w:lang w:eastAsia="es-ES_tradnl"/>
        </w:rPr>
        <w:t xml:space="preserve">debería </w:t>
      </w:r>
      <w:r w:rsidR="00F52587">
        <w:rPr>
          <w:rFonts w:ascii="Cambria" w:eastAsia="Times New Roman" w:hAnsi="Cambria" w:cs="Times New Roman"/>
          <w:lang w:eastAsia="es-ES_tradnl"/>
        </w:rPr>
        <w:t xml:space="preserve">referirse </w:t>
      </w:r>
      <w:r w:rsidR="00786025">
        <w:rPr>
          <w:rFonts w:ascii="Cambria" w:eastAsia="Times New Roman" w:hAnsi="Cambria" w:cs="Times New Roman"/>
          <w:lang w:eastAsia="es-ES_tradnl"/>
        </w:rPr>
        <w:t xml:space="preserve">sólo </w:t>
      </w:r>
      <w:r w:rsidR="00F52587">
        <w:rPr>
          <w:rFonts w:ascii="Cambria" w:eastAsia="Times New Roman" w:hAnsi="Cambria" w:cs="Times New Roman"/>
          <w:lang w:eastAsia="es-ES_tradnl"/>
        </w:rPr>
        <w:t>a</w:t>
      </w:r>
      <w:r w:rsidR="00487F0E" w:rsidRPr="00487F0E">
        <w:rPr>
          <w:rFonts w:ascii="Cambria" w:eastAsia="Times New Roman" w:hAnsi="Cambria" w:cs="Times New Roman"/>
          <w:lang w:eastAsia="es-ES_tradnl"/>
        </w:rPr>
        <w:t xml:space="preserve"> lo dispuesto en el Art. 31.3.c. de la Convención de Vien</w:t>
      </w:r>
      <w:r w:rsidR="009428E7">
        <w:rPr>
          <w:rFonts w:ascii="Cambria" w:eastAsia="Times New Roman" w:hAnsi="Cambria" w:cs="Times New Roman"/>
          <w:lang w:eastAsia="es-ES_tradnl"/>
        </w:rPr>
        <w:t>a sobre Derecho de los Tratados.</w:t>
      </w:r>
    </w:p>
    <w:p w:rsidR="00487F0E" w:rsidRPr="00AB7E06" w:rsidRDefault="00487F0E" w:rsidP="00AB7E06">
      <w:pPr>
        <w:jc w:val="both"/>
        <w:rPr>
          <w:rFonts w:ascii="Cambria" w:hAnsi="Cambria"/>
        </w:rPr>
      </w:pPr>
      <w:bookmarkStart w:id="0" w:name="_GoBack"/>
      <w:bookmarkEnd w:id="0"/>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Pr="00AB7E06" w:rsidRDefault="00AB7E06" w:rsidP="00AB7E06">
      <w:pPr>
        <w:jc w:val="both"/>
        <w:rPr>
          <w:rFonts w:ascii="Cambria" w:hAnsi="Cambria"/>
        </w:rPr>
      </w:pPr>
    </w:p>
    <w:p w:rsidR="00AB7E06" w:rsidRDefault="00AB7E06" w:rsidP="00AB7E06">
      <w:pPr>
        <w:jc w:val="both"/>
        <w:rPr>
          <w:rFonts w:ascii="Cambria" w:hAnsi="Cambria"/>
        </w:rPr>
      </w:pPr>
    </w:p>
    <w:p w:rsidR="0025219E" w:rsidRDefault="0025219E" w:rsidP="00AB7E06">
      <w:pPr>
        <w:jc w:val="both"/>
        <w:rPr>
          <w:rFonts w:ascii="Cambria" w:hAnsi="Cambria"/>
        </w:rPr>
      </w:pPr>
    </w:p>
    <w:p w:rsidR="0025219E" w:rsidRDefault="0025219E" w:rsidP="00AB7E06">
      <w:pPr>
        <w:jc w:val="both"/>
        <w:rPr>
          <w:rFonts w:ascii="Cambria" w:hAnsi="Cambria"/>
        </w:rPr>
      </w:pPr>
    </w:p>
    <w:p w:rsidR="0025219E" w:rsidRDefault="0025219E" w:rsidP="00AB7E06">
      <w:pPr>
        <w:jc w:val="both"/>
        <w:rPr>
          <w:rFonts w:ascii="Cambria" w:hAnsi="Cambria"/>
        </w:rPr>
      </w:pPr>
    </w:p>
    <w:p w:rsidR="0025219E" w:rsidRDefault="0025219E" w:rsidP="00AB7E06">
      <w:pPr>
        <w:jc w:val="both"/>
        <w:rPr>
          <w:rFonts w:ascii="Cambria" w:hAnsi="Cambria"/>
        </w:rPr>
      </w:pPr>
    </w:p>
    <w:p w:rsidR="0025219E" w:rsidRDefault="0025219E" w:rsidP="00AB7E06">
      <w:pPr>
        <w:jc w:val="both"/>
        <w:rPr>
          <w:rFonts w:ascii="Cambria" w:hAnsi="Cambria"/>
          <w:u w:val="single"/>
        </w:rPr>
      </w:pPr>
    </w:p>
    <w:p w:rsidR="0025219E" w:rsidRDefault="0025219E" w:rsidP="00AB7E06">
      <w:pPr>
        <w:jc w:val="both"/>
        <w:rPr>
          <w:rFonts w:ascii="Cambria" w:hAnsi="Cambria"/>
          <w:u w:val="single"/>
        </w:rPr>
      </w:pPr>
      <w:r>
        <w:rPr>
          <w:rFonts w:ascii="Cambria" w:hAnsi="Cambria"/>
          <w:u w:val="single"/>
        </w:rPr>
        <w:lastRenderedPageBreak/>
        <w:t>Sesión tarde</w:t>
      </w:r>
    </w:p>
    <w:p w:rsidR="0025219E" w:rsidRDefault="0025219E" w:rsidP="00AB7E06">
      <w:pPr>
        <w:jc w:val="both"/>
        <w:rPr>
          <w:rFonts w:ascii="Cambria" w:hAnsi="Cambria"/>
        </w:rPr>
      </w:pPr>
      <w:r>
        <w:rPr>
          <w:rFonts w:ascii="Cambria" w:hAnsi="Cambria"/>
        </w:rPr>
        <w:t>Señor Presidente-Relator,</w:t>
      </w:r>
    </w:p>
    <w:p w:rsidR="0025219E" w:rsidRPr="0025219E" w:rsidRDefault="0025219E" w:rsidP="00AB7E06">
      <w:pPr>
        <w:jc w:val="both"/>
        <w:rPr>
          <w:rFonts w:ascii="Cambria" w:hAnsi="Cambria"/>
        </w:rPr>
      </w:pPr>
      <w:r>
        <w:rPr>
          <w:rFonts w:ascii="Cambria" w:hAnsi="Cambria"/>
        </w:rPr>
        <w:t xml:space="preserve">Creemos que </w:t>
      </w:r>
      <w:r w:rsidR="009428E7">
        <w:rPr>
          <w:rFonts w:ascii="Cambria" w:hAnsi="Cambria"/>
        </w:rPr>
        <w:t xml:space="preserve">el </w:t>
      </w:r>
      <w:r w:rsidR="009428E7" w:rsidRPr="009428E7">
        <w:rPr>
          <w:rFonts w:ascii="Cambria" w:hAnsi="Cambria"/>
          <w:u w:val="single"/>
        </w:rPr>
        <w:t>artículo sobre Prevención</w:t>
      </w:r>
      <w:r>
        <w:rPr>
          <w:rFonts w:ascii="Cambria" w:hAnsi="Cambria"/>
        </w:rPr>
        <w:t xml:space="preserve"> debe ser puesto en relieve como la oportunidad de profundizar la complementariedad entre e</w:t>
      </w:r>
      <w:r w:rsidR="00441EBA">
        <w:rPr>
          <w:rFonts w:ascii="Cambria" w:hAnsi="Cambria"/>
        </w:rPr>
        <w:t>l</w:t>
      </w:r>
      <w:r>
        <w:rPr>
          <w:rFonts w:ascii="Cambria" w:hAnsi="Cambria"/>
        </w:rPr>
        <w:t xml:space="preserve"> instrumento y los Principios Rectores. </w:t>
      </w:r>
    </w:p>
    <w:p w:rsidR="00116559" w:rsidRDefault="00116559" w:rsidP="00AB7E06">
      <w:pPr>
        <w:jc w:val="both"/>
        <w:rPr>
          <w:rFonts w:ascii="Cambria" w:hAnsi="Cambria"/>
        </w:rPr>
      </w:pPr>
      <w:r>
        <w:rPr>
          <w:rFonts w:ascii="Cambria" w:hAnsi="Cambria"/>
        </w:rPr>
        <w:t xml:space="preserve">Como sabemos, uno </w:t>
      </w:r>
      <w:r w:rsidR="00AB7E06" w:rsidRPr="00AB7E06">
        <w:rPr>
          <w:rFonts w:ascii="Cambria" w:hAnsi="Cambria"/>
        </w:rPr>
        <w:t xml:space="preserve">de los aspectos centrales de los </w:t>
      </w:r>
      <w:r>
        <w:rPr>
          <w:rFonts w:ascii="Cambria" w:hAnsi="Cambria"/>
        </w:rPr>
        <w:t>Principios Rectores</w:t>
      </w:r>
      <w:r w:rsidR="00AB7E06" w:rsidRPr="00AB7E06">
        <w:rPr>
          <w:rFonts w:ascii="Cambria" w:hAnsi="Cambria"/>
        </w:rPr>
        <w:t xml:space="preserve">, </w:t>
      </w:r>
      <w:r w:rsidR="008634C8">
        <w:rPr>
          <w:rFonts w:ascii="Cambria" w:hAnsi="Cambria"/>
        </w:rPr>
        <w:t xml:space="preserve">es </w:t>
      </w:r>
      <w:r w:rsidR="00AB7E06" w:rsidRPr="00AB7E06">
        <w:rPr>
          <w:rFonts w:ascii="Cambria" w:hAnsi="Cambria"/>
        </w:rPr>
        <w:t>que se relacionan además c</w:t>
      </w:r>
      <w:r w:rsidR="008634C8">
        <w:rPr>
          <w:rFonts w:ascii="Cambria" w:hAnsi="Cambria"/>
        </w:rPr>
        <w:t>on la prevención de impactos, por medio</w:t>
      </w:r>
      <w:r w:rsidR="00AB7E06" w:rsidRPr="00AB7E06">
        <w:rPr>
          <w:rFonts w:ascii="Cambria" w:hAnsi="Cambria"/>
        </w:rPr>
        <w:t xml:space="preserve"> </w:t>
      </w:r>
      <w:r w:rsidR="008634C8">
        <w:rPr>
          <w:rFonts w:ascii="Cambria" w:hAnsi="Cambria"/>
        </w:rPr>
        <w:t>d</w:t>
      </w:r>
      <w:r w:rsidR="00AB7E06" w:rsidRPr="00AB7E06">
        <w:rPr>
          <w:rFonts w:ascii="Cambria" w:hAnsi="Cambria"/>
        </w:rPr>
        <w:t>el proceso de debida diligencia</w:t>
      </w:r>
      <w:r>
        <w:rPr>
          <w:rFonts w:ascii="Cambria" w:hAnsi="Cambria"/>
        </w:rPr>
        <w:t>, cuya definición constituye</w:t>
      </w:r>
      <w:r w:rsidR="00AB7E06" w:rsidRPr="00AB7E06">
        <w:rPr>
          <w:rFonts w:ascii="Cambria" w:hAnsi="Cambria"/>
        </w:rPr>
        <w:t xml:space="preserve"> lenguaje acordado y ha sido aceptada tanto por empre</w:t>
      </w:r>
      <w:r>
        <w:rPr>
          <w:rFonts w:ascii="Cambria" w:hAnsi="Cambria"/>
        </w:rPr>
        <w:t>sas como por E</w:t>
      </w:r>
      <w:r w:rsidR="00AB7E06" w:rsidRPr="00AB7E06">
        <w:rPr>
          <w:rFonts w:ascii="Cambria" w:hAnsi="Cambria"/>
        </w:rPr>
        <w:t xml:space="preserve">stados. </w:t>
      </w:r>
    </w:p>
    <w:p w:rsidR="00AB7E06" w:rsidRPr="00AB7E06" w:rsidRDefault="009F54F5" w:rsidP="00AB7E06">
      <w:pPr>
        <w:jc w:val="both"/>
        <w:rPr>
          <w:rFonts w:ascii="Cambria" w:hAnsi="Cambria"/>
        </w:rPr>
      </w:pPr>
      <w:r>
        <w:rPr>
          <w:rFonts w:ascii="Cambria" w:hAnsi="Cambria"/>
        </w:rPr>
        <w:t>En ese sentido, quisiéramos ver reflejado en el</w:t>
      </w:r>
      <w:r w:rsidR="00AB7E06" w:rsidRPr="00AB7E06">
        <w:rPr>
          <w:rFonts w:ascii="Cambria" w:hAnsi="Cambria"/>
        </w:rPr>
        <w:t xml:space="preserve"> instrumento</w:t>
      </w:r>
      <w:r>
        <w:rPr>
          <w:rFonts w:ascii="Cambria" w:hAnsi="Cambria"/>
        </w:rPr>
        <w:t xml:space="preserve"> una mayor interrelación con las etapas estableci</w:t>
      </w:r>
      <w:r w:rsidR="008634C8">
        <w:rPr>
          <w:rFonts w:ascii="Cambria" w:hAnsi="Cambria"/>
        </w:rPr>
        <w:t>das en los Principios Rectores. E</w:t>
      </w:r>
      <w:r>
        <w:rPr>
          <w:rFonts w:ascii="Cambria" w:hAnsi="Cambria"/>
        </w:rPr>
        <w:t xml:space="preserve">n nuestra </w:t>
      </w:r>
      <w:r w:rsidR="008634C8">
        <w:rPr>
          <w:rFonts w:ascii="Cambria" w:hAnsi="Cambria"/>
        </w:rPr>
        <w:t>opinión,</w:t>
      </w:r>
      <w:r>
        <w:rPr>
          <w:rFonts w:ascii="Cambria" w:hAnsi="Cambria"/>
        </w:rPr>
        <w:t xml:space="preserve"> el borrador </w:t>
      </w:r>
      <w:r w:rsidR="00AB7E06" w:rsidRPr="00AB7E06">
        <w:rPr>
          <w:rFonts w:ascii="Cambria" w:hAnsi="Cambria"/>
        </w:rPr>
        <w:t xml:space="preserve">divide algunas de las etapas establecidas en los </w:t>
      </w:r>
      <w:r w:rsidR="008634C8">
        <w:rPr>
          <w:rFonts w:ascii="Cambria" w:hAnsi="Cambria"/>
        </w:rPr>
        <w:t>Principios</w:t>
      </w:r>
      <w:r w:rsidR="00AB7E06" w:rsidRPr="00AB7E06">
        <w:rPr>
          <w:rFonts w:ascii="Cambria" w:hAnsi="Cambria"/>
        </w:rPr>
        <w:t xml:space="preserve">, crea etapas nuevas y establece la debida diligencia como un deber de resultado, no </w:t>
      </w:r>
      <w:r w:rsidR="008634C8">
        <w:rPr>
          <w:rFonts w:ascii="Cambria" w:hAnsi="Cambria"/>
        </w:rPr>
        <w:t xml:space="preserve">como </w:t>
      </w:r>
      <w:r w:rsidR="009428E7">
        <w:rPr>
          <w:rFonts w:ascii="Cambria" w:hAnsi="Cambria"/>
        </w:rPr>
        <w:t xml:space="preserve">un </w:t>
      </w:r>
      <w:r w:rsidR="00AB7E06" w:rsidRPr="00AB7E06">
        <w:rPr>
          <w:rFonts w:ascii="Cambria" w:hAnsi="Cambria"/>
        </w:rPr>
        <w:t xml:space="preserve">deber de medio. </w:t>
      </w:r>
      <w:r w:rsidR="008634C8">
        <w:rPr>
          <w:rFonts w:ascii="Cambria" w:hAnsi="Cambria"/>
        </w:rPr>
        <w:t>Este cambio, sin duda</w:t>
      </w:r>
      <w:r w:rsidR="00AB7E06" w:rsidRPr="00AB7E06">
        <w:rPr>
          <w:rFonts w:ascii="Cambria" w:hAnsi="Cambria"/>
        </w:rPr>
        <w:t xml:space="preserve"> complejizaría en extremo la forma de monitorear o hacer cumplir la obligación.</w:t>
      </w:r>
    </w:p>
    <w:p w:rsidR="00202B86" w:rsidRDefault="009428E7" w:rsidP="00AB7E06">
      <w:pPr>
        <w:jc w:val="both"/>
        <w:rPr>
          <w:rFonts w:ascii="Cambria" w:hAnsi="Cambria"/>
        </w:rPr>
      </w:pPr>
      <w:r>
        <w:rPr>
          <w:rFonts w:ascii="Cambria" w:hAnsi="Cambria"/>
        </w:rPr>
        <w:t xml:space="preserve">Un punto de este artículo que debemos modificar es que </w:t>
      </w:r>
      <w:r w:rsidR="00E5528D">
        <w:rPr>
          <w:rFonts w:ascii="Cambria" w:hAnsi="Cambria"/>
        </w:rPr>
        <w:t xml:space="preserve">no </w:t>
      </w:r>
      <w:r>
        <w:rPr>
          <w:rFonts w:ascii="Cambria" w:hAnsi="Cambria"/>
        </w:rPr>
        <w:t>existe</w:t>
      </w:r>
      <w:r w:rsidR="00E5528D">
        <w:rPr>
          <w:rFonts w:ascii="Cambria" w:hAnsi="Cambria"/>
        </w:rPr>
        <w:t xml:space="preserve"> una definición sobre qué se entiende por una </w:t>
      </w:r>
      <w:r>
        <w:rPr>
          <w:rFonts w:ascii="Cambria" w:hAnsi="Cambria"/>
        </w:rPr>
        <w:t xml:space="preserve">Pyme, siendo que a este tipo de empresas </w:t>
      </w:r>
      <w:r w:rsidR="00E5528D">
        <w:rPr>
          <w:rFonts w:ascii="Cambria" w:hAnsi="Cambria"/>
        </w:rPr>
        <w:t xml:space="preserve">se </w:t>
      </w:r>
      <w:r>
        <w:rPr>
          <w:rFonts w:ascii="Cambria" w:hAnsi="Cambria"/>
        </w:rPr>
        <w:t xml:space="preserve">le </w:t>
      </w:r>
      <w:r w:rsidR="00E5528D">
        <w:rPr>
          <w:rFonts w:ascii="Cambria" w:hAnsi="Cambria"/>
        </w:rPr>
        <w:t>presentan una serie de obligaciones</w:t>
      </w:r>
      <w:r w:rsidR="00E5528D" w:rsidRPr="00AB7E06">
        <w:rPr>
          <w:rFonts w:ascii="Cambria" w:hAnsi="Cambria"/>
        </w:rPr>
        <w:t xml:space="preserve"> de difícil o</w:t>
      </w:r>
      <w:r w:rsidR="00E5528D">
        <w:rPr>
          <w:rFonts w:ascii="Cambria" w:hAnsi="Cambria"/>
        </w:rPr>
        <w:t xml:space="preserve">bservancia, como por ejemplo: </w:t>
      </w:r>
      <w:r w:rsidR="00AB7E06" w:rsidRPr="00AB7E06">
        <w:rPr>
          <w:rFonts w:ascii="Cambria" w:hAnsi="Cambria"/>
        </w:rPr>
        <w:t>realizar informes periódicos, efectuar “</w:t>
      </w:r>
      <w:r w:rsidR="00AB7E06" w:rsidRPr="00AB7E06">
        <w:rPr>
          <w:rFonts w:ascii="Cambria" w:hAnsi="Cambria"/>
          <w:i/>
        </w:rPr>
        <w:t>evaluaciones previas y posteriores</w:t>
      </w:r>
      <w:r w:rsidR="00AB7E06" w:rsidRPr="00AB7E06">
        <w:rPr>
          <w:rFonts w:ascii="Cambria" w:hAnsi="Cambria"/>
        </w:rPr>
        <w:t>” (sin especificar contenido), prevenir violaciones por parte de entidades bajo su control “</w:t>
      </w:r>
      <w:r w:rsidR="00AB7E06" w:rsidRPr="00AB7E06">
        <w:rPr>
          <w:rFonts w:ascii="Cambria" w:hAnsi="Cambria"/>
          <w:i/>
        </w:rPr>
        <w:t>indirecto</w:t>
      </w:r>
      <w:r w:rsidR="00AB7E06" w:rsidRPr="00AB7E06">
        <w:rPr>
          <w:rFonts w:ascii="Cambria" w:hAnsi="Cambria"/>
        </w:rPr>
        <w:t>”, o celebrar “</w:t>
      </w:r>
      <w:r w:rsidR="00AB7E06" w:rsidRPr="00AB7E06">
        <w:rPr>
          <w:rFonts w:ascii="Cambria" w:hAnsi="Cambria"/>
          <w:i/>
        </w:rPr>
        <w:t>consultas significativas</w:t>
      </w:r>
      <w:r w:rsidR="00AB7E06" w:rsidRPr="00AB7E06">
        <w:rPr>
          <w:rFonts w:ascii="Cambria" w:hAnsi="Cambria"/>
        </w:rPr>
        <w:t>” con todos los grupos cuyos derechos se vean “</w:t>
      </w:r>
      <w:r w:rsidR="00AB7E06" w:rsidRPr="00AB7E06">
        <w:rPr>
          <w:rFonts w:ascii="Cambria" w:hAnsi="Cambria"/>
          <w:i/>
        </w:rPr>
        <w:t>potencialmente</w:t>
      </w:r>
      <w:r w:rsidR="00AB7E06" w:rsidRPr="00AB7E06">
        <w:rPr>
          <w:rFonts w:ascii="Cambria" w:hAnsi="Cambria"/>
        </w:rPr>
        <w:t xml:space="preserve">” afectados. </w:t>
      </w:r>
    </w:p>
    <w:p w:rsidR="00E5528D" w:rsidRDefault="009428E7" w:rsidP="00E5528D">
      <w:pPr>
        <w:jc w:val="both"/>
        <w:rPr>
          <w:rFonts w:ascii="Cambria" w:hAnsi="Cambria"/>
        </w:rPr>
      </w:pPr>
      <w:r>
        <w:rPr>
          <w:rFonts w:ascii="Cambria" w:hAnsi="Cambria"/>
        </w:rPr>
        <w:t>Lo anteriormente señalado</w:t>
      </w:r>
      <w:r w:rsidR="00AB7E06" w:rsidRPr="00AB7E06">
        <w:rPr>
          <w:rFonts w:ascii="Cambria" w:hAnsi="Cambria"/>
        </w:rPr>
        <w:t xml:space="preserve"> impondría al Estado una obligación de exigir esos requisitos a cualquier actividad empresarial que se realice en su territorio, lo que no parece razonable dada la menor capacidad en recursos económicos y humanos de las empresas de menor tamaño. La posibilidad de exención que contempla el</w:t>
      </w:r>
      <w:r>
        <w:rPr>
          <w:rFonts w:ascii="Cambria" w:hAnsi="Cambria"/>
        </w:rPr>
        <w:t xml:space="preserve"> parágrafo </w:t>
      </w:r>
      <w:r w:rsidR="00AB7E06" w:rsidRPr="00AB7E06">
        <w:rPr>
          <w:rFonts w:ascii="Cambria" w:hAnsi="Cambria"/>
        </w:rPr>
        <w:t xml:space="preserve">5 </w:t>
      </w:r>
      <w:r>
        <w:rPr>
          <w:rFonts w:ascii="Cambria" w:hAnsi="Cambria"/>
        </w:rPr>
        <w:t xml:space="preserve">de este artículo </w:t>
      </w:r>
      <w:r w:rsidR="00AB7E06" w:rsidRPr="00AB7E06">
        <w:rPr>
          <w:rFonts w:ascii="Cambria" w:hAnsi="Cambria"/>
        </w:rPr>
        <w:t xml:space="preserve">no basta para contrarrestar esta preocupación, ya que se trataría de una facultad ad hoc, y que puede ser fuente de controversia entre Estados. </w:t>
      </w:r>
    </w:p>
    <w:p w:rsidR="00E5528D" w:rsidRDefault="00E5528D" w:rsidP="00AB7E06">
      <w:pPr>
        <w:jc w:val="both"/>
        <w:rPr>
          <w:rFonts w:ascii="Cambria" w:hAnsi="Cambria"/>
        </w:rPr>
      </w:pPr>
      <w:r w:rsidRPr="00370AC1">
        <w:rPr>
          <w:rFonts w:ascii="Cambria" w:eastAsia="Times New Roman" w:hAnsi="Cambria" w:cs="Times New Roman"/>
          <w:lang w:eastAsia="es-ES_tradnl"/>
        </w:rPr>
        <w:t>Según la redacción del artículo, parecería tratarse de una facultad discrecional ejercida caso a caso (por oposición a un criterio generalizado de exención basado en el tamaño de la empresa), que no exime al Estado de su obligación de prevenir violaciones a los derechos humanos, las que, si llegaran a concretarse, igualmente podrían dar lugar a su responsabilidad internacional. Sin embargo, más importante aún es la circunstancia de que tampoco hay criterios uniformes para determinar la procedencia de la exención, por lo que una empresa podría obtenerla en uno de los Estados en que ejerce sus actividades o en que ellas tienen impactos, pero no en otros países. De tal modo, estos últimos podrían cuestionar la licitud de la exención obtenida en el primero, y alegar su responsabilidad internacional por incumplimiento de la Convención.</w:t>
      </w:r>
    </w:p>
    <w:p w:rsidR="00AB7E06" w:rsidRPr="00AB7E06" w:rsidRDefault="00202B86" w:rsidP="00AB7E06">
      <w:pPr>
        <w:jc w:val="both"/>
        <w:rPr>
          <w:rFonts w:ascii="Cambria" w:hAnsi="Cambria"/>
        </w:rPr>
      </w:pPr>
      <w:r>
        <w:rPr>
          <w:rFonts w:ascii="Cambria" w:hAnsi="Cambria"/>
        </w:rPr>
        <w:t xml:space="preserve">Por ello, volvemos a reiterar que nuestra posición en que este </w:t>
      </w:r>
      <w:r w:rsidR="00AB7E06" w:rsidRPr="00AB7E06">
        <w:rPr>
          <w:rFonts w:ascii="Cambria" w:hAnsi="Cambria"/>
        </w:rPr>
        <w:t xml:space="preserve">instrumento </w:t>
      </w:r>
      <w:r>
        <w:rPr>
          <w:rFonts w:ascii="Cambria" w:hAnsi="Cambria"/>
        </w:rPr>
        <w:t>sea</w:t>
      </w:r>
      <w:r w:rsidR="00AB7E06" w:rsidRPr="00AB7E06">
        <w:rPr>
          <w:rFonts w:ascii="Cambria" w:hAnsi="Cambria"/>
        </w:rPr>
        <w:t xml:space="preserve"> aplicable para todas las empresas</w:t>
      </w:r>
      <w:r>
        <w:rPr>
          <w:rFonts w:ascii="Cambria" w:hAnsi="Cambria"/>
        </w:rPr>
        <w:t xml:space="preserve"> y contenga </w:t>
      </w:r>
      <w:r w:rsidR="00AB7E06" w:rsidRPr="00AB7E06">
        <w:rPr>
          <w:rFonts w:ascii="Cambria" w:hAnsi="Cambria"/>
        </w:rPr>
        <w:t>obligaciones más genéricas y factibles de cumplimiento en toda actividad empresarial, atendiendo especialmente a sus capacidades.</w:t>
      </w:r>
    </w:p>
    <w:p w:rsidR="00AB7E06" w:rsidRPr="00AB7E06" w:rsidRDefault="00202B86" w:rsidP="00AB7E06">
      <w:pPr>
        <w:jc w:val="both"/>
        <w:rPr>
          <w:rFonts w:ascii="Cambria" w:hAnsi="Cambria"/>
          <w:i/>
        </w:rPr>
      </w:pPr>
      <w:r>
        <w:rPr>
          <w:rFonts w:ascii="Cambria" w:hAnsi="Cambria"/>
        </w:rPr>
        <w:t xml:space="preserve">En efecto, parecería que este texto establecer mayores </w:t>
      </w:r>
      <w:r w:rsidR="00AB7E06" w:rsidRPr="00AB7E06">
        <w:rPr>
          <w:rFonts w:ascii="Cambria" w:hAnsi="Cambria"/>
        </w:rPr>
        <w:t xml:space="preserve">compromisos directos </w:t>
      </w:r>
      <w:r>
        <w:rPr>
          <w:rFonts w:ascii="Cambria" w:hAnsi="Cambria"/>
        </w:rPr>
        <w:t>a</w:t>
      </w:r>
      <w:r w:rsidR="00AB7E06" w:rsidRPr="00AB7E06">
        <w:rPr>
          <w:rFonts w:ascii="Cambria" w:hAnsi="Cambria"/>
        </w:rPr>
        <w:t xml:space="preserve"> las empresas </w:t>
      </w:r>
      <w:r>
        <w:rPr>
          <w:rFonts w:ascii="Cambria" w:hAnsi="Cambria"/>
        </w:rPr>
        <w:t>que incluso a</w:t>
      </w:r>
      <w:r w:rsidR="00AB7E06" w:rsidRPr="00AB7E06">
        <w:rPr>
          <w:rFonts w:ascii="Cambria" w:hAnsi="Cambria"/>
        </w:rPr>
        <w:t xml:space="preserve"> </w:t>
      </w:r>
      <w:r>
        <w:rPr>
          <w:rFonts w:ascii="Cambria" w:hAnsi="Cambria"/>
        </w:rPr>
        <w:t>los</w:t>
      </w:r>
      <w:r w:rsidR="00AB7E06" w:rsidRPr="00AB7E06">
        <w:rPr>
          <w:rFonts w:ascii="Cambria" w:hAnsi="Cambria"/>
        </w:rPr>
        <w:t xml:space="preserve"> Estados, llegando a requerir que de los ítemes (a) hasta el (e) estén en todos los contratos de las empresas. De lo anterior, surge la pregunta </w:t>
      </w:r>
      <w:r w:rsidR="00686B1D">
        <w:rPr>
          <w:rFonts w:ascii="Cambria" w:hAnsi="Cambria"/>
        </w:rPr>
        <w:t xml:space="preserve">sobre </w:t>
      </w:r>
      <w:r w:rsidR="00AB7E06" w:rsidRPr="00AB7E06">
        <w:rPr>
          <w:rFonts w:ascii="Cambria" w:hAnsi="Cambria"/>
        </w:rPr>
        <w:t xml:space="preserve">cómo </w:t>
      </w:r>
      <w:r w:rsidR="00AB7E06" w:rsidRPr="00AB7E06">
        <w:rPr>
          <w:rFonts w:ascii="Cambria" w:hAnsi="Cambria"/>
        </w:rPr>
        <w:lastRenderedPageBreak/>
        <w:t xml:space="preserve">los Estados implementan estas obligaciones. </w:t>
      </w:r>
      <w:r>
        <w:rPr>
          <w:rFonts w:ascii="Cambria" w:hAnsi="Cambria"/>
        </w:rPr>
        <w:t xml:space="preserve">Por ello, me permito expresar que la </w:t>
      </w:r>
      <w:r w:rsidR="00E5528D">
        <w:rPr>
          <w:rFonts w:ascii="Cambria" w:hAnsi="Cambria"/>
        </w:rPr>
        <w:t>p</w:t>
      </w:r>
      <w:r w:rsidR="00AB7E06" w:rsidRPr="00AB7E06">
        <w:rPr>
          <w:rFonts w:ascii="Cambria" w:hAnsi="Cambria"/>
        </w:rPr>
        <w:t xml:space="preserve">osición de Chile en relación a la naturaleza de los instrumentos internacionales de </w:t>
      </w:r>
      <w:r w:rsidR="00686B1D">
        <w:rPr>
          <w:rFonts w:ascii="Cambria" w:hAnsi="Cambria"/>
        </w:rPr>
        <w:t>derechos humanos, es que la a</w:t>
      </w:r>
      <w:r w:rsidR="00AB7E06" w:rsidRPr="00E5528D">
        <w:rPr>
          <w:rFonts w:ascii="Cambria" w:hAnsi="Cambria"/>
        </w:rPr>
        <w:t>ctividad</w:t>
      </w:r>
      <w:r w:rsidR="00686B1D">
        <w:rPr>
          <w:rFonts w:ascii="Cambria" w:hAnsi="Cambria"/>
        </w:rPr>
        <w:t xml:space="preserve"> </w:t>
      </w:r>
      <w:r w:rsidR="00AB7E06" w:rsidRPr="00E5528D">
        <w:rPr>
          <w:rFonts w:ascii="Cambria" w:hAnsi="Cambria"/>
        </w:rPr>
        <w:t>empresarial no es sujeto de derechos ni de obliga</w:t>
      </w:r>
      <w:r w:rsidR="00686B1D">
        <w:rPr>
          <w:rFonts w:ascii="Cambria" w:hAnsi="Cambria"/>
        </w:rPr>
        <w:t>ciones, estas reposan sobre el E</w:t>
      </w:r>
      <w:r w:rsidR="00AB7E06" w:rsidRPr="00E5528D">
        <w:rPr>
          <w:rFonts w:ascii="Cambria" w:hAnsi="Cambria"/>
        </w:rPr>
        <w:t xml:space="preserve">stado y </w:t>
      </w:r>
      <w:r w:rsidR="00686B1D">
        <w:rPr>
          <w:rFonts w:ascii="Cambria" w:hAnsi="Cambria"/>
        </w:rPr>
        <w:t xml:space="preserve">los </w:t>
      </w:r>
      <w:r w:rsidR="00AB7E06" w:rsidRPr="00E5528D">
        <w:rPr>
          <w:rFonts w:ascii="Cambria" w:hAnsi="Cambria"/>
        </w:rPr>
        <w:t xml:space="preserve">derechos sobre </w:t>
      </w:r>
      <w:r w:rsidR="00686B1D">
        <w:rPr>
          <w:rFonts w:ascii="Cambria" w:hAnsi="Cambria"/>
        </w:rPr>
        <w:t xml:space="preserve">las </w:t>
      </w:r>
      <w:r w:rsidR="00AB7E06" w:rsidRPr="00E5528D">
        <w:rPr>
          <w:rFonts w:ascii="Cambria" w:hAnsi="Cambria"/>
        </w:rPr>
        <w:t>personas.</w:t>
      </w:r>
    </w:p>
    <w:p w:rsidR="00370AC1" w:rsidRPr="00AB7E06" w:rsidRDefault="00370AC1" w:rsidP="00AB7E06">
      <w:pPr>
        <w:jc w:val="both"/>
        <w:rPr>
          <w:rFonts w:ascii="Cambria" w:hAnsi="Cambria"/>
        </w:rPr>
      </w:pPr>
    </w:p>
    <w:p w:rsidR="00AB7E06" w:rsidRPr="00AB7E06" w:rsidRDefault="00AB7E06" w:rsidP="00AB7E06">
      <w:pPr>
        <w:jc w:val="both"/>
        <w:rPr>
          <w:rFonts w:ascii="Cambria" w:hAnsi="Cambria"/>
        </w:rPr>
      </w:pPr>
    </w:p>
    <w:sectPr w:rsidR="00AB7E06" w:rsidRPr="00AB7E06" w:rsidSect="00A252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D9"/>
    <w:multiLevelType w:val="hybridMultilevel"/>
    <w:tmpl w:val="6F8E2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D8"/>
    <w:rsid w:val="00116559"/>
    <w:rsid w:val="00202B86"/>
    <w:rsid w:val="0025219E"/>
    <w:rsid w:val="002E38D4"/>
    <w:rsid w:val="00357727"/>
    <w:rsid w:val="00370AC1"/>
    <w:rsid w:val="003C15A1"/>
    <w:rsid w:val="00441EBA"/>
    <w:rsid w:val="00487F0E"/>
    <w:rsid w:val="00526BC7"/>
    <w:rsid w:val="005557B2"/>
    <w:rsid w:val="005D27D8"/>
    <w:rsid w:val="00632FBC"/>
    <w:rsid w:val="00686B1D"/>
    <w:rsid w:val="00786025"/>
    <w:rsid w:val="0084191F"/>
    <w:rsid w:val="008634C8"/>
    <w:rsid w:val="0086745C"/>
    <w:rsid w:val="009428E7"/>
    <w:rsid w:val="009A2AE9"/>
    <w:rsid w:val="009F54F5"/>
    <w:rsid w:val="00A252AB"/>
    <w:rsid w:val="00A41209"/>
    <w:rsid w:val="00AB7E06"/>
    <w:rsid w:val="00B007C7"/>
    <w:rsid w:val="00B02F33"/>
    <w:rsid w:val="00BE10DD"/>
    <w:rsid w:val="00C12FF8"/>
    <w:rsid w:val="00CC365C"/>
    <w:rsid w:val="00E5528D"/>
    <w:rsid w:val="00F52587"/>
    <w:rsid w:val="00F772BD"/>
    <w:rsid w:val="00FB7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6BA2968"/>
  <w15:chartTrackingRefBased/>
  <w15:docId w15:val="{9F4D4CCF-0C6A-4D48-8567-656F027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7D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E06"/>
    <w:pPr>
      <w:spacing w:after="160" w:line="259" w:lineRule="auto"/>
      <w:ind w:left="720"/>
      <w:contextualSpacing/>
    </w:pPr>
    <w:rPr>
      <w:lang w:val="es-CL"/>
    </w:rPr>
  </w:style>
  <w:style w:type="paragraph" w:styleId="Sinespaciado">
    <w:name w:val="No Spacing"/>
    <w:uiPriority w:val="1"/>
    <w:qFormat/>
    <w:rsid w:val="00AB7E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9534">
      <w:bodyDiv w:val="1"/>
      <w:marLeft w:val="0"/>
      <w:marRight w:val="0"/>
      <w:marTop w:val="0"/>
      <w:marBottom w:val="0"/>
      <w:divBdr>
        <w:top w:val="none" w:sz="0" w:space="0" w:color="auto"/>
        <w:left w:val="none" w:sz="0" w:space="0" w:color="auto"/>
        <w:bottom w:val="none" w:sz="0" w:space="0" w:color="auto"/>
        <w:right w:val="none" w:sz="0" w:space="0" w:color="auto"/>
      </w:divBdr>
    </w:div>
    <w:div w:id="523520623">
      <w:bodyDiv w:val="1"/>
      <w:marLeft w:val="0"/>
      <w:marRight w:val="0"/>
      <w:marTop w:val="0"/>
      <w:marBottom w:val="0"/>
      <w:divBdr>
        <w:top w:val="none" w:sz="0" w:space="0" w:color="auto"/>
        <w:left w:val="none" w:sz="0" w:space="0" w:color="auto"/>
        <w:bottom w:val="none" w:sz="0" w:space="0" w:color="auto"/>
        <w:right w:val="none" w:sz="0" w:space="0" w:color="auto"/>
      </w:divBdr>
    </w:div>
    <w:div w:id="573320580">
      <w:bodyDiv w:val="1"/>
      <w:marLeft w:val="0"/>
      <w:marRight w:val="0"/>
      <w:marTop w:val="0"/>
      <w:marBottom w:val="0"/>
      <w:divBdr>
        <w:top w:val="none" w:sz="0" w:space="0" w:color="auto"/>
        <w:left w:val="none" w:sz="0" w:space="0" w:color="auto"/>
        <w:bottom w:val="none" w:sz="0" w:space="0" w:color="auto"/>
        <w:right w:val="none" w:sz="0" w:space="0" w:color="auto"/>
      </w:divBdr>
    </w:div>
    <w:div w:id="1006900136">
      <w:bodyDiv w:val="1"/>
      <w:marLeft w:val="0"/>
      <w:marRight w:val="0"/>
      <w:marTop w:val="0"/>
      <w:marBottom w:val="0"/>
      <w:divBdr>
        <w:top w:val="none" w:sz="0" w:space="0" w:color="auto"/>
        <w:left w:val="none" w:sz="0" w:space="0" w:color="auto"/>
        <w:bottom w:val="none" w:sz="0" w:space="0" w:color="auto"/>
        <w:right w:val="none" w:sz="0" w:space="0" w:color="auto"/>
      </w:divBdr>
    </w:div>
    <w:div w:id="10430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431DE7-3069-4D0C-869D-FF27612E8E04}"/>
</file>

<file path=customXml/itemProps2.xml><?xml version="1.0" encoding="utf-8"?>
<ds:datastoreItem xmlns:ds="http://schemas.openxmlformats.org/officeDocument/2006/customXml" ds:itemID="{D0D2BE43-87D9-4850-A0A3-5682E3D26957}"/>
</file>

<file path=customXml/itemProps3.xml><?xml version="1.0" encoding="utf-8"?>
<ds:datastoreItem xmlns:ds="http://schemas.openxmlformats.org/officeDocument/2006/customXml" ds:itemID="{54CBAEA0-4134-4AB6-9C26-2C9A0AC5EB3D}"/>
</file>

<file path=docProps/app.xml><?xml version="1.0" encoding="utf-8"?>
<Properties xmlns="http://schemas.openxmlformats.org/officeDocument/2006/extended-properties" xmlns:vt="http://schemas.openxmlformats.org/officeDocument/2006/docPropsVTypes">
  <Template>Normal.dotm</Template>
  <TotalTime>7</TotalTime>
  <Pages>4</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2018-10-15T18:54:00Z</dcterms:created>
  <dcterms:modified xsi:type="dcterms:W3CDTF">2018-10-16T10:13:00Z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