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framePr w:w="0" w:hRule="auto" w:wrap="auto" w:vAnchor="margin" w:hAnchor="text" w:yAlign="in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zh-CN" w:eastAsia="zh-CN"/>
        </w:rPr>
        <w:t xml:space="preserve">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第九条</w:t>
      </w:r>
      <w:r>
        <w:rPr>
          <w:sz w:val="28"/>
          <w:szCs w:val="28"/>
          <w:lang w:val="zh-CN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预防</w:t>
      </w:r>
    </w:p>
    <w:p>
      <w:pPr>
        <w:pStyle w:val="6"/>
        <w:framePr w:w="0"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lang w:val="zh-CN" w:eastAsia="zh-CN"/>
        </w:rPr>
        <w:t xml:space="preserve">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该条涉及工商业和人权关系一个核心问题，即人权方面的适当谨慎（</w:t>
      </w:r>
      <w:r>
        <w:rPr>
          <w:sz w:val="28"/>
          <w:szCs w:val="28"/>
          <w:lang w:val="en-US"/>
        </w:rPr>
        <w:t>due diligence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）概念。这直接涉及我们能否平衡对待人权和发展，即一方面，通过合适方式促进企业在其活动中尊重人权，同时要避免给企业施加过分的负担以致影响其对发展的贡献。此外，如该条目前规定所建议的，这涉及到国家和工商业的相关义务，因此需要合法性（</w:t>
      </w:r>
      <w:r>
        <w:rPr>
          <w:sz w:val="28"/>
          <w:szCs w:val="28"/>
          <w:lang w:val="en-US"/>
        </w:rPr>
        <w:t>legality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）原则认真审查。</w:t>
      </w:r>
    </w:p>
    <w:p>
      <w:pPr>
        <w:pStyle w:val="6"/>
        <w:framePr w:w="0"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lang w:val="zh-CN" w:eastAsia="zh-CN"/>
        </w:rPr>
        <w:t xml:space="preserve">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我们的一个基本关注是，目前本条的核心内容是为企业建立</w:t>
      </w:r>
      <w:r>
        <w:rPr>
          <w:sz w:val="28"/>
          <w:szCs w:val="28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适当谨慎</w:t>
      </w:r>
      <w:r>
        <w:rPr>
          <w:sz w:val="28"/>
          <w:szCs w:val="28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TW" w:eastAsia="zh-TW"/>
        </w:rPr>
        <w:t>的</w:t>
      </w:r>
      <w:r>
        <w:rPr>
          <w:sz w:val="28"/>
          <w:szCs w:val="28"/>
          <w:lang w:val="zh-CN" w:eastAsia="zh-CN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法律义务</w:t>
      </w:r>
      <w:r>
        <w:rPr>
          <w:sz w:val="28"/>
          <w:szCs w:val="28"/>
          <w:lang w:val="zh-CN" w:eastAsia="zh-CN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并明确其具体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ja-JP" w:eastAsia="ja-JP"/>
        </w:rPr>
        <w:t>内容（</w:t>
      </w:r>
      <w:r>
        <w:rPr>
          <w:sz w:val="28"/>
          <w:szCs w:val="28"/>
        </w:rPr>
        <w:t>“</w:t>
      </w:r>
      <w:r>
        <w:rPr>
          <w:sz w:val="28"/>
          <w:szCs w:val="28"/>
          <w:lang w:val="fr-FR"/>
        </w:rPr>
        <w:t>due diligence obligation</w:t>
      </w:r>
      <w:r>
        <w:rPr>
          <w:sz w:val="28"/>
          <w:szCs w:val="28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</w:rPr>
        <w:t>）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，这可能超出了我们谈判的一个基本共识，即主席在昨天所明确指出的，拟议中的文书不寻求建立创设新的权利和义务。工商业在活动中落实人权方面的适当谨慎是一个原则共识，但性质和具体内容则是一个正在发展中的概念，不同发展阶段的国家也许有不同的认识，如果像该条所建议的将其作为一个法律概念在本文书加以明确，则需要根据现有国际法进行严格的考察（</w:t>
      </w:r>
      <w:r>
        <w:rPr>
          <w:sz w:val="28"/>
          <w:szCs w:val="28"/>
          <w:lang w:val="en-US"/>
        </w:rPr>
        <w:t>rigorous examination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），看这样做是否条件成熟、特别是是否有得到共同接受的现行国际法规则作为基础。在此方面，我们愿提及，</w:t>
      </w:r>
      <w:r>
        <w:rPr>
          <w:sz w:val="28"/>
          <w:szCs w:val="28"/>
        </w:rPr>
        <w:t>2011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通过的</w:t>
      </w:r>
      <w:r>
        <w:rPr>
          <w:sz w:val="28"/>
          <w:szCs w:val="28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工商业和人权指导原则</w:t>
      </w:r>
      <w:r>
        <w:rPr>
          <w:sz w:val="28"/>
          <w:szCs w:val="28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</w:rPr>
        <w:t>（</w:t>
      </w:r>
      <w:r>
        <w:rPr>
          <w:sz w:val="28"/>
          <w:szCs w:val="28"/>
          <w:lang w:val="en-US"/>
        </w:rPr>
        <w:t>guiding principles on business and human rights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</w:rPr>
        <w:t>）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在此方面给各国留有一定的政策空间（</w:t>
      </w:r>
      <w:r>
        <w:rPr>
          <w:sz w:val="28"/>
          <w:szCs w:val="28"/>
          <w:lang w:val="en-US"/>
        </w:rPr>
        <w:t>policy space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），即主要是</w:t>
      </w:r>
      <w:r>
        <w:rPr>
          <w:sz w:val="28"/>
          <w:szCs w:val="28"/>
          <w:lang w:val="zh-CN" w:eastAsia="zh-CN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鼓励</w:t>
      </w:r>
      <w:r>
        <w:rPr>
          <w:sz w:val="28"/>
          <w:szCs w:val="28"/>
          <w:lang w:val="zh-CN" w:eastAsia="zh-CN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（</w:t>
      </w:r>
      <w:r>
        <w:rPr>
          <w:sz w:val="28"/>
          <w:szCs w:val="28"/>
          <w:lang w:val="en-US"/>
        </w:rPr>
        <w:t>encourage)</w:t>
      </w:r>
      <w:r>
        <w:rPr>
          <w:sz w:val="28"/>
          <w:szCs w:val="28"/>
          <w:lang w:val="zh-CN" w:eastAsia="zh-CN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仅仅在适合时（</w:t>
      </w:r>
      <w:r>
        <w:rPr>
          <w:sz w:val="28"/>
          <w:szCs w:val="28"/>
          <w:lang w:val="en-US"/>
        </w:rPr>
        <w:t>where appropriate)</w:t>
      </w:r>
      <w:r>
        <w:rPr>
          <w:sz w:val="28"/>
          <w:szCs w:val="28"/>
          <w:lang w:val="zh-CN" w:eastAsia="zh-CN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才要求（</w:t>
      </w:r>
      <w:r>
        <w:rPr>
          <w:sz w:val="28"/>
          <w:szCs w:val="28"/>
          <w:lang w:val="en-US"/>
        </w:rPr>
        <w:t>require)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企业落实适当谨慎。</w:t>
      </w:r>
    </w:p>
    <w:p>
      <w:pPr>
        <w:pStyle w:val="6"/>
        <w:framePr w:w="0"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lang w:val="zh-CN" w:eastAsia="zh-CN"/>
        </w:rPr>
        <w:t xml:space="preserve"> 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另外，从本文书草案的核心目的</w:t>
      </w:r>
      <w:r>
        <w:rPr>
          <w:sz w:val="28"/>
          <w:szCs w:val="28"/>
          <w:lang w:val="zh-CN" w:eastAsia="zh-CN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即为受害人提供有效的救济机制</w:t>
      </w:r>
      <w:r>
        <w:rPr>
          <w:sz w:val="28"/>
          <w:szCs w:val="28"/>
          <w:lang w:val="zh-CN" w:eastAsia="zh-CN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来看，从法律技术角度讲，并不需要在预防以及适当谨慎方面做出过于具体的规定，因为这样的规定涉及实质的义务，超出了建立救济机制的需要。</w:t>
      </w:r>
    </w:p>
    <w:p>
      <w:pPr>
        <w:pStyle w:val="6"/>
        <w:framePr w:w="0" w:hRule="auto" w:wrap="auto" w:vAnchor="margin" w:hAnchor="text" w:yAlign="inline"/>
      </w:pPr>
      <w:r>
        <w:rPr>
          <w:sz w:val="28"/>
          <w:szCs w:val="28"/>
          <w:lang w:val="zh-CN" w:eastAsia="zh-CN"/>
        </w:rPr>
        <w:t xml:space="preserve"> 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最后，我们强调，在本文书中不对适当谨慎作出过于具体的规定，并不影响各国落实</w:t>
      </w:r>
      <w:r>
        <w:rPr>
          <w:sz w:val="28"/>
          <w:szCs w:val="28"/>
          <w:lang w:val="zh-CN" w:eastAsia="zh-CN"/>
        </w:rPr>
        <w:t>2011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lang w:val="zh-CN" w:eastAsia="zh-CN"/>
        </w:rPr>
        <w:t>年的指导原则，也不影响各国根据本国在此方面的法律原则、包括民法或刑法方面的适当谨慎义务、处理工商业可能涉及的责任。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5B4D4F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table" w:customStyle="1" w:styleId="5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Body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eader" Target="header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035EB5-2446-4627-B28D-52649928642D}"/>
</file>

<file path=customXml/itemProps3.xml><?xml version="1.0" encoding="utf-8"?>
<ds:datastoreItem xmlns:ds="http://schemas.openxmlformats.org/officeDocument/2006/customXml" ds:itemID="{8CC3C4B9-F210-4326-B880-A6F6EEB85DE6}"/>
</file>

<file path=customXml/itemProps4.xml><?xml version="1.0" encoding="utf-8"?>
<ds:datastoreItem xmlns:ds="http://schemas.openxmlformats.org/officeDocument/2006/customXml" ds:itemID="{32E8826D-F5BA-4B05-A8B8-AD6AC1CFA6D8}"/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wjb</dc:creator>
  <cp:lastModifiedBy>wjb</cp:lastModifiedBy>
  <cp:revision/>
  <dcterms:created xsi:type="dcterms:W3CDTF">2018-10-22T14:06:30Z</dcterms:created>
  <dcterms:modified xsi:type="dcterms:W3CDTF">2018-10-22T14:06:35Z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0x0101008822B9E06671B54FA89F14538B9B0FEA</vt:lpwstr>
  </property>
</Properties>
</file>