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p>
    <w:p>
      <w:pPr>
        <w:pStyle w:val="Body A"/>
      </w:pPr>
    </w:p>
    <w:p>
      <w:pPr>
        <w:pStyle w:val="Body A"/>
      </w:pPr>
    </w:p>
    <w:p>
      <w:pPr>
        <w:pStyle w:val="Body A"/>
      </w:pPr>
    </w:p>
    <w:p>
      <w:pPr>
        <w:pStyle w:val="Body A"/>
        <w:jc w:val="center"/>
        <w:rPr>
          <w:sz w:val="24"/>
          <w:szCs w:val="24"/>
        </w:rPr>
      </w:pPr>
      <w:r>
        <w:rPr>
          <w:rFonts w:eastAsia="Arial Unicode MS" w:hint="eastAsia"/>
          <w:sz w:val="24"/>
          <w:szCs w:val="24"/>
          <w:rtl w:val="0"/>
          <w:lang w:val="zh-TW" w:eastAsia="zh-TW"/>
        </w:rPr>
        <w:t>中国代表</w:t>
      </w:r>
      <w:r>
        <w:rPr>
          <w:rFonts w:eastAsia="Arial Unicode MS" w:hint="eastAsia"/>
          <w:sz w:val="24"/>
          <w:szCs w:val="24"/>
          <w:rtl w:val="0"/>
          <w:lang w:val="zh-CN" w:eastAsia="zh-CN"/>
        </w:rPr>
        <w:t>团</w:t>
      </w:r>
      <w:r>
        <w:rPr>
          <w:rFonts w:eastAsia="Arial Unicode MS" w:hint="eastAsia"/>
          <w:sz w:val="24"/>
          <w:szCs w:val="24"/>
          <w:rtl w:val="0"/>
          <w:lang w:val="zh-TW" w:eastAsia="zh-TW"/>
        </w:rPr>
        <w:t>在</w:t>
      </w:r>
      <w:r>
        <w:rPr>
          <w:sz w:val="24"/>
          <w:szCs w:val="24"/>
          <w:rtl w:val="0"/>
          <w:lang w:val="zh-TW" w:eastAsia="zh-TW"/>
        </w:rPr>
        <w:t>“</w:t>
      </w:r>
      <w:r>
        <w:rPr>
          <w:rFonts w:eastAsia="Arial Unicode MS" w:hint="eastAsia"/>
          <w:sz w:val="24"/>
          <w:szCs w:val="24"/>
          <w:rtl w:val="0"/>
          <w:lang w:val="zh-TW" w:eastAsia="zh-TW"/>
        </w:rPr>
        <w:t>跨国公司和其他工商业和人权</w:t>
      </w:r>
      <w:r>
        <w:rPr>
          <w:sz w:val="24"/>
          <w:szCs w:val="24"/>
          <w:rtl w:val="0"/>
          <w:lang w:val="zh-TW" w:eastAsia="zh-TW"/>
        </w:rPr>
        <w:t>”</w:t>
      </w:r>
      <w:r>
        <w:rPr>
          <w:rFonts w:eastAsia="Arial Unicode MS" w:hint="eastAsia"/>
          <w:sz w:val="24"/>
          <w:szCs w:val="24"/>
          <w:rtl w:val="0"/>
          <w:lang w:val="zh-TW" w:eastAsia="zh-TW"/>
        </w:rPr>
        <w:t>政府间工作组</w:t>
      </w:r>
    </w:p>
    <w:p>
      <w:pPr>
        <w:pStyle w:val="Body A"/>
        <w:jc w:val="center"/>
        <w:rPr>
          <w:sz w:val="24"/>
          <w:szCs w:val="24"/>
        </w:rPr>
      </w:pPr>
      <w:r>
        <w:rPr>
          <w:rFonts w:eastAsia="Arial Unicode MS" w:hint="eastAsia"/>
          <w:sz w:val="24"/>
          <w:szCs w:val="24"/>
          <w:rtl w:val="0"/>
          <w:lang w:val="zh-TW" w:eastAsia="zh-TW"/>
        </w:rPr>
        <w:t>第四次会议上的一般性发言要点</w:t>
      </w:r>
    </w:p>
    <w:p>
      <w:pPr>
        <w:pStyle w:val="Body A"/>
        <w:jc w:val="center"/>
        <w:rPr>
          <w:sz w:val="24"/>
          <w:szCs w:val="24"/>
        </w:rPr>
      </w:pPr>
      <w:r>
        <w:rPr>
          <w:rFonts w:eastAsia="Arial Unicode MS" w:hint="eastAsia"/>
          <w:sz w:val="24"/>
          <w:szCs w:val="24"/>
          <w:rtl w:val="0"/>
          <w:lang w:val="zh-TW" w:eastAsia="zh-TW"/>
        </w:rPr>
        <w:t>（</w:t>
      </w:r>
      <w:r>
        <w:rPr>
          <w:sz w:val="24"/>
          <w:szCs w:val="24"/>
          <w:rtl w:val="0"/>
          <w:lang w:val="zh-TW" w:eastAsia="zh-TW"/>
        </w:rPr>
        <w:t>10</w:t>
      </w:r>
      <w:r>
        <w:rPr>
          <w:rFonts w:eastAsia="Arial Unicode MS" w:hint="eastAsia"/>
          <w:sz w:val="24"/>
          <w:szCs w:val="24"/>
          <w:rtl w:val="0"/>
          <w:lang w:val="zh-TW" w:eastAsia="zh-TW"/>
        </w:rPr>
        <w:t>月</w:t>
      </w:r>
      <w:r>
        <w:rPr>
          <w:sz w:val="24"/>
          <w:szCs w:val="24"/>
          <w:rtl w:val="0"/>
          <w:lang w:val="zh-TW" w:eastAsia="zh-TW"/>
        </w:rPr>
        <w:t>15</w:t>
      </w:r>
      <w:r>
        <w:rPr>
          <w:rFonts w:eastAsia="Arial Unicode MS" w:hint="eastAsia"/>
          <w:sz w:val="24"/>
          <w:szCs w:val="24"/>
          <w:rtl w:val="0"/>
          <w:lang w:val="zh-TW" w:eastAsia="zh-TW"/>
        </w:rPr>
        <w:t>日上午）</w:t>
      </w:r>
    </w:p>
    <w:p>
      <w:pPr>
        <w:pStyle w:val="Body A"/>
      </w:pPr>
    </w:p>
    <w:p>
      <w:pPr>
        <w:pStyle w:val="Body A"/>
        <w:rPr>
          <w:sz w:val="24"/>
          <w:szCs w:val="24"/>
        </w:rPr>
      </w:pPr>
    </w:p>
    <w:p>
      <w:pPr>
        <w:pStyle w:val="Body A"/>
        <w:rPr>
          <w:sz w:val="24"/>
          <w:szCs w:val="24"/>
        </w:rPr>
      </w:pPr>
      <w:r>
        <w:rPr>
          <w:sz w:val="24"/>
          <w:szCs w:val="24"/>
          <w:rtl w:val="0"/>
          <w:lang w:val="zh-TW" w:eastAsia="zh-TW"/>
        </w:rPr>
        <w:t xml:space="preserve">       </w:t>
      </w:r>
      <w:r>
        <w:rPr>
          <w:rFonts w:eastAsia="Arial Unicode MS" w:hint="eastAsia"/>
          <w:sz w:val="24"/>
          <w:szCs w:val="24"/>
          <w:rtl w:val="0"/>
          <w:lang w:val="zh-TW" w:eastAsia="zh-TW"/>
        </w:rPr>
        <w:t>中国代表团感谢历任工作组主席和厄瓜多尔政府及其常驻团为推动工作组的讨论所作出的巨大努力和贡献。本次工作组将开始围绕零案文开展讨论，中国代表团愿发表以下一般意见：</w:t>
      </w:r>
    </w:p>
    <w:p>
      <w:pPr>
        <w:pStyle w:val="Body A"/>
        <w:rPr>
          <w:sz w:val="24"/>
          <w:szCs w:val="24"/>
        </w:rPr>
      </w:pPr>
      <w:r>
        <w:rPr>
          <w:sz w:val="24"/>
          <w:szCs w:val="24"/>
          <w:rtl w:val="0"/>
          <w:lang w:val="zh-TW" w:eastAsia="zh-TW"/>
        </w:rPr>
        <w:t xml:space="preserve">       </w:t>
      </w:r>
      <w:r>
        <w:rPr>
          <w:rFonts w:eastAsia="Arial Unicode MS" w:hint="eastAsia"/>
          <w:sz w:val="24"/>
          <w:szCs w:val="24"/>
          <w:rtl w:val="0"/>
          <w:lang w:val="zh-TW" w:eastAsia="zh-TW"/>
        </w:rPr>
        <w:t>一、促进人权和发展。根据人权理事会</w:t>
      </w:r>
      <w:r>
        <w:rPr>
          <w:sz w:val="24"/>
          <w:szCs w:val="24"/>
          <w:rtl w:val="0"/>
        </w:rPr>
        <w:t>29/6</w:t>
      </w:r>
      <w:r>
        <w:rPr>
          <w:rFonts w:eastAsia="Arial Unicode MS" w:hint="eastAsia"/>
          <w:sz w:val="24"/>
          <w:szCs w:val="24"/>
          <w:rtl w:val="0"/>
          <w:lang w:val="zh-TW" w:eastAsia="zh-TW"/>
        </w:rPr>
        <w:t>号决议授权，本工作组旨在从国际人权法角度规范（</w:t>
      </w:r>
      <w:r>
        <w:rPr>
          <w:sz w:val="24"/>
          <w:szCs w:val="24"/>
          <w:rtl w:val="0"/>
          <w:lang w:val="en-US"/>
        </w:rPr>
        <w:t>regulate</w:t>
      </w:r>
      <w:r>
        <w:rPr>
          <w:rFonts w:eastAsia="Arial Unicode MS" w:hint="eastAsia"/>
          <w:sz w:val="24"/>
          <w:szCs w:val="24"/>
          <w:rtl w:val="0"/>
          <w:lang w:val="zh-TW" w:eastAsia="zh-TW"/>
        </w:rPr>
        <w:t>）跨国公司的行为，另一方面，</w:t>
      </w:r>
      <w:r>
        <w:rPr>
          <w:sz w:val="24"/>
          <w:szCs w:val="24"/>
          <w:rtl w:val="0"/>
          <w:lang w:val="zh-TW" w:eastAsia="zh-TW"/>
        </w:rPr>
        <w:t>29/6</w:t>
      </w:r>
      <w:r>
        <w:rPr>
          <w:rFonts w:eastAsia="Arial Unicode MS" w:hint="eastAsia"/>
          <w:sz w:val="24"/>
          <w:szCs w:val="24"/>
          <w:rtl w:val="0"/>
          <w:lang w:val="zh-TW" w:eastAsia="zh-TW"/>
        </w:rPr>
        <w:t>决议也承认（</w:t>
      </w:r>
      <w:r>
        <w:rPr>
          <w:sz w:val="24"/>
          <w:szCs w:val="24"/>
          <w:rtl w:val="0"/>
          <w:lang w:val="en-US"/>
        </w:rPr>
        <w:t>acknowledge</w:t>
      </w:r>
      <w:r>
        <w:rPr>
          <w:rFonts w:eastAsia="Arial Unicode MS" w:hint="eastAsia"/>
          <w:sz w:val="24"/>
          <w:szCs w:val="24"/>
          <w:rtl w:val="0"/>
          <w:lang w:val="zh-TW" w:eastAsia="zh-TW"/>
        </w:rPr>
        <w:t>）跨国公司</w:t>
      </w:r>
      <w:r>
        <w:rPr>
          <w:sz w:val="24"/>
          <w:szCs w:val="24"/>
          <w:rtl w:val="0"/>
          <w:lang w:val="zh-TW" w:eastAsia="zh-TW"/>
        </w:rPr>
        <w:t>“</w:t>
      </w:r>
      <w:r>
        <w:rPr>
          <w:rFonts w:eastAsia="Arial Unicode MS" w:hint="eastAsia"/>
          <w:sz w:val="24"/>
          <w:szCs w:val="24"/>
          <w:rtl w:val="0"/>
          <w:lang w:val="zh-TW" w:eastAsia="zh-TW"/>
        </w:rPr>
        <w:t>有能力促进经济福址、发展、技术进步和增加财富</w:t>
      </w:r>
      <w:r>
        <w:rPr>
          <w:sz w:val="24"/>
          <w:szCs w:val="24"/>
          <w:rtl w:val="0"/>
          <w:lang w:val="zh-TW" w:eastAsia="zh-TW"/>
        </w:rPr>
        <w:t>”</w:t>
      </w:r>
      <w:r>
        <w:rPr>
          <w:rFonts w:eastAsia="Arial Unicode MS" w:hint="eastAsia"/>
          <w:sz w:val="24"/>
          <w:szCs w:val="24"/>
          <w:rtl w:val="0"/>
          <w:lang w:val="zh-TW" w:eastAsia="zh-TW"/>
        </w:rPr>
        <w:t>（</w:t>
      </w:r>
      <w:r>
        <w:rPr>
          <w:sz w:val="24"/>
          <w:szCs w:val="24"/>
          <w:rtl w:val="0"/>
          <w:lang w:val="en-US"/>
        </w:rPr>
        <w:t>have the capacity to foster economic well-being, development, technological improvement and wealth</w:t>
      </w:r>
      <w:r>
        <w:rPr>
          <w:rFonts w:eastAsia="Arial Unicode MS" w:hint="eastAsia"/>
          <w:sz w:val="24"/>
          <w:szCs w:val="24"/>
          <w:rtl w:val="0"/>
          <w:lang w:val="zh-TW" w:eastAsia="zh-TW"/>
        </w:rPr>
        <w:t>）</w:t>
      </w:r>
      <w:r>
        <w:rPr>
          <w:sz w:val="24"/>
          <w:szCs w:val="24"/>
          <w:rtl w:val="0"/>
        </w:rPr>
        <w:t xml:space="preserve"> </w:t>
      </w:r>
      <w:r>
        <w:rPr>
          <w:rFonts w:eastAsia="Arial Unicode MS" w:hint="eastAsia"/>
          <w:sz w:val="24"/>
          <w:szCs w:val="24"/>
          <w:rtl w:val="0"/>
          <w:lang w:val="zh-TW" w:eastAsia="zh-TW"/>
        </w:rPr>
        <w:t>。联合国</w:t>
      </w:r>
      <w:r>
        <w:rPr>
          <w:sz w:val="24"/>
          <w:szCs w:val="24"/>
          <w:rtl w:val="0"/>
          <w:lang w:val="zh-TW" w:eastAsia="zh-TW"/>
        </w:rPr>
        <w:t>2030</w:t>
      </w:r>
      <w:r>
        <w:rPr>
          <w:rFonts w:eastAsia="Arial Unicode MS" w:hint="eastAsia"/>
          <w:sz w:val="24"/>
          <w:szCs w:val="24"/>
          <w:rtl w:val="0"/>
          <w:lang w:val="zh-TW" w:eastAsia="zh-TW"/>
        </w:rPr>
        <w:t>可持续发展议程也认可工商业（</w:t>
      </w:r>
      <w:r>
        <w:rPr>
          <w:sz w:val="24"/>
          <w:szCs w:val="24"/>
          <w:rtl w:val="0"/>
          <w:lang w:val="en-US"/>
        </w:rPr>
        <w:t>business</w:t>
      </w:r>
      <w:r>
        <w:rPr>
          <w:rFonts w:eastAsia="Arial Unicode MS" w:hint="eastAsia"/>
          <w:sz w:val="24"/>
          <w:szCs w:val="24"/>
          <w:rtl w:val="0"/>
          <w:lang w:val="zh-TW" w:eastAsia="zh-TW"/>
        </w:rPr>
        <w:t>）是发展的一个推动力（</w:t>
      </w:r>
      <w:r>
        <w:rPr>
          <w:sz w:val="24"/>
          <w:szCs w:val="24"/>
          <w:rtl w:val="0"/>
          <w:lang w:val="en-US"/>
        </w:rPr>
        <w:t>driver</w:t>
      </w:r>
      <w:r>
        <w:rPr>
          <w:rFonts w:eastAsia="Arial Unicode MS" w:hint="eastAsia"/>
          <w:sz w:val="24"/>
          <w:szCs w:val="24"/>
          <w:rtl w:val="0"/>
          <w:lang w:val="zh-TW" w:eastAsia="zh-TW"/>
        </w:rPr>
        <w:t>）。正如</w:t>
      </w:r>
      <w:r>
        <w:rPr>
          <w:sz w:val="24"/>
          <w:szCs w:val="24"/>
          <w:rtl w:val="0"/>
          <w:lang w:val="zh-TW" w:eastAsia="zh-TW"/>
        </w:rPr>
        <w:t>2005</w:t>
      </w:r>
      <w:r>
        <w:rPr>
          <w:rFonts w:eastAsia="Arial Unicode MS" w:hint="eastAsia"/>
          <w:sz w:val="24"/>
          <w:szCs w:val="24"/>
          <w:rtl w:val="0"/>
          <w:lang w:val="zh-TW" w:eastAsia="zh-TW"/>
        </w:rPr>
        <w:t>世界峰会成果文件（</w:t>
      </w:r>
      <w:r>
        <w:rPr>
          <w:sz w:val="24"/>
          <w:szCs w:val="24"/>
          <w:rtl w:val="0"/>
          <w:lang w:val="zh-TW" w:eastAsia="zh-TW"/>
        </w:rPr>
        <w:t>2005 W</w:t>
      </w:r>
      <w:r>
        <w:rPr>
          <w:sz w:val="24"/>
          <w:szCs w:val="24"/>
          <w:rtl w:val="0"/>
          <w:lang w:val="en-US"/>
        </w:rPr>
        <w:t>orld Summit Outcome</w:t>
      </w:r>
      <w:r>
        <w:rPr>
          <w:rFonts w:eastAsia="Arial Unicode MS" w:hint="eastAsia"/>
          <w:sz w:val="24"/>
          <w:szCs w:val="24"/>
          <w:rtl w:val="0"/>
          <w:lang w:val="zh-TW" w:eastAsia="zh-TW"/>
        </w:rPr>
        <w:t>）</w:t>
      </w:r>
      <w:r>
        <w:rPr>
          <w:sz w:val="24"/>
          <w:szCs w:val="24"/>
          <w:rtl w:val="0"/>
          <w:lang w:val="en-US"/>
        </w:rPr>
        <w:t>A/RES/60/1</w:t>
      </w:r>
      <w:r>
        <w:rPr>
          <w:rFonts w:eastAsia="Arial Unicode MS" w:hint="eastAsia"/>
          <w:sz w:val="24"/>
          <w:szCs w:val="24"/>
          <w:rtl w:val="0"/>
          <w:lang w:val="zh-TW" w:eastAsia="zh-TW"/>
        </w:rPr>
        <w:t>所指出的，发展和人权都是</w:t>
      </w:r>
      <w:r>
        <w:rPr>
          <w:sz w:val="24"/>
          <w:szCs w:val="24"/>
          <w:rtl w:val="0"/>
          <w:lang w:val="zh-TW" w:eastAsia="zh-TW"/>
        </w:rPr>
        <w:t>“</w:t>
      </w:r>
      <w:r>
        <w:rPr>
          <w:rFonts w:eastAsia="Arial Unicode MS" w:hint="eastAsia"/>
          <w:sz w:val="24"/>
          <w:szCs w:val="24"/>
          <w:rtl w:val="0"/>
          <w:lang w:val="zh-TW" w:eastAsia="zh-TW"/>
        </w:rPr>
        <w:t>联合国系统的支柱</w:t>
      </w:r>
      <w:r>
        <w:rPr>
          <w:sz w:val="24"/>
          <w:szCs w:val="24"/>
          <w:rtl w:val="0"/>
          <w:lang w:val="zh-TW" w:eastAsia="zh-TW"/>
        </w:rPr>
        <w:t>”</w:t>
      </w:r>
      <w:r>
        <w:rPr>
          <w:rFonts w:eastAsia="Arial Unicode MS" w:hint="eastAsia"/>
          <w:sz w:val="24"/>
          <w:szCs w:val="24"/>
          <w:rtl w:val="0"/>
          <w:lang w:val="zh-TW" w:eastAsia="zh-TW"/>
        </w:rPr>
        <w:t>（</w:t>
      </w:r>
      <w:r>
        <w:rPr>
          <w:sz w:val="24"/>
          <w:szCs w:val="24"/>
          <w:rtl w:val="0"/>
          <w:lang w:val="en-US"/>
        </w:rPr>
        <w:t>pillars of United Nations system</w:t>
      </w:r>
      <w:r>
        <w:rPr>
          <w:rFonts w:eastAsia="Arial Unicode MS" w:hint="eastAsia"/>
          <w:sz w:val="24"/>
          <w:szCs w:val="24"/>
          <w:rtl w:val="0"/>
          <w:lang w:val="zh-TW" w:eastAsia="zh-TW"/>
        </w:rPr>
        <w:t>），两者</w:t>
      </w:r>
      <w:r>
        <w:rPr>
          <w:sz w:val="24"/>
          <w:szCs w:val="24"/>
          <w:rtl w:val="0"/>
          <w:lang w:val="zh-TW" w:eastAsia="zh-TW"/>
        </w:rPr>
        <w:t>“</w:t>
      </w:r>
      <w:r>
        <w:rPr>
          <w:rFonts w:eastAsia="Arial Unicode MS" w:hint="eastAsia"/>
          <w:sz w:val="24"/>
          <w:szCs w:val="24"/>
          <w:rtl w:val="0"/>
          <w:lang w:val="zh-TW" w:eastAsia="zh-TW"/>
        </w:rPr>
        <w:t>相互联系和互相支持</w:t>
      </w:r>
      <w:r>
        <w:rPr>
          <w:sz w:val="24"/>
          <w:szCs w:val="24"/>
          <w:rtl w:val="0"/>
          <w:lang w:val="zh-TW" w:eastAsia="zh-TW"/>
        </w:rPr>
        <w:t>”</w:t>
      </w:r>
      <w:r>
        <w:rPr>
          <w:rFonts w:eastAsia="Arial Unicode MS" w:hint="eastAsia"/>
          <w:sz w:val="24"/>
          <w:szCs w:val="24"/>
          <w:rtl w:val="0"/>
          <w:lang w:val="zh-TW" w:eastAsia="zh-TW"/>
        </w:rPr>
        <w:t>（</w:t>
      </w:r>
      <w:r>
        <w:rPr>
          <w:sz w:val="24"/>
          <w:szCs w:val="24"/>
          <w:rtl w:val="0"/>
          <w:lang w:val="en-US"/>
        </w:rPr>
        <w:t>interlinked and mutually reinforcing</w:t>
      </w:r>
      <w:r>
        <w:rPr>
          <w:rFonts w:eastAsia="Arial Unicode MS" w:hint="eastAsia"/>
          <w:sz w:val="24"/>
          <w:szCs w:val="24"/>
          <w:rtl w:val="0"/>
          <w:lang w:val="zh-TW" w:eastAsia="zh-TW"/>
        </w:rPr>
        <w:t>）。我们建议拟议中的法律文书平等处理人权和发展两方面的关切，在加强相关人权保护和救济机制的同时，不影响工商业在推动各国发展方面可发挥的积极作用。</w:t>
      </w:r>
    </w:p>
    <w:p>
      <w:pPr>
        <w:pStyle w:val="Body A"/>
        <w:rPr>
          <w:sz w:val="24"/>
          <w:szCs w:val="24"/>
        </w:rPr>
      </w:pPr>
      <w:r>
        <w:rPr>
          <w:sz w:val="24"/>
          <w:szCs w:val="24"/>
          <w:rtl w:val="0"/>
          <w:lang w:val="zh-TW" w:eastAsia="zh-TW"/>
        </w:rPr>
        <w:t xml:space="preserve">       </w:t>
      </w:r>
      <w:r>
        <w:rPr>
          <w:rFonts w:eastAsia="Arial Unicode MS" w:hint="eastAsia"/>
          <w:sz w:val="24"/>
          <w:szCs w:val="24"/>
          <w:rtl w:val="0"/>
          <w:lang w:val="zh-TW" w:eastAsia="zh-TW"/>
        </w:rPr>
        <w:t>二、以合法性（</w:t>
      </w:r>
      <w:r>
        <w:rPr>
          <w:sz w:val="24"/>
          <w:szCs w:val="24"/>
          <w:rtl w:val="0"/>
          <w:lang w:val="zh-TW" w:eastAsia="zh-TW"/>
        </w:rPr>
        <w:t>legality</w:t>
      </w:r>
      <w:r>
        <w:rPr>
          <w:rFonts w:eastAsia="Arial Unicode MS" w:hint="eastAsia"/>
          <w:sz w:val="24"/>
          <w:szCs w:val="24"/>
          <w:rtl w:val="0"/>
          <w:lang w:val="zh-TW" w:eastAsia="zh-TW"/>
        </w:rPr>
        <w:t>）原则为指导。正如主席所介绍的，目前的零案文是以受害者为导向（</w:t>
      </w:r>
      <w:r>
        <w:rPr>
          <w:sz w:val="24"/>
          <w:szCs w:val="24"/>
          <w:rtl w:val="0"/>
          <w:lang w:val="en-US"/>
        </w:rPr>
        <w:t>victims-oriented</w:t>
      </w:r>
      <w:r>
        <w:rPr>
          <w:rFonts w:eastAsia="Arial Unicode MS" w:hint="eastAsia"/>
          <w:sz w:val="24"/>
          <w:szCs w:val="24"/>
          <w:rtl w:val="0"/>
          <w:lang w:val="zh-TW" w:eastAsia="zh-TW"/>
        </w:rPr>
        <w:t>），旨在建立为因跨国公司违反人权行为的受害者提供有效救济的法律机制</w:t>
      </w:r>
      <w:r>
        <w:rPr>
          <w:sz w:val="24"/>
          <w:szCs w:val="24"/>
          <w:rtl w:val="0"/>
          <w:lang w:val="en-US"/>
        </w:rPr>
        <w:t>,</w:t>
      </w:r>
      <w:r>
        <w:rPr>
          <w:rFonts w:eastAsia="Arial Unicode MS" w:hint="eastAsia"/>
          <w:sz w:val="24"/>
          <w:szCs w:val="24"/>
          <w:rtl w:val="0"/>
          <w:lang w:val="zh-TW" w:eastAsia="zh-TW"/>
        </w:rPr>
        <w:t>这无疑将为人权受害者提供更为强劲的救济机制。同时，根据一般法律原则，这样的追责（</w:t>
      </w:r>
      <w:r>
        <w:rPr>
          <w:sz w:val="24"/>
          <w:szCs w:val="24"/>
          <w:rtl w:val="0"/>
          <w:lang w:val="en-US"/>
        </w:rPr>
        <w:t>acountability</w:t>
      </w:r>
      <w:r>
        <w:rPr>
          <w:rFonts w:eastAsia="Arial Unicode MS" w:hint="eastAsia"/>
          <w:sz w:val="24"/>
          <w:szCs w:val="24"/>
          <w:rtl w:val="0"/>
          <w:lang w:val="zh-TW" w:eastAsia="zh-TW"/>
        </w:rPr>
        <w:t>）机制，应以合法性（</w:t>
      </w:r>
      <w:r>
        <w:rPr>
          <w:sz w:val="24"/>
          <w:szCs w:val="24"/>
          <w:rtl w:val="0"/>
          <w:lang w:val="zh-TW" w:eastAsia="zh-TW"/>
        </w:rPr>
        <w:t>legality</w:t>
      </w:r>
      <w:r>
        <w:rPr>
          <w:rFonts w:eastAsia="Arial Unicode MS" w:hint="eastAsia"/>
          <w:sz w:val="24"/>
          <w:szCs w:val="24"/>
          <w:rtl w:val="0"/>
          <w:lang w:val="zh-TW" w:eastAsia="zh-TW"/>
        </w:rPr>
        <w:t>）原则为指导，确保相关规则的清晰明确性（</w:t>
      </w:r>
      <w:r>
        <w:rPr>
          <w:sz w:val="24"/>
          <w:szCs w:val="24"/>
          <w:rtl w:val="0"/>
          <w:lang w:val="en-US"/>
        </w:rPr>
        <w:t>clarity and certainty</w:t>
      </w:r>
      <w:r>
        <w:rPr>
          <w:rFonts w:eastAsia="Arial Unicode MS" w:hint="eastAsia"/>
          <w:sz w:val="24"/>
          <w:szCs w:val="24"/>
          <w:rtl w:val="0"/>
          <w:lang w:val="zh-TW" w:eastAsia="zh-TW"/>
        </w:rPr>
        <w:t>）、可预见性（</w:t>
      </w:r>
      <w:r>
        <w:rPr>
          <w:sz w:val="24"/>
          <w:szCs w:val="24"/>
          <w:rtl w:val="0"/>
          <w:lang w:val="zh-TW" w:eastAsia="zh-TW"/>
        </w:rPr>
        <w:t>predictabiliyt</w:t>
      </w:r>
      <w:r>
        <w:rPr>
          <w:rFonts w:eastAsia="Arial Unicode MS" w:hint="eastAsia"/>
          <w:sz w:val="24"/>
          <w:szCs w:val="24"/>
          <w:rtl w:val="0"/>
          <w:lang w:val="zh-TW" w:eastAsia="zh-TW"/>
        </w:rPr>
        <w:t>）和体现正义，包括在有关义务范围和法律责任的界定方面，应以得到普遍认可的国际条约和习惯国际法为标准，符合合理性和比例（</w:t>
      </w:r>
      <w:r>
        <w:rPr>
          <w:sz w:val="24"/>
          <w:szCs w:val="24"/>
          <w:rtl w:val="0"/>
          <w:lang w:val="en-US"/>
        </w:rPr>
        <w:t>reasonableness and proportionality</w:t>
      </w:r>
      <w:r>
        <w:rPr>
          <w:rFonts w:eastAsia="Arial Unicode MS" w:hint="eastAsia"/>
          <w:sz w:val="24"/>
          <w:szCs w:val="24"/>
          <w:rtl w:val="0"/>
          <w:lang w:val="zh-TW" w:eastAsia="zh-TW"/>
        </w:rPr>
        <w:t>）原则。这样也有利于实现第一点所谈到同时促进人权和发展的目标。</w:t>
      </w:r>
    </w:p>
    <w:p>
      <w:pPr>
        <w:pStyle w:val="Body A"/>
      </w:pPr>
      <w:r>
        <w:rPr>
          <w:sz w:val="24"/>
          <w:szCs w:val="24"/>
          <w:rtl w:val="0"/>
          <w:lang w:val="zh-TW" w:eastAsia="zh-TW"/>
        </w:rPr>
        <w:t xml:space="preserve">       </w:t>
      </w:r>
      <w:r>
        <w:rPr>
          <w:rFonts w:eastAsia="Arial Unicode MS" w:hint="eastAsia"/>
          <w:sz w:val="24"/>
          <w:szCs w:val="24"/>
          <w:rtl w:val="0"/>
          <w:lang w:val="zh-TW" w:eastAsia="zh-TW"/>
        </w:rPr>
        <w:t>三、最大程度寻求协商一致。工作组三年多来的磋商进程充分体现了透明和包容性（</w:t>
      </w:r>
      <w:r>
        <w:rPr>
          <w:sz w:val="24"/>
          <w:szCs w:val="24"/>
          <w:rtl w:val="0"/>
          <w:lang w:val="zh-TW" w:eastAsia="zh-TW"/>
        </w:rPr>
        <w:t>inclusive</w:t>
      </w:r>
      <w:r>
        <w:rPr>
          <w:sz w:val="24"/>
          <w:szCs w:val="24"/>
          <w:rtl w:val="0"/>
          <w:lang w:val="en-US"/>
        </w:rPr>
        <w:t>ness</w:t>
      </w:r>
      <w:r>
        <w:rPr>
          <w:rFonts w:eastAsia="Arial Unicode MS" w:hint="eastAsia"/>
          <w:sz w:val="24"/>
          <w:szCs w:val="24"/>
          <w:rtl w:val="0"/>
          <w:lang w:val="zh-TW" w:eastAsia="zh-TW"/>
        </w:rPr>
        <w:t>），在成员国之外，许多其他利益相关方（</w:t>
      </w:r>
      <w:r>
        <w:rPr>
          <w:sz w:val="24"/>
          <w:szCs w:val="24"/>
          <w:rtl w:val="0"/>
          <w:lang w:val="en-US"/>
        </w:rPr>
        <w:t>stakeholders</w:t>
      </w:r>
      <w:r>
        <w:rPr>
          <w:rFonts w:eastAsia="Arial Unicode MS" w:hint="eastAsia"/>
          <w:sz w:val="24"/>
          <w:szCs w:val="24"/>
          <w:rtl w:val="0"/>
          <w:lang w:val="zh-TW" w:eastAsia="zh-TW"/>
        </w:rPr>
        <w:t>）包括民间社会代表发表了有价值的专业性意见和建议。我们非常欢迎并且高度重视这些意见和建议。同时，</w:t>
      </w:r>
      <w:r>
        <w:rPr>
          <w:sz w:val="24"/>
          <w:szCs w:val="24"/>
          <w:rtl w:val="0"/>
          <w:lang w:val="zh-TW" w:eastAsia="zh-TW"/>
        </w:rPr>
        <w:t>29/6</w:t>
      </w:r>
      <w:r>
        <w:rPr>
          <w:rFonts w:eastAsia="Arial Unicode MS" w:hint="eastAsia"/>
          <w:sz w:val="24"/>
          <w:szCs w:val="24"/>
          <w:rtl w:val="0"/>
          <w:lang w:val="zh-TW" w:eastAsia="zh-TW"/>
        </w:rPr>
        <w:t>号决议明确本工作组是</w:t>
      </w:r>
      <w:r>
        <w:rPr>
          <w:sz w:val="24"/>
          <w:szCs w:val="24"/>
          <w:rtl w:val="0"/>
          <w:lang w:val="zh-TW" w:eastAsia="zh-TW"/>
        </w:rPr>
        <w:t>“</w:t>
      </w:r>
      <w:r>
        <w:rPr>
          <w:rFonts w:eastAsia="Arial Unicode MS" w:hint="eastAsia"/>
          <w:sz w:val="24"/>
          <w:szCs w:val="24"/>
          <w:rtl w:val="0"/>
          <w:lang w:val="zh-TW" w:eastAsia="zh-TW"/>
        </w:rPr>
        <w:t>政府间</w:t>
      </w:r>
      <w:r>
        <w:rPr>
          <w:sz w:val="24"/>
          <w:szCs w:val="24"/>
          <w:rtl w:val="0"/>
          <w:lang w:val="zh-TW" w:eastAsia="zh-TW"/>
        </w:rPr>
        <w:t>”</w:t>
      </w:r>
      <w:r>
        <w:rPr>
          <w:rFonts w:eastAsia="Arial Unicode MS" w:hint="eastAsia"/>
          <w:sz w:val="24"/>
          <w:szCs w:val="24"/>
          <w:rtl w:val="0"/>
          <w:lang w:val="zh-TW" w:eastAsia="zh-TW"/>
        </w:rPr>
        <w:t>（</w:t>
      </w:r>
      <w:r>
        <w:rPr>
          <w:sz w:val="24"/>
          <w:szCs w:val="24"/>
          <w:rtl w:val="0"/>
          <w:lang w:val="en-US"/>
        </w:rPr>
        <w:t>inter-govenmental</w:t>
      </w:r>
      <w:r>
        <w:rPr>
          <w:rFonts w:eastAsia="Arial Unicode MS" w:hint="eastAsia"/>
          <w:sz w:val="24"/>
          <w:szCs w:val="24"/>
          <w:rtl w:val="0"/>
          <w:lang w:val="zh-TW" w:eastAsia="zh-TW"/>
        </w:rPr>
        <w:t>）性质，成员国之间的协商一致是未来法律文书获得各国广泛支持和具有真正效力的关键。</w:t>
      </w:r>
      <w:r>
        <w:rPr>
          <w:sz w:val="24"/>
          <w:szCs w:val="24"/>
          <w:rtl w:val="0"/>
        </w:rPr>
        <w:t xml:space="preserve"> </w:t>
      </w:r>
      <w:r>
        <w:rPr>
          <w:rFonts w:eastAsia="Arial Unicode MS" w:hint="eastAsia"/>
          <w:sz w:val="24"/>
          <w:szCs w:val="24"/>
          <w:rtl w:val="0"/>
          <w:lang w:val="zh-TW" w:eastAsia="zh-TW"/>
        </w:rPr>
        <w:t>我们赞赏地注意到历任主席致力于寻求成员国的协商一致并为此付出了许多努力。我们鼓励主席继续这样的努力，也鼓励各国本着合作和建设性的态度共同为形成协商一致做出努力。中国代表团愿为此和各方合作，共同推动工作组取得成功。</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398961-0BD0-45A3-B081-CE51DE7FCDAE}"/>
</file>

<file path=customXml/itemProps2.xml><?xml version="1.0" encoding="utf-8"?>
<ds:datastoreItem xmlns:ds="http://schemas.openxmlformats.org/officeDocument/2006/customXml" ds:itemID="{B4A197C2-3E88-4C65-88C4-86A4B2CEFE25}"/>
</file>

<file path=customXml/itemProps3.xml><?xml version="1.0" encoding="utf-8"?>
<ds:datastoreItem xmlns:ds="http://schemas.openxmlformats.org/officeDocument/2006/customXml" ds:itemID="{5D938FAD-F8A0-45BB-BA33-32280F33A1B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