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B003" w14:textId="0CDA4A89" w:rsidR="004D410B" w:rsidRDefault="00045FC9" w:rsidP="001C13BC">
      <w:pPr>
        <w:ind w:right="6230"/>
        <w:jc w:val="both"/>
      </w:pPr>
      <w:r>
        <w:t>Intervention during the Opening Session</w:t>
      </w:r>
    </w:p>
    <w:p w14:paraId="61839775" w14:textId="047662D8" w:rsidR="001C13BC" w:rsidRPr="001C13BC" w:rsidRDefault="001C13BC" w:rsidP="001C13BC">
      <w:pPr>
        <w:ind w:right="6230"/>
        <w:jc w:val="both"/>
      </w:pPr>
      <w:r>
        <w:t>4</w:t>
      </w:r>
      <w:r w:rsidRPr="001C13BC">
        <w:rPr>
          <w:vertAlign w:val="superscript"/>
        </w:rPr>
        <w:t>th</w:t>
      </w:r>
      <w:r>
        <w:t xml:space="preserve"> Session, Open Ended Intergovernmental Working Group </w:t>
      </w:r>
      <w:r w:rsidRPr="001C13BC">
        <w:t>on transnational corporations and other business enterprises with respect to human rights</w:t>
      </w:r>
      <w:r>
        <w:t xml:space="preserve"> (Working Group)</w:t>
      </w:r>
    </w:p>
    <w:p w14:paraId="0C76BF17" w14:textId="77777777" w:rsidR="001C13BC" w:rsidRDefault="001C13BC" w:rsidP="001560A7">
      <w:pPr>
        <w:jc w:val="both"/>
      </w:pPr>
    </w:p>
    <w:p w14:paraId="625D2E69" w14:textId="77777777" w:rsidR="004D410B" w:rsidRDefault="004D410B" w:rsidP="001560A7">
      <w:pPr>
        <w:jc w:val="both"/>
      </w:pPr>
    </w:p>
    <w:p w14:paraId="03B3A3DB" w14:textId="38EAB7E6" w:rsidR="00020603" w:rsidRDefault="00D77EA2" w:rsidP="001560A7">
      <w:pPr>
        <w:jc w:val="both"/>
      </w:pPr>
      <w:r>
        <w:t>W</w:t>
      </w:r>
      <w:r w:rsidR="00690785">
        <w:t>arm greetings to the e</w:t>
      </w:r>
      <w:r w:rsidR="001560A7">
        <w:t xml:space="preserve">steemed </w:t>
      </w:r>
      <w:r w:rsidR="00690785">
        <w:t>members of the Working Group.</w:t>
      </w:r>
      <w:r w:rsidR="001560A7">
        <w:t xml:space="preserve"> I am Mary Ann Manja Bayang</w:t>
      </w:r>
      <w:r w:rsidR="00690785">
        <w:t>, an indigenous person from the Philippines.</w:t>
      </w:r>
      <w:r w:rsidR="001560A7">
        <w:t xml:space="preserve"> </w:t>
      </w:r>
    </w:p>
    <w:p w14:paraId="1FAB4026" w14:textId="77777777" w:rsidR="00226994" w:rsidRDefault="00226994" w:rsidP="001560A7">
      <w:pPr>
        <w:jc w:val="both"/>
      </w:pPr>
    </w:p>
    <w:p w14:paraId="46951F9F" w14:textId="18D2078A" w:rsidR="00045FC9" w:rsidRDefault="00045FC9" w:rsidP="00045FC9">
      <w:pPr>
        <w:jc w:val="both"/>
      </w:pPr>
      <w:r>
        <w:t>We commend</w:t>
      </w:r>
      <w:r w:rsidR="00226994">
        <w:t xml:space="preserve"> the </w:t>
      </w:r>
      <w:r w:rsidR="00D77EA2">
        <w:t xml:space="preserve">continuing </w:t>
      </w:r>
      <w:r w:rsidR="00226994">
        <w:t xml:space="preserve">work </w:t>
      </w:r>
      <w:r>
        <w:t>and determination of the members of the Working Group</w:t>
      </w:r>
      <w:r w:rsidR="008A2720">
        <w:t xml:space="preserve"> </w:t>
      </w:r>
      <w:r>
        <w:t xml:space="preserve">under the leadership of Ecuador, to be true to its mandate under Resolution 26/9 </w:t>
      </w:r>
      <w:r w:rsidRPr="00045FC9">
        <w:t>“to elaborate an international</w:t>
      </w:r>
      <w:r>
        <w:t xml:space="preserve"> </w:t>
      </w:r>
      <w:r w:rsidRPr="00045FC9">
        <w:t>legally binding instrument to regulate, in international human rights law, the activities of</w:t>
      </w:r>
      <w:r>
        <w:t xml:space="preserve"> </w:t>
      </w:r>
      <w:r w:rsidRPr="00045FC9">
        <w:t>transnational corporations and other business enterprises.”</w:t>
      </w:r>
    </w:p>
    <w:p w14:paraId="2FB06F22" w14:textId="77777777" w:rsidR="00045FC9" w:rsidRDefault="00045FC9" w:rsidP="00045FC9">
      <w:pPr>
        <w:jc w:val="both"/>
      </w:pPr>
    </w:p>
    <w:p w14:paraId="07A3257D" w14:textId="360BD42A" w:rsidR="001C13BC" w:rsidRDefault="00D77EA2" w:rsidP="00045FC9">
      <w:pPr>
        <w:jc w:val="both"/>
      </w:pPr>
      <w:r>
        <w:t>S</w:t>
      </w:r>
      <w:r w:rsidR="001C13BC">
        <w:t xml:space="preserve">ome States </w:t>
      </w:r>
      <w:r>
        <w:t xml:space="preserve">strongly claim the </w:t>
      </w:r>
      <w:r w:rsidR="001C13BC">
        <w:t xml:space="preserve">Working Group </w:t>
      </w:r>
      <w:r>
        <w:t xml:space="preserve">mandate </w:t>
      </w:r>
      <w:r w:rsidR="001C13BC">
        <w:t>ended at the termination of the 3</w:t>
      </w:r>
      <w:r w:rsidR="001C13BC" w:rsidRPr="001C13BC">
        <w:rPr>
          <w:vertAlign w:val="superscript"/>
        </w:rPr>
        <w:t>rd</w:t>
      </w:r>
      <w:r w:rsidR="001C13BC">
        <w:t xml:space="preserve"> Session in 2017 and therefore, </w:t>
      </w:r>
      <w:r>
        <w:t>lacks a legal basis for continuing its work.</w:t>
      </w:r>
      <w:r w:rsidR="001C13BC">
        <w:t xml:space="preserve"> </w:t>
      </w:r>
    </w:p>
    <w:p w14:paraId="2C84D712" w14:textId="77777777" w:rsidR="001C13BC" w:rsidRDefault="001C13BC" w:rsidP="00045FC9">
      <w:pPr>
        <w:jc w:val="both"/>
      </w:pPr>
    </w:p>
    <w:p w14:paraId="7F3B8B5A" w14:textId="77777777" w:rsidR="001C13BC" w:rsidRDefault="001C13BC" w:rsidP="00045FC9">
      <w:pPr>
        <w:jc w:val="both"/>
      </w:pPr>
      <w:r>
        <w:t xml:space="preserve">We beg to disagree. </w:t>
      </w:r>
    </w:p>
    <w:p w14:paraId="71BDE1EC" w14:textId="77777777" w:rsidR="001C13BC" w:rsidRDefault="001C13BC" w:rsidP="00045FC9">
      <w:pPr>
        <w:jc w:val="both"/>
      </w:pPr>
    </w:p>
    <w:p w14:paraId="1272A897" w14:textId="25496183" w:rsidR="00045FC9" w:rsidRDefault="001C13BC" w:rsidP="00045FC9">
      <w:pPr>
        <w:jc w:val="both"/>
      </w:pPr>
      <w:r>
        <w:t>R</w:t>
      </w:r>
      <w:r w:rsidR="00045FC9" w:rsidRPr="00045FC9">
        <w:t xml:space="preserve">esolution 26/9 provides </w:t>
      </w:r>
      <w:r w:rsidR="00C829B1">
        <w:t xml:space="preserve">specific objectives for the first 3 sessions of the Working Group. </w:t>
      </w:r>
      <w:r w:rsidR="00D77EA2">
        <w:t>While s</w:t>
      </w:r>
      <w:r>
        <w:t>essions beyond the 3</w:t>
      </w:r>
      <w:r w:rsidRPr="001C13BC">
        <w:rPr>
          <w:vertAlign w:val="superscript"/>
        </w:rPr>
        <w:t>rd</w:t>
      </w:r>
      <w:r>
        <w:t xml:space="preserve"> one were not explicitly mentioned in </w:t>
      </w:r>
      <w:r w:rsidR="00D77EA2">
        <w:t xml:space="preserve">the </w:t>
      </w:r>
      <w:r>
        <w:t>Resolution, the mandate of the Working Group did not end.</w:t>
      </w:r>
    </w:p>
    <w:p w14:paraId="151B9D55" w14:textId="77777777" w:rsidR="001C13BC" w:rsidRPr="00045FC9" w:rsidRDefault="001C13BC" w:rsidP="00045FC9">
      <w:pPr>
        <w:jc w:val="both"/>
      </w:pPr>
    </w:p>
    <w:p w14:paraId="66850718" w14:textId="1585CC56" w:rsidR="001C13BC" w:rsidRDefault="00C829B1" w:rsidP="00045FC9">
      <w:pPr>
        <w:jc w:val="both"/>
      </w:pPr>
      <w:r>
        <w:t>According to the R</w:t>
      </w:r>
      <w:r w:rsidR="00D77EA2">
        <w:t>esolution, the Working Group</w:t>
      </w:r>
      <w:r w:rsidR="00045FC9" w:rsidRPr="00045FC9">
        <w:t xml:space="preserve"> “mandate shall be to elaborate</w:t>
      </w:r>
      <w:r w:rsidR="001C13BC">
        <w:t xml:space="preserve"> </w:t>
      </w:r>
      <w:r w:rsidR="00045FC9" w:rsidRPr="00045FC9">
        <w:t>an international legally binding instrument”</w:t>
      </w:r>
      <w:r w:rsidR="001C13BC">
        <w:t xml:space="preserve">. </w:t>
      </w:r>
      <w:r w:rsidR="00D77EA2">
        <w:t>T</w:t>
      </w:r>
      <w:r w:rsidR="005C09EB">
        <w:t>his mandate is yet to be realized</w:t>
      </w:r>
      <w:r w:rsidR="00D77EA2">
        <w:t>, and therefore persists as long as</w:t>
      </w:r>
      <w:r w:rsidR="005C09EB">
        <w:t xml:space="preserve"> there is no agreed text </w:t>
      </w:r>
      <w:r w:rsidR="00D77EA2">
        <w:t xml:space="preserve">for the treaty </w:t>
      </w:r>
      <w:r w:rsidR="005C09EB">
        <w:t xml:space="preserve">regardless of the number of Sessions </w:t>
      </w:r>
      <w:r w:rsidR="00D77EA2">
        <w:t xml:space="preserve">needed for that goal. </w:t>
      </w:r>
    </w:p>
    <w:p w14:paraId="55DC25ED" w14:textId="77777777" w:rsidR="00690785" w:rsidRDefault="00690785" w:rsidP="00045FC9">
      <w:pPr>
        <w:jc w:val="both"/>
      </w:pPr>
    </w:p>
    <w:p w14:paraId="79A7E76F" w14:textId="4A50CDF6" w:rsidR="00690785" w:rsidRDefault="00C829B1" w:rsidP="00045FC9">
      <w:pPr>
        <w:jc w:val="both"/>
      </w:pPr>
      <w:r>
        <w:t>At the opening of this 4</w:t>
      </w:r>
      <w:r w:rsidRPr="00C829B1">
        <w:rPr>
          <w:vertAlign w:val="superscript"/>
        </w:rPr>
        <w:t>th</w:t>
      </w:r>
      <w:r>
        <w:t xml:space="preserve"> Session, we reiterate </w:t>
      </w:r>
      <w:r w:rsidR="00D77EA2">
        <w:t>the words of</w:t>
      </w:r>
      <w:r w:rsidR="00690785">
        <w:t xml:space="preserve"> UN Special Rapporteur on the Rights of Indigenous Peoples in her keynote message during the 1</w:t>
      </w:r>
      <w:r w:rsidR="00690785" w:rsidRPr="00690785">
        <w:rPr>
          <w:vertAlign w:val="superscript"/>
        </w:rPr>
        <w:t>st</w:t>
      </w:r>
      <w:r w:rsidR="00690785">
        <w:t xml:space="preserve"> Session of this Working Group:</w:t>
      </w:r>
    </w:p>
    <w:p w14:paraId="45D61884" w14:textId="77777777" w:rsidR="005C09EB" w:rsidRDefault="005C09EB" w:rsidP="00045FC9">
      <w:pPr>
        <w:jc w:val="both"/>
      </w:pPr>
    </w:p>
    <w:p w14:paraId="5F32D93A" w14:textId="716291B0" w:rsidR="005C09EB" w:rsidRDefault="005C09EB" w:rsidP="00690785">
      <w:pPr>
        <w:ind w:left="1440"/>
        <w:jc w:val="both"/>
      </w:pPr>
      <w:r>
        <w:t>“</w:t>
      </w:r>
      <w:r w:rsidRPr="005C09EB">
        <w:t>The mandate established by Resolution 26/9 is highly relevant and necessary. Corporations are key actors in shaping and influencing economic, as well as political, social and cultural issues, activities and frameworks all over the world, including production and consumption patterns and livelihoods of communities. While the global economic trends are increasingly characterized by the dominance of corporations, their role extends beyond the capacities of any one national system to effectively regulate their operations.</w:t>
      </w:r>
    </w:p>
    <w:p w14:paraId="3A815F53" w14:textId="77777777" w:rsidR="005C09EB" w:rsidRDefault="005C09EB" w:rsidP="00690785">
      <w:pPr>
        <w:ind w:left="1440"/>
        <w:jc w:val="both"/>
      </w:pPr>
    </w:p>
    <w:p w14:paraId="6EA69CEF" w14:textId="22BDA2D2" w:rsidR="005C09EB" w:rsidRDefault="005C09EB" w:rsidP="00690785">
      <w:pPr>
        <w:ind w:left="1440"/>
        <w:jc w:val="both"/>
      </w:pPr>
      <w:r w:rsidRPr="005C09EB">
        <w:t>We face a context where corporations still lack international legal responsibility commensurate with their role and influence in international and domestic affairs. At the same time, there are gaps in the international legal framework in regard to the duty to protect human rights and access to remedy.</w:t>
      </w:r>
      <w:r w:rsidR="00690785">
        <w:t xml:space="preserve"> xxx</w:t>
      </w:r>
    </w:p>
    <w:p w14:paraId="6D7C10A9" w14:textId="77777777" w:rsidR="00690785" w:rsidRPr="005C09EB" w:rsidRDefault="00690785" w:rsidP="00690785">
      <w:pPr>
        <w:ind w:left="1440"/>
        <w:jc w:val="both"/>
      </w:pPr>
    </w:p>
    <w:p w14:paraId="08DF7709" w14:textId="5FB3F333" w:rsidR="005C09EB" w:rsidRDefault="005C09EB" w:rsidP="00690785">
      <w:pPr>
        <w:ind w:left="1440"/>
        <w:jc w:val="both"/>
      </w:pPr>
      <w:r w:rsidRPr="005C09EB">
        <w:lastRenderedPageBreak/>
        <w:t xml:space="preserve">An international legally binding Instrument would significantly help in establishing the much needed balance in the international system of rights and obligations with regard to corporations and host governments. </w:t>
      </w:r>
      <w:proofErr w:type="gramStart"/>
      <w:r w:rsidR="00690785">
        <w:t>xxx</w:t>
      </w:r>
      <w:proofErr w:type="gramEnd"/>
    </w:p>
    <w:p w14:paraId="2E0898CD" w14:textId="77777777" w:rsidR="00045FC9" w:rsidRDefault="00045FC9" w:rsidP="001560A7">
      <w:pPr>
        <w:jc w:val="both"/>
      </w:pPr>
      <w:bookmarkStart w:id="0" w:name="_GoBack"/>
      <w:bookmarkEnd w:id="0"/>
    </w:p>
    <w:p w14:paraId="62584430" w14:textId="56577A7D" w:rsidR="001560A7" w:rsidRDefault="000F53FF" w:rsidP="001560A7">
      <w:pPr>
        <w:jc w:val="both"/>
      </w:pPr>
      <w:r>
        <w:t>Thank you.</w:t>
      </w:r>
    </w:p>
    <w:sectPr w:rsidR="001560A7" w:rsidSect="001560A7">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908B" w14:textId="77777777" w:rsidR="001E28CC" w:rsidRDefault="001E28CC" w:rsidP="001560A7">
      <w:r>
        <w:separator/>
      </w:r>
    </w:p>
  </w:endnote>
  <w:endnote w:type="continuationSeparator" w:id="0">
    <w:p w14:paraId="01BE3A24" w14:textId="77777777" w:rsidR="001E28CC" w:rsidRDefault="001E28CC" w:rsidP="0015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AF22" w14:textId="77777777" w:rsidR="001E28CC" w:rsidRDefault="001E28CC" w:rsidP="001560A7">
      <w:r>
        <w:separator/>
      </w:r>
    </w:p>
  </w:footnote>
  <w:footnote w:type="continuationSeparator" w:id="0">
    <w:p w14:paraId="5C4B572E" w14:textId="77777777" w:rsidR="001E28CC" w:rsidRDefault="001E28CC" w:rsidP="00156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B7B7" w14:textId="77777777" w:rsidR="005C09EB" w:rsidRPr="001560A7" w:rsidRDefault="005C09EB" w:rsidP="001560A7">
    <w:pPr>
      <w:widowControl w:val="0"/>
      <w:suppressAutoHyphens/>
      <w:ind w:left="709" w:firstLine="11"/>
      <w:rPr>
        <w:rFonts w:ascii="Helvetica" w:eastAsia="Times New Roman" w:hAnsi="Helvetica" w:cs="Times New Roman"/>
        <w:b/>
        <w:bCs/>
        <w:sz w:val="32"/>
        <w:szCs w:val="32"/>
        <w:lang w:eastAsia="ar-SA"/>
      </w:rPr>
    </w:pPr>
    <w:r>
      <w:rPr>
        <w:rFonts w:ascii="Times New Roman" w:eastAsia="Lucida Sans Unicode" w:hAnsi="Times New Roman" w:cs="Times New Roman"/>
        <w:noProof/>
      </w:rPr>
      <w:drawing>
        <wp:anchor distT="0" distB="0" distL="0" distR="0" simplePos="0" relativeHeight="251659264" behindDoc="1" locked="0" layoutInCell="1" allowOverlap="1" wp14:anchorId="72792388" wp14:editId="2C5510F8">
          <wp:simplePos x="0" y="0"/>
          <wp:positionH relativeFrom="column">
            <wp:posOffset>993140</wp:posOffset>
          </wp:positionH>
          <wp:positionV relativeFrom="paragraph">
            <wp:posOffset>2540</wp:posOffset>
          </wp:positionV>
          <wp:extent cx="715645" cy="767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6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60A7">
      <w:rPr>
        <w:rFonts w:ascii="Helvetica" w:eastAsia="Times New Roman" w:hAnsi="Helvetica" w:cs="Times New Roman"/>
        <w:sz w:val="32"/>
        <w:szCs w:val="32"/>
        <w:lang w:eastAsia="ar-SA"/>
      </w:rPr>
      <w:tab/>
    </w:r>
    <w:r w:rsidRPr="001560A7">
      <w:rPr>
        <w:rFonts w:ascii="Helvetica" w:eastAsia="Times New Roman" w:hAnsi="Helvetica" w:cs="Times New Roman"/>
        <w:sz w:val="32"/>
        <w:szCs w:val="32"/>
        <w:lang w:eastAsia="ar-SA"/>
      </w:rPr>
      <w:tab/>
    </w:r>
    <w:r w:rsidRPr="001560A7">
      <w:rPr>
        <w:rFonts w:ascii="Helvetica" w:eastAsia="Times New Roman" w:hAnsi="Helvetica" w:cs="Times New Roman"/>
        <w:sz w:val="32"/>
        <w:szCs w:val="32"/>
        <w:lang w:eastAsia="ar-SA"/>
      </w:rPr>
      <w:tab/>
    </w:r>
    <w:proofErr w:type="spellStart"/>
    <w:r w:rsidRPr="001560A7">
      <w:rPr>
        <w:rFonts w:ascii="Helvetica" w:eastAsia="Times New Roman" w:hAnsi="Helvetica" w:cs="Times New Roman"/>
        <w:b/>
        <w:bCs/>
        <w:sz w:val="32"/>
        <w:szCs w:val="32"/>
        <w:lang w:eastAsia="ar-SA"/>
      </w:rPr>
      <w:t>Tebtebba</w:t>
    </w:r>
    <w:proofErr w:type="spellEnd"/>
    <w:r w:rsidRPr="001560A7">
      <w:rPr>
        <w:rFonts w:ascii="Helvetica" w:eastAsia="Times New Roman" w:hAnsi="Helvetica" w:cs="Times New Roman"/>
        <w:b/>
        <w:bCs/>
        <w:sz w:val="32"/>
        <w:szCs w:val="32"/>
        <w:lang w:eastAsia="ar-SA"/>
      </w:rPr>
      <w:t xml:space="preserve"> </w:t>
    </w:r>
  </w:p>
  <w:p w14:paraId="5C0EAE10" w14:textId="77777777" w:rsidR="005C09EB" w:rsidRPr="001560A7" w:rsidRDefault="005C09EB" w:rsidP="001560A7">
    <w:pPr>
      <w:widowControl w:val="0"/>
      <w:suppressAutoHyphens/>
      <w:ind w:left="2610" w:firstLine="11"/>
      <w:rPr>
        <w:rFonts w:ascii="Arial" w:eastAsia="Times New Roman" w:hAnsi="Arial" w:cs="Times New Roman"/>
        <w:sz w:val="20"/>
        <w:szCs w:val="20"/>
        <w:lang w:eastAsia="ar-SA"/>
      </w:rPr>
    </w:pPr>
    <w:r>
      <w:rPr>
        <w:rFonts w:ascii="Arial" w:eastAsia="Times New Roman" w:hAnsi="Arial" w:cs="Times New Roman"/>
        <w:sz w:val="20"/>
        <w:szCs w:val="20"/>
        <w:lang w:eastAsia="ar-SA"/>
      </w:rPr>
      <w:t xml:space="preserve">     </w:t>
    </w:r>
    <w:r w:rsidRPr="001560A7">
      <w:rPr>
        <w:rFonts w:ascii="Arial" w:eastAsia="Times New Roman" w:hAnsi="Arial" w:cs="Times New Roman"/>
        <w:sz w:val="20"/>
        <w:szCs w:val="20"/>
        <w:lang w:eastAsia="ar-SA"/>
      </w:rPr>
      <w:t>Indigenous Peoples’ International Centre for Policy Research and Education</w:t>
    </w:r>
  </w:p>
  <w:p w14:paraId="3A3879B3" w14:textId="77777777" w:rsidR="005C09EB" w:rsidRPr="001560A7" w:rsidRDefault="005C09EB" w:rsidP="001560A7">
    <w:pPr>
      <w:widowControl w:val="0"/>
      <w:suppressAutoHyphens/>
      <w:ind w:left="2880" w:firstLine="11"/>
      <w:rPr>
        <w:rFonts w:ascii="Arial" w:eastAsia="Times New Roman" w:hAnsi="Arial" w:cs="Times New Roman"/>
        <w:sz w:val="16"/>
        <w:szCs w:val="16"/>
        <w:lang w:eastAsia="ar-SA"/>
      </w:rPr>
    </w:pPr>
    <w:r w:rsidRPr="001560A7">
      <w:rPr>
        <w:rFonts w:ascii="Arial" w:eastAsia="Times New Roman" w:hAnsi="Arial" w:cs="Times New Roman"/>
        <w:sz w:val="16"/>
        <w:szCs w:val="16"/>
        <w:lang w:eastAsia="ar-SA"/>
      </w:rPr>
      <w:t xml:space="preserve">No. 1 Roman </w:t>
    </w:r>
    <w:proofErr w:type="spellStart"/>
    <w:r w:rsidRPr="001560A7">
      <w:rPr>
        <w:rFonts w:ascii="Arial" w:eastAsia="Times New Roman" w:hAnsi="Arial" w:cs="Times New Roman"/>
        <w:sz w:val="16"/>
        <w:szCs w:val="16"/>
        <w:lang w:eastAsia="ar-SA"/>
      </w:rPr>
      <w:t>Ayson</w:t>
    </w:r>
    <w:proofErr w:type="spellEnd"/>
    <w:r w:rsidRPr="001560A7">
      <w:rPr>
        <w:rFonts w:ascii="Arial" w:eastAsia="Times New Roman" w:hAnsi="Arial" w:cs="Times New Roman"/>
        <w:sz w:val="16"/>
        <w:szCs w:val="16"/>
        <w:lang w:eastAsia="ar-SA"/>
      </w:rPr>
      <w:t xml:space="preserve"> Rd., 2600, Baguio City, Philippines</w:t>
    </w:r>
  </w:p>
  <w:p w14:paraId="23A1925C" w14:textId="77777777" w:rsidR="005C09EB" w:rsidRPr="001560A7" w:rsidRDefault="005C09EB" w:rsidP="001560A7">
    <w:pPr>
      <w:widowControl w:val="0"/>
      <w:suppressAutoHyphens/>
      <w:ind w:left="2880" w:firstLine="11"/>
      <w:rPr>
        <w:rFonts w:ascii="Arial" w:eastAsia="Times New Roman" w:hAnsi="Arial" w:cs="Times New Roman"/>
        <w:sz w:val="16"/>
        <w:szCs w:val="16"/>
        <w:lang w:eastAsia="ar-SA"/>
      </w:rPr>
    </w:pPr>
    <w:proofErr w:type="spellStart"/>
    <w:r w:rsidRPr="001560A7">
      <w:rPr>
        <w:rFonts w:ascii="Arial" w:eastAsia="Times New Roman" w:hAnsi="Arial" w:cs="Times New Roman"/>
        <w:sz w:val="16"/>
        <w:szCs w:val="16"/>
        <w:lang w:eastAsia="ar-SA"/>
      </w:rPr>
      <w:t>Tel.No</w:t>
    </w:r>
    <w:proofErr w:type="spellEnd"/>
    <w:r w:rsidRPr="001560A7">
      <w:rPr>
        <w:rFonts w:ascii="Arial" w:eastAsia="Times New Roman" w:hAnsi="Arial" w:cs="Times New Roman"/>
        <w:sz w:val="16"/>
        <w:szCs w:val="16"/>
        <w:lang w:eastAsia="ar-SA"/>
      </w:rPr>
      <w:t xml:space="preserve">. +63 74 </w:t>
    </w:r>
    <w:proofErr w:type="gramStart"/>
    <w:r w:rsidRPr="001560A7">
      <w:rPr>
        <w:rFonts w:ascii="Arial" w:eastAsia="Times New Roman" w:hAnsi="Arial" w:cs="Times New Roman"/>
        <w:sz w:val="16"/>
        <w:szCs w:val="16"/>
        <w:lang w:eastAsia="ar-SA"/>
      </w:rPr>
      <w:t>4447703  Tel</w:t>
    </w:r>
    <w:proofErr w:type="gramEnd"/>
    <w:r w:rsidRPr="001560A7">
      <w:rPr>
        <w:rFonts w:ascii="Arial" w:eastAsia="Times New Roman" w:hAnsi="Arial" w:cs="Times New Roman"/>
        <w:sz w:val="16"/>
        <w:szCs w:val="16"/>
        <w:lang w:eastAsia="ar-SA"/>
      </w:rPr>
      <w:t>/Fax No. +63 74 4439459</w:t>
    </w:r>
  </w:p>
  <w:p w14:paraId="08788E18" w14:textId="77777777" w:rsidR="005C09EB" w:rsidRPr="001560A7" w:rsidRDefault="005C09EB" w:rsidP="001560A7">
    <w:pPr>
      <w:widowControl w:val="0"/>
      <w:suppressAutoHyphens/>
      <w:ind w:left="2880" w:firstLine="11"/>
      <w:rPr>
        <w:rFonts w:ascii="Arial" w:eastAsia="Times New Roman" w:hAnsi="Arial" w:cs="Times New Roman"/>
        <w:sz w:val="16"/>
        <w:szCs w:val="16"/>
        <w:lang w:eastAsia="ar-SA"/>
      </w:rPr>
    </w:pPr>
    <w:r w:rsidRPr="001560A7">
      <w:rPr>
        <w:rFonts w:ascii="Arial" w:eastAsia="Times New Roman" w:hAnsi="Arial" w:cs="Times New Roman"/>
        <w:sz w:val="16"/>
        <w:szCs w:val="16"/>
        <w:lang w:eastAsia="ar-SA"/>
      </w:rPr>
      <w:t xml:space="preserve">Email: </w:t>
    </w:r>
    <w:hyperlink r:id="rId2" w:history="1">
      <w:r w:rsidRPr="001560A7">
        <w:rPr>
          <w:rFonts w:ascii="Arial" w:eastAsia="Lucida Sans Unicode" w:hAnsi="Arial" w:cs="Times New Roman"/>
          <w:color w:val="0000FF"/>
          <w:u w:val="single"/>
        </w:rPr>
        <w:t>tebtebba@tebtebba.org</w:t>
      </w:r>
    </w:hyperlink>
    <w:r w:rsidRPr="001560A7">
      <w:rPr>
        <w:rFonts w:ascii="Arial" w:eastAsia="Times New Roman" w:hAnsi="Arial" w:cs="Times New Roman"/>
        <w:sz w:val="16"/>
        <w:szCs w:val="16"/>
        <w:lang w:eastAsia="ar-SA"/>
      </w:rPr>
      <w:t xml:space="preserve">  Website: </w:t>
    </w:r>
    <w:hyperlink r:id="rId3" w:history="1">
      <w:r w:rsidRPr="001560A7">
        <w:rPr>
          <w:rFonts w:ascii="Arial" w:eastAsia="Lucida Sans Unicode" w:hAnsi="Arial" w:cs="Times New Roman"/>
          <w:color w:val="0000FF"/>
          <w:u w:val="single"/>
        </w:rPr>
        <w:t>www.tebtebba.org</w:t>
      </w:r>
    </w:hyperlink>
    <w:r w:rsidRPr="001560A7">
      <w:rPr>
        <w:rFonts w:ascii="Arial" w:eastAsia="Times New Roman" w:hAnsi="Arial" w:cs="Times New Roman"/>
        <w:sz w:val="16"/>
        <w:szCs w:val="16"/>
        <w:lang w:eastAsia="ar-SA"/>
      </w:rPr>
      <w:t xml:space="preserve"> </w:t>
    </w:r>
  </w:p>
  <w:p w14:paraId="13EFEAD0" w14:textId="77777777" w:rsidR="005C09EB" w:rsidRPr="001560A7" w:rsidRDefault="005C09EB" w:rsidP="001560A7">
    <w:pPr>
      <w:widowControl w:val="0"/>
      <w:suppressAutoHyphens/>
      <w:ind w:left="1440"/>
      <w:rPr>
        <w:rFonts w:ascii="Arial" w:eastAsia="Times New Roman" w:hAnsi="Arial" w:cs="Times New Roman"/>
        <w:sz w:val="16"/>
        <w:szCs w:val="16"/>
        <w:lang w:eastAsia="ar-SA"/>
      </w:rPr>
    </w:pPr>
  </w:p>
  <w:p w14:paraId="760FFAF6" w14:textId="77777777" w:rsidR="005C09EB" w:rsidRPr="001560A7" w:rsidRDefault="005C09EB" w:rsidP="001560A7">
    <w:pPr>
      <w:keepNext/>
      <w:widowControl w:val="0"/>
      <w:tabs>
        <w:tab w:val="num" w:pos="0"/>
        <w:tab w:val="left" w:pos="1350"/>
      </w:tabs>
      <w:suppressAutoHyphens/>
      <w:outlineLvl w:val="0"/>
      <w:rPr>
        <w:rFonts w:ascii="Helvetica" w:eastAsia="Times New Roman" w:hAnsi="Helvetica" w:cs="Times New Roman"/>
        <w:b/>
        <w:bCs/>
        <w:i/>
        <w:sz w:val="20"/>
        <w:szCs w:val="20"/>
        <w:lang w:eastAsia="ar-SA"/>
      </w:rPr>
    </w:pPr>
    <w:r>
      <w:rPr>
        <w:rFonts w:ascii="Helvetica" w:eastAsia="Times New Roman" w:hAnsi="Helvetica" w:cs="Times New Roman"/>
        <w:b/>
        <w:bCs/>
        <w:i/>
        <w:sz w:val="20"/>
        <w:szCs w:val="20"/>
        <w:lang w:eastAsia="ar-SA"/>
      </w:rPr>
      <w:tab/>
    </w:r>
    <w:r w:rsidRPr="001560A7">
      <w:rPr>
        <w:rFonts w:ascii="Helvetica" w:eastAsia="Times New Roman" w:hAnsi="Helvetica" w:cs="Times New Roman"/>
        <w:b/>
        <w:bCs/>
        <w:i/>
        <w:sz w:val="20"/>
        <w:szCs w:val="20"/>
        <w:lang w:eastAsia="ar-SA"/>
      </w:rPr>
      <w:t>NGO in Special Consultative Status with the Economic and Social Council of the UN</w:t>
    </w:r>
  </w:p>
  <w:p w14:paraId="5E1BA18E" w14:textId="77777777" w:rsidR="005C09EB" w:rsidRDefault="005C0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7"/>
    <w:rsid w:val="000023D1"/>
    <w:rsid w:val="00020603"/>
    <w:rsid w:val="00045FC9"/>
    <w:rsid w:val="000F53FF"/>
    <w:rsid w:val="001560A7"/>
    <w:rsid w:val="001C13BC"/>
    <w:rsid w:val="001E28CC"/>
    <w:rsid w:val="001F1C9C"/>
    <w:rsid w:val="00226994"/>
    <w:rsid w:val="00270305"/>
    <w:rsid w:val="002E027D"/>
    <w:rsid w:val="00335093"/>
    <w:rsid w:val="00430EAA"/>
    <w:rsid w:val="004D410B"/>
    <w:rsid w:val="005C09EB"/>
    <w:rsid w:val="005C4E43"/>
    <w:rsid w:val="005C757F"/>
    <w:rsid w:val="00600A50"/>
    <w:rsid w:val="00690785"/>
    <w:rsid w:val="007C7570"/>
    <w:rsid w:val="0083204F"/>
    <w:rsid w:val="008A2720"/>
    <w:rsid w:val="009138EE"/>
    <w:rsid w:val="00923706"/>
    <w:rsid w:val="0092438A"/>
    <w:rsid w:val="009E18B7"/>
    <w:rsid w:val="009F3960"/>
    <w:rsid w:val="00A27590"/>
    <w:rsid w:val="00B452DB"/>
    <w:rsid w:val="00BA592C"/>
    <w:rsid w:val="00C37F4D"/>
    <w:rsid w:val="00C44063"/>
    <w:rsid w:val="00C829B1"/>
    <w:rsid w:val="00C85A70"/>
    <w:rsid w:val="00D62698"/>
    <w:rsid w:val="00D712EB"/>
    <w:rsid w:val="00D77EA2"/>
    <w:rsid w:val="00EE56FC"/>
    <w:rsid w:val="00F82380"/>
    <w:rsid w:val="00F864CF"/>
    <w:rsid w:val="00FC7EA3"/>
    <w:rsid w:val="00FE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8B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40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A7"/>
    <w:pPr>
      <w:tabs>
        <w:tab w:val="center" w:pos="4320"/>
        <w:tab w:val="right" w:pos="8640"/>
      </w:tabs>
    </w:pPr>
  </w:style>
  <w:style w:type="character" w:customStyle="1" w:styleId="HeaderChar">
    <w:name w:val="Header Char"/>
    <w:basedOn w:val="DefaultParagraphFont"/>
    <w:link w:val="Header"/>
    <w:uiPriority w:val="99"/>
    <w:rsid w:val="001560A7"/>
  </w:style>
  <w:style w:type="paragraph" w:styleId="Footer">
    <w:name w:val="footer"/>
    <w:basedOn w:val="Normal"/>
    <w:link w:val="FooterChar"/>
    <w:uiPriority w:val="99"/>
    <w:unhideWhenUsed/>
    <w:rsid w:val="001560A7"/>
    <w:pPr>
      <w:tabs>
        <w:tab w:val="center" w:pos="4320"/>
        <w:tab w:val="right" w:pos="8640"/>
      </w:tabs>
    </w:pPr>
  </w:style>
  <w:style w:type="character" w:customStyle="1" w:styleId="FooterChar">
    <w:name w:val="Footer Char"/>
    <w:basedOn w:val="DefaultParagraphFont"/>
    <w:link w:val="Footer"/>
    <w:uiPriority w:val="99"/>
    <w:rsid w:val="001560A7"/>
  </w:style>
  <w:style w:type="character" w:customStyle="1" w:styleId="Heading3Char">
    <w:name w:val="Heading 3 Char"/>
    <w:basedOn w:val="DefaultParagraphFont"/>
    <w:link w:val="Heading3"/>
    <w:uiPriority w:val="9"/>
    <w:semiHidden/>
    <w:rsid w:val="00C4406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40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A7"/>
    <w:pPr>
      <w:tabs>
        <w:tab w:val="center" w:pos="4320"/>
        <w:tab w:val="right" w:pos="8640"/>
      </w:tabs>
    </w:pPr>
  </w:style>
  <w:style w:type="character" w:customStyle="1" w:styleId="HeaderChar">
    <w:name w:val="Header Char"/>
    <w:basedOn w:val="DefaultParagraphFont"/>
    <w:link w:val="Header"/>
    <w:uiPriority w:val="99"/>
    <w:rsid w:val="001560A7"/>
  </w:style>
  <w:style w:type="paragraph" w:styleId="Footer">
    <w:name w:val="footer"/>
    <w:basedOn w:val="Normal"/>
    <w:link w:val="FooterChar"/>
    <w:uiPriority w:val="99"/>
    <w:unhideWhenUsed/>
    <w:rsid w:val="001560A7"/>
    <w:pPr>
      <w:tabs>
        <w:tab w:val="center" w:pos="4320"/>
        <w:tab w:val="right" w:pos="8640"/>
      </w:tabs>
    </w:pPr>
  </w:style>
  <w:style w:type="character" w:customStyle="1" w:styleId="FooterChar">
    <w:name w:val="Footer Char"/>
    <w:basedOn w:val="DefaultParagraphFont"/>
    <w:link w:val="Footer"/>
    <w:uiPriority w:val="99"/>
    <w:rsid w:val="001560A7"/>
  </w:style>
  <w:style w:type="character" w:customStyle="1" w:styleId="Heading3Char">
    <w:name w:val="Heading 3 Char"/>
    <w:basedOn w:val="DefaultParagraphFont"/>
    <w:link w:val="Heading3"/>
    <w:uiPriority w:val="9"/>
    <w:semiHidden/>
    <w:rsid w:val="00C440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894">
      <w:bodyDiv w:val="1"/>
      <w:marLeft w:val="0"/>
      <w:marRight w:val="0"/>
      <w:marTop w:val="0"/>
      <w:marBottom w:val="0"/>
      <w:divBdr>
        <w:top w:val="none" w:sz="0" w:space="0" w:color="auto"/>
        <w:left w:val="none" w:sz="0" w:space="0" w:color="auto"/>
        <w:bottom w:val="none" w:sz="0" w:space="0" w:color="auto"/>
        <w:right w:val="none" w:sz="0" w:space="0" w:color="auto"/>
      </w:divBdr>
    </w:div>
    <w:div w:id="146870706">
      <w:bodyDiv w:val="1"/>
      <w:marLeft w:val="0"/>
      <w:marRight w:val="0"/>
      <w:marTop w:val="0"/>
      <w:marBottom w:val="0"/>
      <w:divBdr>
        <w:top w:val="none" w:sz="0" w:space="0" w:color="auto"/>
        <w:left w:val="none" w:sz="0" w:space="0" w:color="auto"/>
        <w:bottom w:val="none" w:sz="0" w:space="0" w:color="auto"/>
        <w:right w:val="none" w:sz="0" w:space="0" w:color="auto"/>
      </w:divBdr>
    </w:div>
    <w:div w:id="322051409">
      <w:bodyDiv w:val="1"/>
      <w:marLeft w:val="0"/>
      <w:marRight w:val="0"/>
      <w:marTop w:val="0"/>
      <w:marBottom w:val="0"/>
      <w:divBdr>
        <w:top w:val="none" w:sz="0" w:space="0" w:color="auto"/>
        <w:left w:val="none" w:sz="0" w:space="0" w:color="auto"/>
        <w:bottom w:val="none" w:sz="0" w:space="0" w:color="auto"/>
        <w:right w:val="none" w:sz="0" w:space="0" w:color="auto"/>
      </w:divBdr>
    </w:div>
    <w:div w:id="664673231">
      <w:bodyDiv w:val="1"/>
      <w:marLeft w:val="0"/>
      <w:marRight w:val="0"/>
      <w:marTop w:val="0"/>
      <w:marBottom w:val="0"/>
      <w:divBdr>
        <w:top w:val="none" w:sz="0" w:space="0" w:color="auto"/>
        <w:left w:val="none" w:sz="0" w:space="0" w:color="auto"/>
        <w:bottom w:val="none" w:sz="0" w:space="0" w:color="auto"/>
        <w:right w:val="none" w:sz="0" w:space="0" w:color="auto"/>
      </w:divBdr>
    </w:div>
    <w:div w:id="721560080">
      <w:bodyDiv w:val="1"/>
      <w:marLeft w:val="0"/>
      <w:marRight w:val="0"/>
      <w:marTop w:val="0"/>
      <w:marBottom w:val="0"/>
      <w:divBdr>
        <w:top w:val="none" w:sz="0" w:space="0" w:color="auto"/>
        <w:left w:val="none" w:sz="0" w:space="0" w:color="auto"/>
        <w:bottom w:val="none" w:sz="0" w:space="0" w:color="auto"/>
        <w:right w:val="none" w:sz="0" w:space="0" w:color="auto"/>
      </w:divBdr>
    </w:div>
    <w:div w:id="820922117">
      <w:bodyDiv w:val="1"/>
      <w:marLeft w:val="0"/>
      <w:marRight w:val="0"/>
      <w:marTop w:val="0"/>
      <w:marBottom w:val="0"/>
      <w:divBdr>
        <w:top w:val="none" w:sz="0" w:space="0" w:color="auto"/>
        <w:left w:val="none" w:sz="0" w:space="0" w:color="auto"/>
        <w:bottom w:val="none" w:sz="0" w:space="0" w:color="auto"/>
        <w:right w:val="none" w:sz="0" w:space="0" w:color="auto"/>
      </w:divBdr>
    </w:div>
    <w:div w:id="1029767494">
      <w:bodyDiv w:val="1"/>
      <w:marLeft w:val="0"/>
      <w:marRight w:val="0"/>
      <w:marTop w:val="0"/>
      <w:marBottom w:val="0"/>
      <w:divBdr>
        <w:top w:val="none" w:sz="0" w:space="0" w:color="auto"/>
        <w:left w:val="none" w:sz="0" w:space="0" w:color="auto"/>
        <w:bottom w:val="none" w:sz="0" w:space="0" w:color="auto"/>
        <w:right w:val="none" w:sz="0" w:space="0" w:color="auto"/>
      </w:divBdr>
    </w:div>
    <w:div w:id="1073505774">
      <w:bodyDiv w:val="1"/>
      <w:marLeft w:val="0"/>
      <w:marRight w:val="0"/>
      <w:marTop w:val="0"/>
      <w:marBottom w:val="0"/>
      <w:divBdr>
        <w:top w:val="none" w:sz="0" w:space="0" w:color="auto"/>
        <w:left w:val="none" w:sz="0" w:space="0" w:color="auto"/>
        <w:bottom w:val="none" w:sz="0" w:space="0" w:color="auto"/>
        <w:right w:val="none" w:sz="0" w:space="0" w:color="auto"/>
      </w:divBdr>
    </w:div>
    <w:div w:id="1263296265">
      <w:bodyDiv w:val="1"/>
      <w:marLeft w:val="0"/>
      <w:marRight w:val="0"/>
      <w:marTop w:val="0"/>
      <w:marBottom w:val="0"/>
      <w:divBdr>
        <w:top w:val="none" w:sz="0" w:space="0" w:color="auto"/>
        <w:left w:val="none" w:sz="0" w:space="0" w:color="auto"/>
        <w:bottom w:val="none" w:sz="0" w:space="0" w:color="auto"/>
        <w:right w:val="none" w:sz="0" w:space="0" w:color="auto"/>
      </w:divBdr>
    </w:div>
    <w:div w:id="2025593858">
      <w:bodyDiv w:val="1"/>
      <w:marLeft w:val="0"/>
      <w:marRight w:val="0"/>
      <w:marTop w:val="0"/>
      <w:marBottom w:val="0"/>
      <w:divBdr>
        <w:top w:val="none" w:sz="0" w:space="0" w:color="auto"/>
        <w:left w:val="none" w:sz="0" w:space="0" w:color="auto"/>
        <w:bottom w:val="none" w:sz="0" w:space="0" w:color="auto"/>
        <w:right w:val="none" w:sz="0" w:space="0" w:color="auto"/>
      </w:divBdr>
    </w:div>
    <w:div w:id="2040163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ebtebba@tebtebba.org" TargetMode="External"/><Relationship Id="rId3" Type="http://schemas.openxmlformats.org/officeDocument/2006/relationships/hyperlink" Target="http://www.tebteb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CCD70-2749-451E-8C33-80B10FCFC1E9}"/>
</file>

<file path=customXml/itemProps2.xml><?xml version="1.0" encoding="utf-8"?>
<ds:datastoreItem xmlns:ds="http://schemas.openxmlformats.org/officeDocument/2006/customXml" ds:itemID="{E030DA5B-D8A6-4055-8CBC-BA5B28E101FA}"/>
</file>

<file path=customXml/itemProps3.xml><?xml version="1.0" encoding="utf-8"?>
<ds:datastoreItem xmlns:ds="http://schemas.openxmlformats.org/officeDocument/2006/customXml" ds:itemID="{A20D7B7F-35A0-4CCF-BFF0-A9E580CCE60D}"/>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dc:creator>
  <cp:keywords/>
  <dc:description/>
  <cp:lastModifiedBy>Manja</cp:lastModifiedBy>
  <cp:revision>3</cp:revision>
  <dcterms:created xsi:type="dcterms:W3CDTF">2018-10-15T09:19:00Z</dcterms:created>
  <dcterms:modified xsi:type="dcterms:W3CDTF">2018-10-15T09:30:00Z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