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403C" w14:textId="141A09B4" w:rsidR="00C61DCB" w:rsidRPr="00C61DCB" w:rsidRDefault="00062747" w:rsidP="00C61DCB">
      <w:pPr>
        <w:pStyle w:val="NormalWeb"/>
        <w:spacing w:after="45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M</w:t>
      </w:r>
      <w:r w:rsidR="00915A3E">
        <w:rPr>
          <w:rFonts w:ascii="Helvetica" w:hAnsi="Helvetica"/>
          <w:color w:val="000000"/>
          <w:sz w:val="23"/>
          <w:szCs w:val="23"/>
        </w:rPr>
        <w:t>r</w:t>
      </w:r>
      <w:r>
        <w:rPr>
          <w:rFonts w:ascii="Helvetica" w:hAnsi="Helvetica"/>
          <w:color w:val="000000"/>
          <w:sz w:val="23"/>
          <w:szCs w:val="23"/>
        </w:rPr>
        <w:t xml:space="preserve"> Chairman-Rapporteur</w:t>
      </w:r>
      <w:r w:rsidR="00C61DCB">
        <w:rPr>
          <w:rFonts w:ascii="Helvetica" w:hAnsi="Helvetica"/>
          <w:color w:val="000000"/>
          <w:sz w:val="23"/>
          <w:szCs w:val="23"/>
        </w:rPr>
        <w:t>,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r w:rsidR="00C61DCB">
        <w:rPr>
          <w:rFonts w:ascii="Helvetica" w:hAnsi="Helvetica"/>
          <w:color w:val="000000"/>
          <w:sz w:val="23"/>
          <w:szCs w:val="23"/>
        </w:rPr>
        <w:t xml:space="preserve"> </w:t>
      </w:r>
      <w:bookmarkStart w:id="0" w:name="_GoBack"/>
      <w:bookmarkEnd w:id="0"/>
    </w:p>
    <w:p w14:paraId="2BDF923F" w14:textId="69742219" w:rsidR="00831E0B" w:rsidRDefault="00831E0B" w:rsidP="00831E0B">
      <w:pPr>
        <w:pStyle w:val="NormalWeb"/>
        <w:spacing w:after="45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Prevention is a central element </w:t>
      </w:r>
      <w:r w:rsidR="00915A3E">
        <w:rPr>
          <w:rFonts w:ascii="Helvetica" w:hAnsi="Helvetica"/>
          <w:color w:val="000000"/>
          <w:sz w:val="23"/>
          <w:szCs w:val="23"/>
        </w:rPr>
        <w:t>in</w:t>
      </w:r>
      <w:r>
        <w:rPr>
          <w:rFonts w:ascii="Helvetica" w:hAnsi="Helvetica"/>
          <w:color w:val="000000"/>
          <w:sz w:val="23"/>
          <w:szCs w:val="23"/>
        </w:rPr>
        <w:t xml:space="preserve"> any </w:t>
      </w:r>
      <w:r w:rsidR="00915A3E">
        <w:rPr>
          <w:rFonts w:ascii="Helvetica" w:hAnsi="Helvetica"/>
          <w:color w:val="000000"/>
          <w:sz w:val="23"/>
          <w:szCs w:val="23"/>
        </w:rPr>
        <w:t xml:space="preserve">approach to </w:t>
      </w:r>
      <w:r w:rsidRPr="00831E0B">
        <w:rPr>
          <w:rFonts w:ascii="Helvetica" w:hAnsi="Helvetica"/>
          <w:color w:val="000000"/>
          <w:sz w:val="23"/>
          <w:szCs w:val="23"/>
        </w:rPr>
        <w:t>b</w:t>
      </w:r>
      <w:r>
        <w:rPr>
          <w:rFonts w:ascii="Helvetica" w:hAnsi="Helvetica"/>
          <w:color w:val="000000"/>
          <w:sz w:val="23"/>
          <w:szCs w:val="23"/>
        </w:rPr>
        <w:t>u</w:t>
      </w:r>
      <w:r w:rsidR="00731CC3">
        <w:rPr>
          <w:rFonts w:ascii="Helvetica" w:hAnsi="Helvetica"/>
          <w:color w:val="000000"/>
          <w:sz w:val="23"/>
          <w:szCs w:val="23"/>
        </w:rPr>
        <w:t xml:space="preserve">siness and human rights, not </w:t>
      </w:r>
      <w:r>
        <w:rPr>
          <w:rFonts w:ascii="Helvetica" w:hAnsi="Helvetica"/>
          <w:color w:val="000000"/>
          <w:sz w:val="23"/>
          <w:szCs w:val="23"/>
        </w:rPr>
        <w:t xml:space="preserve">least because </w:t>
      </w:r>
      <w:r w:rsidR="00915A3E">
        <w:rPr>
          <w:rFonts w:ascii="Helvetica" w:hAnsi="Helvetica"/>
          <w:color w:val="000000"/>
          <w:sz w:val="23"/>
          <w:szCs w:val="23"/>
        </w:rPr>
        <w:t xml:space="preserve">it is always preferable to </w:t>
      </w:r>
      <w:r>
        <w:rPr>
          <w:rFonts w:ascii="Helvetica" w:hAnsi="Helvetica"/>
          <w:color w:val="000000"/>
          <w:sz w:val="23"/>
          <w:szCs w:val="23"/>
        </w:rPr>
        <w:t>prevent</w:t>
      </w:r>
      <w:r w:rsidR="00915A3E">
        <w:rPr>
          <w:rFonts w:ascii="Helvetica" w:hAnsi="Helvetica"/>
          <w:color w:val="000000"/>
          <w:sz w:val="23"/>
          <w:szCs w:val="23"/>
        </w:rPr>
        <w:t xml:space="preserve"> than to cure or</w:t>
      </w:r>
      <w:r>
        <w:rPr>
          <w:rFonts w:ascii="Helvetica" w:hAnsi="Helvetica"/>
          <w:color w:val="000000"/>
          <w:sz w:val="23"/>
          <w:szCs w:val="23"/>
        </w:rPr>
        <w:t xml:space="preserve"> remed</w:t>
      </w:r>
      <w:r w:rsidR="00915A3E">
        <w:rPr>
          <w:rFonts w:ascii="Helvetica" w:hAnsi="Helvetica"/>
          <w:color w:val="000000"/>
          <w:sz w:val="23"/>
          <w:szCs w:val="23"/>
        </w:rPr>
        <w:t>y the harm done</w:t>
      </w:r>
      <w:r>
        <w:rPr>
          <w:rFonts w:ascii="Helvetica" w:hAnsi="Helvetica"/>
          <w:color w:val="000000"/>
          <w:sz w:val="23"/>
          <w:szCs w:val="23"/>
        </w:rPr>
        <w:t>. The International Commission of Jurists welcomes the principle of prevention enshrined in Article 9 of the draft treaty</w:t>
      </w:r>
      <w:r w:rsidR="00915A3E">
        <w:rPr>
          <w:rFonts w:ascii="Helvetica" w:hAnsi="Helvetica"/>
          <w:color w:val="000000"/>
          <w:sz w:val="23"/>
          <w:szCs w:val="23"/>
        </w:rPr>
        <w:t>, but underlines that its language</w:t>
      </w:r>
      <w:r w:rsidR="00030A7F">
        <w:rPr>
          <w:rFonts w:ascii="Helvetica" w:hAnsi="Helvetica"/>
          <w:color w:val="000000"/>
          <w:sz w:val="23"/>
          <w:szCs w:val="23"/>
        </w:rPr>
        <w:t xml:space="preserve"> is not entirely satisfactory.</w:t>
      </w:r>
      <w:r w:rsidR="00915A3E">
        <w:rPr>
          <w:rFonts w:ascii="Helvetica" w:hAnsi="Helvetica"/>
          <w:color w:val="000000"/>
          <w:sz w:val="23"/>
          <w:szCs w:val="23"/>
        </w:rPr>
        <w:t xml:space="preserve"> </w:t>
      </w:r>
      <w:r w:rsidR="00915A3E" w:rsidRPr="00807B7F">
        <w:rPr>
          <w:rFonts w:ascii="Helvetica" w:hAnsi="Helvetica"/>
          <w:color w:val="000000"/>
          <w:sz w:val="23"/>
          <w:szCs w:val="23"/>
        </w:rPr>
        <w:t xml:space="preserve">In the text, </w:t>
      </w:r>
      <w:r w:rsidR="00030A7F" w:rsidRPr="00807B7F">
        <w:rPr>
          <w:rFonts w:ascii="Helvetica" w:hAnsi="Helvetica"/>
          <w:color w:val="000000"/>
          <w:sz w:val="23"/>
          <w:szCs w:val="23"/>
        </w:rPr>
        <w:t>prevention amounts in fact only to human rights due diligence</w:t>
      </w:r>
      <w:r w:rsidR="00915A3E" w:rsidRPr="00807B7F">
        <w:rPr>
          <w:rFonts w:ascii="Helvetica" w:hAnsi="Helvetica"/>
          <w:color w:val="000000"/>
          <w:sz w:val="23"/>
          <w:szCs w:val="23"/>
        </w:rPr>
        <w:t xml:space="preserve"> but the draft could contemplate other additional ways for states to prevent </w:t>
      </w:r>
      <w:r w:rsidR="00807B7F" w:rsidRPr="00807B7F">
        <w:rPr>
          <w:rFonts w:ascii="Helvetica" w:hAnsi="Helvetica"/>
          <w:color w:val="000000"/>
          <w:sz w:val="23"/>
          <w:szCs w:val="23"/>
        </w:rPr>
        <w:t xml:space="preserve">human rights </w:t>
      </w:r>
      <w:r w:rsidR="00915A3E" w:rsidRPr="00807B7F">
        <w:rPr>
          <w:rFonts w:ascii="Helvetica" w:hAnsi="Helvetica"/>
          <w:color w:val="000000"/>
          <w:sz w:val="23"/>
          <w:szCs w:val="23"/>
        </w:rPr>
        <w:t>abuses by companies or to require companies to prevent abuses in the context of their operations.</w:t>
      </w:r>
    </w:p>
    <w:p w14:paraId="1849251F" w14:textId="54BF24B8" w:rsidR="00731CC3" w:rsidRDefault="00BF5DFD" w:rsidP="00831E0B">
      <w:pPr>
        <w:pStyle w:val="NormalWeb"/>
        <w:spacing w:after="450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</w:rPr>
        <w:t>T</w:t>
      </w:r>
      <w:r w:rsidR="00030A7F">
        <w:rPr>
          <w:rFonts w:ascii="Helvetica" w:hAnsi="Helvetica"/>
          <w:color w:val="000000"/>
          <w:sz w:val="23"/>
          <w:szCs w:val="23"/>
        </w:rPr>
        <w:t xml:space="preserve">he draft asks States to implement a form of human rights due diligence that departs </w:t>
      </w:r>
      <w:r w:rsidR="00664335">
        <w:rPr>
          <w:rFonts w:ascii="Helvetica" w:hAnsi="Helvetica"/>
          <w:color w:val="000000"/>
          <w:sz w:val="23"/>
          <w:szCs w:val="23"/>
        </w:rPr>
        <w:t xml:space="preserve">without further explanation </w:t>
      </w:r>
      <w:r w:rsidR="00030A7F">
        <w:rPr>
          <w:rFonts w:ascii="Helvetica" w:hAnsi="Helvetica"/>
          <w:color w:val="000000"/>
          <w:sz w:val="23"/>
          <w:szCs w:val="23"/>
        </w:rPr>
        <w:t xml:space="preserve">from </w:t>
      </w:r>
      <w:r>
        <w:rPr>
          <w:rFonts w:ascii="Helvetica" w:hAnsi="Helvetica"/>
          <w:color w:val="000000"/>
          <w:sz w:val="23"/>
          <w:szCs w:val="23"/>
        </w:rPr>
        <w:t xml:space="preserve">the existing </w:t>
      </w:r>
      <w:r w:rsidR="00030A7F">
        <w:rPr>
          <w:rFonts w:ascii="Helvetica" w:hAnsi="Helvetica"/>
          <w:color w:val="000000"/>
          <w:sz w:val="23"/>
          <w:szCs w:val="23"/>
        </w:rPr>
        <w:t>understanding of</w:t>
      </w:r>
      <w:r w:rsidR="006E4A48">
        <w:rPr>
          <w:rFonts w:ascii="Helvetica" w:hAnsi="Helvetica"/>
          <w:color w:val="000000"/>
          <w:sz w:val="23"/>
          <w:szCs w:val="23"/>
        </w:rPr>
        <w:t xml:space="preserve"> due diligence</w:t>
      </w:r>
      <w:r w:rsidR="00030A7F">
        <w:rPr>
          <w:rFonts w:ascii="Helvetica" w:hAnsi="Helvetica"/>
          <w:color w:val="000000"/>
          <w:sz w:val="23"/>
          <w:szCs w:val="23"/>
        </w:rPr>
        <w:t>.</w:t>
      </w:r>
      <w:r w:rsidR="006E4A48">
        <w:rPr>
          <w:rFonts w:ascii="Helvetica" w:hAnsi="Helvetica"/>
          <w:color w:val="000000"/>
          <w:sz w:val="23"/>
          <w:szCs w:val="23"/>
        </w:rPr>
        <w:t xml:space="preserve"> </w:t>
      </w:r>
      <w:r w:rsidR="002E1A88">
        <w:rPr>
          <w:rFonts w:ascii="Helvetica" w:hAnsi="Helvetica"/>
          <w:color w:val="000000"/>
          <w:sz w:val="23"/>
          <w:szCs w:val="23"/>
          <w:lang w:val="en-US"/>
        </w:rPr>
        <w:t xml:space="preserve">Article 9 brings into the traditional four-step process of due diligence some additional requirements, such as </w:t>
      </w:r>
      <w:r w:rsidR="002E1A88" w:rsidRPr="00831E0B">
        <w:rPr>
          <w:rFonts w:ascii="Helvetica" w:hAnsi="Helvetica"/>
          <w:color w:val="000000"/>
          <w:sz w:val="23"/>
          <w:szCs w:val="23"/>
          <w:lang w:val="en-US"/>
        </w:rPr>
        <w:t>“meaningful consultation” with affected groups, the requirement of financial security to cover potential compensation claims, and the incorporation of some measures into businesses’ transnational contracts.</w:t>
      </w:r>
      <w:r w:rsidR="002E1A88"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 w:rsidR="006E4A48" w:rsidRPr="00807B7F">
        <w:rPr>
          <w:rFonts w:ascii="Helvetica" w:hAnsi="Helvetica"/>
          <w:color w:val="000000"/>
          <w:sz w:val="23"/>
          <w:szCs w:val="23"/>
          <w:lang w:val="en-US"/>
        </w:rPr>
        <w:t>In this respect, greater alignment with the UNGPs</w:t>
      </w:r>
      <w:r w:rsidR="00A17196" w:rsidRPr="00807B7F">
        <w:rPr>
          <w:rFonts w:ascii="Helvetica" w:hAnsi="Helvetica"/>
          <w:color w:val="000000"/>
          <w:sz w:val="23"/>
          <w:szCs w:val="23"/>
          <w:lang w:val="en-US"/>
        </w:rPr>
        <w:t>, particular GPs 17-21</w:t>
      </w:r>
      <w:r w:rsidR="006E4A48" w:rsidRPr="00807B7F">
        <w:rPr>
          <w:rFonts w:ascii="Helvetica" w:hAnsi="Helvetica"/>
          <w:color w:val="000000"/>
          <w:sz w:val="23"/>
          <w:szCs w:val="23"/>
          <w:lang w:val="en-US"/>
        </w:rPr>
        <w:t xml:space="preserve"> and existing leading practice on human rights due diligence would be desirable.</w:t>
      </w:r>
      <w:r w:rsidR="00831E0B" w:rsidRPr="00831E0B"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</w:p>
    <w:p w14:paraId="115C8E0E" w14:textId="77777777" w:rsidR="00302802" w:rsidRPr="00831E0B" w:rsidRDefault="00302802" w:rsidP="00302802">
      <w:pPr>
        <w:pStyle w:val="NormalWeb"/>
        <w:spacing w:after="45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In addition, taking into account international practice, and </w:t>
      </w:r>
      <w:r w:rsidRPr="00831E0B">
        <w:rPr>
          <w:rFonts w:ascii="Helvetica" w:hAnsi="Helvetica"/>
          <w:color w:val="000000"/>
          <w:sz w:val="23"/>
          <w:szCs w:val="23"/>
        </w:rPr>
        <w:t xml:space="preserve">notably the French </w:t>
      </w:r>
      <w:proofErr w:type="spellStart"/>
      <w:r w:rsidRPr="00831E0B">
        <w:rPr>
          <w:rFonts w:ascii="Helvetica" w:hAnsi="Helvetica"/>
          <w:i/>
          <w:color w:val="000000"/>
          <w:sz w:val="23"/>
          <w:szCs w:val="23"/>
        </w:rPr>
        <w:t>Loi</w:t>
      </w:r>
      <w:proofErr w:type="spellEnd"/>
      <w:r w:rsidRPr="00831E0B">
        <w:rPr>
          <w:rFonts w:ascii="Helvetica" w:hAnsi="Helvetica"/>
          <w:i/>
          <w:color w:val="000000"/>
          <w:sz w:val="23"/>
          <w:szCs w:val="23"/>
        </w:rPr>
        <w:t xml:space="preserve"> de devoir de Vigilance</w:t>
      </w:r>
      <w:r w:rsidRPr="00831E0B">
        <w:rPr>
          <w:rFonts w:ascii="Helvetica" w:hAnsi="Helvetica"/>
          <w:color w:val="000000"/>
          <w:sz w:val="23"/>
          <w:szCs w:val="23"/>
        </w:rPr>
        <w:t>, a separate article should be included to provide more specific guidance on the content of the human rights due diligence p</w:t>
      </w:r>
      <w:r>
        <w:rPr>
          <w:rFonts w:ascii="Helvetica" w:hAnsi="Helvetica"/>
          <w:color w:val="000000"/>
          <w:sz w:val="23"/>
          <w:szCs w:val="23"/>
        </w:rPr>
        <w:t xml:space="preserve">rocess required in the future article on prevention. The French law contains specific elements concerning the content of a human </w:t>
      </w:r>
      <w:proofErr w:type="gramStart"/>
      <w:r>
        <w:rPr>
          <w:rFonts w:ascii="Helvetica" w:hAnsi="Helvetica"/>
          <w:color w:val="000000"/>
          <w:sz w:val="23"/>
          <w:szCs w:val="23"/>
        </w:rPr>
        <w:t>rights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due diligence plan. These elements include </w:t>
      </w:r>
    </w:p>
    <w:p w14:paraId="26C27C44" w14:textId="77777777" w:rsidR="00302802" w:rsidRPr="00831E0B" w:rsidRDefault="00302802" w:rsidP="00302802">
      <w:pPr>
        <w:pStyle w:val="NormalWeb"/>
        <w:spacing w:after="450"/>
        <w:ind w:left="708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 w:rsidRPr="00831E0B">
        <w:rPr>
          <w:rFonts w:ascii="Helvetica" w:hAnsi="Helvetica"/>
          <w:color w:val="000000"/>
          <w:sz w:val="23"/>
          <w:szCs w:val="23"/>
          <w:lang w:val="en-US"/>
        </w:rPr>
        <w:t>a) identification, analysis and prioritization of risks;</w:t>
      </w:r>
    </w:p>
    <w:p w14:paraId="0E25F3A1" w14:textId="3A0A65C5" w:rsidR="00302802" w:rsidRPr="00831E0B" w:rsidRDefault="00302802" w:rsidP="00302802">
      <w:pPr>
        <w:pStyle w:val="NormalWeb"/>
        <w:spacing w:after="450"/>
        <w:ind w:left="708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 w:rsidRPr="00831E0B">
        <w:rPr>
          <w:rFonts w:ascii="Helvetica" w:hAnsi="Helvetica"/>
          <w:color w:val="000000"/>
          <w:sz w:val="23"/>
          <w:szCs w:val="23"/>
          <w:lang w:val="en-US"/>
        </w:rPr>
        <w:t>b) Procedures for periodic evaluation of the situation of subsidiaries</w:t>
      </w:r>
      <w:r w:rsidR="00620811">
        <w:rPr>
          <w:rFonts w:ascii="Helvetica" w:hAnsi="Helvetica"/>
          <w:color w:val="000000"/>
          <w:sz w:val="23"/>
          <w:szCs w:val="23"/>
          <w:lang w:val="en-US"/>
        </w:rPr>
        <w:t>,</w:t>
      </w:r>
      <w:r w:rsidRPr="00831E0B"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 w:rsidR="00620811">
        <w:rPr>
          <w:rFonts w:ascii="Helvetica" w:hAnsi="Helvetica"/>
          <w:color w:val="000000"/>
          <w:sz w:val="23"/>
          <w:szCs w:val="23"/>
          <w:lang w:val="en-US"/>
        </w:rPr>
        <w:t xml:space="preserve">suppliers </w:t>
      </w:r>
      <w:r w:rsidR="00807B7F">
        <w:rPr>
          <w:rFonts w:ascii="Helvetica" w:hAnsi="Helvetica"/>
          <w:color w:val="000000"/>
          <w:sz w:val="23"/>
          <w:szCs w:val="23"/>
          <w:lang w:val="en-US"/>
        </w:rPr>
        <w:t xml:space="preserve">and </w:t>
      </w:r>
      <w:r w:rsidRPr="00831E0B">
        <w:rPr>
          <w:rFonts w:ascii="Helvetica" w:hAnsi="Helvetica"/>
          <w:color w:val="000000"/>
          <w:sz w:val="23"/>
          <w:szCs w:val="23"/>
          <w:lang w:val="en-US"/>
        </w:rPr>
        <w:t>subcontractors with whom an established commercial relationship is maintained, with regard to identified risks;</w:t>
      </w:r>
    </w:p>
    <w:p w14:paraId="6100206F" w14:textId="77777777" w:rsidR="00302802" w:rsidRPr="00831E0B" w:rsidRDefault="00302802" w:rsidP="00302802">
      <w:pPr>
        <w:pStyle w:val="NormalWeb"/>
        <w:spacing w:after="450"/>
        <w:ind w:left="708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 w:rsidRPr="00831E0B">
        <w:rPr>
          <w:rFonts w:ascii="Helvetica" w:hAnsi="Helvetica"/>
          <w:color w:val="000000"/>
          <w:sz w:val="23"/>
          <w:szCs w:val="23"/>
          <w:lang w:val="en-US"/>
        </w:rPr>
        <w:t>c) Measures to mitigate risks or prevent serious harm;</w:t>
      </w:r>
    </w:p>
    <w:p w14:paraId="5CE91DF6" w14:textId="77777777" w:rsidR="00302802" w:rsidRPr="00831E0B" w:rsidRDefault="00302802" w:rsidP="00302802">
      <w:pPr>
        <w:pStyle w:val="NormalWeb"/>
        <w:spacing w:after="450"/>
        <w:ind w:left="708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 w:rsidRPr="00831E0B">
        <w:rPr>
          <w:rFonts w:ascii="Helvetica" w:hAnsi="Helvetica"/>
          <w:color w:val="000000"/>
          <w:sz w:val="23"/>
          <w:szCs w:val="23"/>
          <w:lang w:val="en-US"/>
        </w:rPr>
        <w:t>d) An alert mechanism on the risks of abuses</w:t>
      </w:r>
    </w:p>
    <w:p w14:paraId="762F45D3" w14:textId="77777777" w:rsidR="00302802" w:rsidRPr="00831E0B" w:rsidRDefault="00302802" w:rsidP="00302802">
      <w:pPr>
        <w:pStyle w:val="NormalWeb"/>
        <w:spacing w:after="450"/>
        <w:ind w:left="708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 w:rsidRPr="00831E0B">
        <w:rPr>
          <w:rFonts w:ascii="Helvetica" w:hAnsi="Helvetica"/>
          <w:color w:val="000000"/>
          <w:sz w:val="23"/>
          <w:szCs w:val="23"/>
          <w:lang w:val="en-US"/>
        </w:rPr>
        <w:t>e) A mechanism for monitoring the measures implemented and evaluating their effectiveness.</w:t>
      </w:r>
    </w:p>
    <w:p w14:paraId="19EDC085" w14:textId="459765DE" w:rsidR="00831E0B" w:rsidRPr="00831E0B" w:rsidRDefault="009B6C27" w:rsidP="00831E0B">
      <w:pPr>
        <w:pStyle w:val="NormalWeb"/>
        <w:spacing w:after="450"/>
        <w:jc w:val="both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 xml:space="preserve">Beyond human rights due diligence, it is important that a new draft treaty addresses other forms or measures of prevention. Those measures of prevention that States should implement could be </w:t>
      </w:r>
      <w:r w:rsidR="00770A0F">
        <w:rPr>
          <w:rFonts w:ascii="Helvetica" w:hAnsi="Helvetica"/>
          <w:color w:val="000000"/>
          <w:sz w:val="23"/>
          <w:szCs w:val="23"/>
          <w:lang w:val="en-US"/>
        </w:rPr>
        <w:t xml:space="preserve">modeled on those identified </w:t>
      </w:r>
      <w:proofErr w:type="gramStart"/>
      <w:r w:rsidR="00770A0F">
        <w:rPr>
          <w:rFonts w:ascii="Helvetica" w:hAnsi="Helvetica"/>
          <w:color w:val="000000"/>
          <w:sz w:val="23"/>
          <w:szCs w:val="23"/>
          <w:lang w:val="en-US"/>
        </w:rPr>
        <w:t xml:space="preserve">in 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 w:rsidR="002E1A88">
        <w:rPr>
          <w:rFonts w:ascii="Helvetica" w:hAnsi="Helvetica"/>
          <w:color w:val="000000"/>
          <w:sz w:val="23"/>
          <w:szCs w:val="23"/>
          <w:lang w:val="en-US"/>
        </w:rPr>
        <w:t>UNGP</w:t>
      </w:r>
      <w:proofErr w:type="gramEnd"/>
      <w:r w:rsidR="002E1A88"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Principles </w:t>
      </w:r>
      <w:r w:rsidR="002E1A88">
        <w:rPr>
          <w:rFonts w:ascii="Helvetica" w:hAnsi="Helvetica"/>
          <w:color w:val="000000"/>
          <w:sz w:val="23"/>
          <w:szCs w:val="23"/>
          <w:lang w:val="en-US"/>
        </w:rPr>
        <w:t>3 and 15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 as well as </w:t>
      </w:r>
      <w:r w:rsidRPr="00807B7F">
        <w:rPr>
          <w:rFonts w:ascii="Helvetica" w:hAnsi="Helvetica"/>
          <w:color w:val="000000"/>
          <w:sz w:val="23"/>
          <w:szCs w:val="23"/>
          <w:lang w:val="en-US"/>
        </w:rPr>
        <w:t>General Comments 16 of the Committee on the Rights of the Child and General Comment 24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 of the Committee on Economic, Social and Cultural Rights</w:t>
      </w:r>
      <w:r w:rsidR="002E1A88">
        <w:rPr>
          <w:rFonts w:ascii="Helvetica" w:hAnsi="Helvetica"/>
          <w:color w:val="000000"/>
          <w:sz w:val="23"/>
          <w:szCs w:val="23"/>
          <w:lang w:val="en-US"/>
        </w:rPr>
        <w:t xml:space="preserve">. </w:t>
      </w:r>
    </w:p>
    <w:p w14:paraId="3D1F4A1D" w14:textId="5096CA3D" w:rsidR="004810D0" w:rsidRPr="009B6C27" w:rsidRDefault="007C0819" w:rsidP="009B6C27">
      <w:pPr>
        <w:pStyle w:val="NormalWeb"/>
        <w:spacing w:after="45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Thank you. </w:t>
      </w:r>
    </w:p>
    <w:sectPr w:rsidR="004810D0" w:rsidRPr="009B6C27" w:rsidSect="008E784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ABD0" w14:textId="77777777" w:rsidR="00CC29A3" w:rsidRDefault="00CC29A3" w:rsidP="00C61DCB">
      <w:r>
        <w:separator/>
      </w:r>
    </w:p>
  </w:endnote>
  <w:endnote w:type="continuationSeparator" w:id="0">
    <w:p w14:paraId="09E9F0A0" w14:textId="77777777" w:rsidR="00CC29A3" w:rsidRDefault="00CC29A3" w:rsidP="00C6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861C" w14:textId="77777777" w:rsidR="00CC29A3" w:rsidRDefault="00CC29A3" w:rsidP="00C61DCB">
      <w:r>
        <w:separator/>
      </w:r>
    </w:p>
  </w:footnote>
  <w:footnote w:type="continuationSeparator" w:id="0">
    <w:p w14:paraId="2A325A45" w14:textId="77777777" w:rsidR="00CC29A3" w:rsidRDefault="00CC29A3" w:rsidP="00C6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681E" w14:textId="77777777" w:rsidR="00770A0F" w:rsidRDefault="00770A0F" w:rsidP="00C61DCB">
    <w:pPr>
      <w:pStyle w:val="NormalWeb"/>
      <w:spacing w:before="0" w:beforeAutospacing="0" w:after="450" w:afterAutospacing="0"/>
      <w:jc w:val="both"/>
      <w:rPr>
        <w:rFonts w:ascii="Helvetica" w:hAnsi="Helvetica"/>
        <w:color w:val="000000"/>
        <w:sz w:val="23"/>
        <w:szCs w:val="23"/>
      </w:rPr>
    </w:pPr>
    <w:r>
      <w:rPr>
        <w:rFonts w:ascii="Helvetica" w:hAnsi="Helvetica"/>
        <w:color w:val="000000"/>
        <w:sz w:val="23"/>
        <w:szCs w:val="23"/>
      </w:rPr>
      <w:t>Draft Statement, International Commission of Jurists, Fourth Session of the IWG on TNCs</w:t>
    </w:r>
  </w:p>
  <w:p w14:paraId="16722D54" w14:textId="0381FC93" w:rsidR="00770A0F" w:rsidRPr="00FE0F2A" w:rsidRDefault="00770A0F" w:rsidP="00C61DCB">
    <w:pPr>
      <w:pStyle w:val="NormalWeb"/>
      <w:spacing w:before="0" w:beforeAutospacing="0" w:after="450" w:afterAutospacing="0"/>
      <w:jc w:val="both"/>
      <w:rPr>
        <w:rFonts w:ascii="Helvetica" w:hAnsi="Helvetica"/>
        <w:b/>
        <w:color w:val="000000"/>
        <w:sz w:val="23"/>
        <w:szCs w:val="23"/>
      </w:rPr>
    </w:pPr>
    <w:r>
      <w:rPr>
        <w:rFonts w:ascii="Helvetica" w:hAnsi="Helvetica"/>
        <w:b/>
        <w:color w:val="000000"/>
        <w:sz w:val="23"/>
        <w:szCs w:val="23"/>
      </w:rPr>
      <w:t>Prevention</w:t>
    </w:r>
  </w:p>
  <w:p w14:paraId="3541AE9B" w14:textId="77777777" w:rsidR="00770A0F" w:rsidRDefault="00770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20D2"/>
    <w:multiLevelType w:val="hybridMultilevel"/>
    <w:tmpl w:val="BD96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36A"/>
    <w:multiLevelType w:val="hybridMultilevel"/>
    <w:tmpl w:val="4FA2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B"/>
    <w:rsid w:val="00030A7F"/>
    <w:rsid w:val="000608DC"/>
    <w:rsid w:val="00062747"/>
    <w:rsid w:val="000C0930"/>
    <w:rsid w:val="00126FB2"/>
    <w:rsid w:val="00170DA7"/>
    <w:rsid w:val="001F4A30"/>
    <w:rsid w:val="002E1A88"/>
    <w:rsid w:val="00302802"/>
    <w:rsid w:val="0031178C"/>
    <w:rsid w:val="00356195"/>
    <w:rsid w:val="004139C5"/>
    <w:rsid w:val="004810D0"/>
    <w:rsid w:val="0050067C"/>
    <w:rsid w:val="005566B6"/>
    <w:rsid w:val="0057387B"/>
    <w:rsid w:val="00620811"/>
    <w:rsid w:val="00652C4C"/>
    <w:rsid w:val="00664335"/>
    <w:rsid w:val="006D7C66"/>
    <w:rsid w:val="006E4A48"/>
    <w:rsid w:val="0072432D"/>
    <w:rsid w:val="00731CC3"/>
    <w:rsid w:val="00770A0F"/>
    <w:rsid w:val="007B1AD9"/>
    <w:rsid w:val="007C0819"/>
    <w:rsid w:val="00807B7F"/>
    <w:rsid w:val="00831E0B"/>
    <w:rsid w:val="00841744"/>
    <w:rsid w:val="00851CC3"/>
    <w:rsid w:val="008847DB"/>
    <w:rsid w:val="008E7847"/>
    <w:rsid w:val="00915A3E"/>
    <w:rsid w:val="009867C5"/>
    <w:rsid w:val="009B6C27"/>
    <w:rsid w:val="00A0163A"/>
    <w:rsid w:val="00A17196"/>
    <w:rsid w:val="00AB14A2"/>
    <w:rsid w:val="00B7320A"/>
    <w:rsid w:val="00B96ACA"/>
    <w:rsid w:val="00BB2C37"/>
    <w:rsid w:val="00BF31E6"/>
    <w:rsid w:val="00BF5DFD"/>
    <w:rsid w:val="00C61DCB"/>
    <w:rsid w:val="00C74F8E"/>
    <w:rsid w:val="00CC29A3"/>
    <w:rsid w:val="00DC64AA"/>
    <w:rsid w:val="00DC6D55"/>
    <w:rsid w:val="00E11F4A"/>
    <w:rsid w:val="00E6677B"/>
    <w:rsid w:val="00EB7151"/>
    <w:rsid w:val="00EB73DC"/>
    <w:rsid w:val="00F23278"/>
    <w:rsid w:val="00F65938"/>
    <w:rsid w:val="00F804F2"/>
    <w:rsid w:val="00FD3284"/>
    <w:rsid w:val="00FE0F2A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2503C"/>
  <w15:docId w15:val="{E142D7E0-E91D-4A3E-96B6-F4B6660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D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CB"/>
  </w:style>
  <w:style w:type="paragraph" w:styleId="Footer">
    <w:name w:val="footer"/>
    <w:basedOn w:val="Normal"/>
    <w:link w:val="FooterChar"/>
    <w:uiPriority w:val="99"/>
    <w:unhideWhenUsed/>
    <w:rsid w:val="00C61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CB"/>
  </w:style>
  <w:style w:type="paragraph" w:styleId="NormalWeb">
    <w:name w:val="Normal (Web)"/>
    <w:basedOn w:val="Normal"/>
    <w:uiPriority w:val="99"/>
    <w:unhideWhenUsed/>
    <w:rsid w:val="00C61D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61DCB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E0F2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F2A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F2A"/>
    <w:rPr>
      <w:rFonts w:eastAsiaTheme="minorEastAsia"/>
      <w:lang w:val="en-US"/>
    </w:rPr>
  </w:style>
  <w:style w:type="character" w:styleId="FootnoteReference">
    <w:name w:val="footnote reference"/>
    <w:aliases w:val="4_G"/>
    <w:basedOn w:val="DefaultParagraphFont"/>
    <w:uiPriority w:val="99"/>
    <w:unhideWhenUsed/>
    <w:rsid w:val="00FE0F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D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A04E9-729C-4B58-9F48-2CCA04D7D262}"/>
</file>

<file path=customXml/itemProps2.xml><?xml version="1.0" encoding="utf-8"?>
<ds:datastoreItem xmlns:ds="http://schemas.openxmlformats.org/officeDocument/2006/customXml" ds:itemID="{4ACDE5AB-6970-4F07-BD23-7099C0C5217E}"/>
</file>

<file path=customXml/itemProps3.xml><?xml version="1.0" encoding="utf-8"?>
<ds:datastoreItem xmlns:ds="http://schemas.openxmlformats.org/officeDocument/2006/customXml" ds:itemID="{8917E89B-8E38-45B7-AAAE-A9D705234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carlos.lopez</cp:lastModifiedBy>
  <cp:revision>2</cp:revision>
  <dcterms:created xsi:type="dcterms:W3CDTF">2018-10-16T09:05:00Z</dcterms:created>
  <dcterms:modified xsi:type="dcterms:W3CDTF">2018-10-16T09:05:00Z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