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Adelantamos algunos comentarios preliminares sobre estos artículos, los que coinciden en gran parte con lo expresado previamente por las delegaciones del Brasil, Chile y México.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Sobre el artículo 6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Deseamos agregar que la redacción actual del artículo resulta en una muy difícil aplicación pues no establece prácticamente ninguna limitación a los casos en los que se puede acudir a la justicia.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Sobre el artículo 7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 xml:space="preserve">De la misma manera, la redacción de este artículo es general y otorga posibilidades casi ilimitadas respecto a la ley aplicable. De cierta forma, recuerda a la cláusula de la nación más favorecida, la que proviene de otras esferas del derecho internacional y que, además, ha dejado de ser utilizada. En ese sentido, hacemos eco de los comentarios realizados por la Federación de Rusia. 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Finalmente, consideramos que este artículo sobre el derecho aplicable, debe ser enviado para comentarios a la Comisión de Derecho Internacional.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Sobre el artículo 13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>Este artículo debe ser cuidadosamente revisado, de modo que se guarde el equilibrio que existe entre las obligaciones que tenemos los Estados en cuestión de comercio e inversiones y de los derechos humanos.</w:t>
      </w:r>
    </w:p>
    <w:p w:rsidR="00C712A6" w:rsidRDefault="00C712A6" w:rsidP="00C712A6">
      <w:pPr>
        <w:spacing w:before="100" w:beforeAutospacing="1" w:after="100" w:afterAutospacing="1"/>
      </w:pPr>
      <w:r>
        <w:rPr>
          <w:lang w:val="es-419"/>
        </w:rPr>
        <w:t xml:space="preserve">Reiteramos el comentario formulado por México y otros países, sobre que, en el derecho internacional, no hay jerarquías entre normas, a excepción de las normas ius cogens, las cuales no admiten derogación alguna. </w:t>
      </w:r>
    </w:p>
    <w:p w:rsidR="00446FE5" w:rsidRPr="00770252" w:rsidRDefault="00446FE5" w:rsidP="00B55090">
      <w:pPr>
        <w:rPr>
          <w:lang w:val="en-US"/>
        </w:rPr>
      </w:pP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A6" w:rsidRDefault="00C712A6" w:rsidP="00F95C08"/>
  </w:endnote>
  <w:endnote w:type="continuationSeparator" w:id="0">
    <w:p w:rsidR="00C712A6" w:rsidRPr="00AC3823" w:rsidRDefault="00C712A6" w:rsidP="00AC3823">
      <w:pPr>
        <w:pStyle w:val="Footer"/>
      </w:pPr>
    </w:p>
  </w:endnote>
  <w:endnote w:type="continuationNotice" w:id="1">
    <w:p w:rsidR="00C712A6" w:rsidRDefault="00C71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A6" w:rsidRPr="00AC3823" w:rsidRDefault="00C712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12A6" w:rsidRPr="00AC3823" w:rsidRDefault="00C712A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12A6" w:rsidRPr="00AC3823" w:rsidRDefault="00C712A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6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712A6"/>
    <w:rsid w:val="00CF3AE1"/>
    <w:rsid w:val="00D3439C"/>
    <w:rsid w:val="00D40AEB"/>
    <w:rsid w:val="00D777AE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15847-2DBF-4FDF-8EE8-FBEA6A1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A6"/>
    <w:rPr>
      <w:sz w:val="24"/>
      <w:szCs w:val="24"/>
      <w:lang w:val="en-GB"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1DCCD-CE08-4813-BD83-2FA1FA8C9418}"/>
</file>

<file path=customXml/itemProps2.xml><?xml version="1.0" encoding="utf-8"?>
<ds:datastoreItem xmlns:ds="http://schemas.openxmlformats.org/officeDocument/2006/customXml" ds:itemID="{B2475C06-C731-419C-BF29-F795BD39E45B}"/>
</file>

<file path=customXml/itemProps3.xml><?xml version="1.0" encoding="utf-8"?>
<ds:datastoreItem xmlns:ds="http://schemas.openxmlformats.org/officeDocument/2006/customXml" ds:itemID="{394F2023-AA13-45FB-BBB6-8741CE7BA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Perrine</dc:creator>
  <cp:keywords/>
  <dc:description/>
  <cp:lastModifiedBy>DEJA Perrine</cp:lastModifiedBy>
  <cp:revision>1</cp:revision>
  <cp:lastPrinted>2014-05-14T10:59:00Z</cp:lastPrinted>
  <dcterms:created xsi:type="dcterms:W3CDTF">2018-10-16T13:45:00Z</dcterms:created>
  <dcterms:modified xsi:type="dcterms:W3CDTF">2018-10-16T13:46:00Z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