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4E" w:rsidRPr="009B4C99" w:rsidRDefault="00763F4E" w:rsidP="00763F4E">
      <w:pPr>
        <w:spacing w:line="360" w:lineRule="auto"/>
        <w:jc w:val="center"/>
        <w:rPr>
          <w:rFonts w:ascii="Arial" w:eastAsia="Cambria" w:hAnsi="Arial" w:cs="Arial"/>
          <w:b/>
          <w:sz w:val="24"/>
          <w:szCs w:val="24"/>
        </w:rPr>
      </w:pPr>
      <w:r w:rsidRPr="009B4C99">
        <w:rPr>
          <w:rFonts w:ascii="Arial" w:eastAsia="Cambria" w:hAnsi="Arial" w:cs="Arial"/>
          <w:noProof/>
          <w:sz w:val="24"/>
          <w:szCs w:val="24"/>
          <w:lang w:val="en-ZA" w:eastAsia="en-ZA"/>
        </w:rPr>
        <w:drawing>
          <wp:inline distT="0" distB="0" distL="0" distR="0" wp14:anchorId="1BC06A3C" wp14:editId="3FB84C00">
            <wp:extent cx="1082040" cy="1352550"/>
            <wp:effectExtent l="0" t="0" r="0" b="0"/>
            <wp:docPr id="1" name="Picture 1" descr="http://www.hubert-herald.nl/RS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bert-herald.nl/RSA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920" cy="1364899"/>
                    </a:xfrm>
                    <a:prstGeom prst="rect">
                      <a:avLst/>
                    </a:prstGeom>
                    <a:noFill/>
                    <a:ln>
                      <a:noFill/>
                    </a:ln>
                  </pic:spPr>
                </pic:pic>
              </a:graphicData>
            </a:graphic>
          </wp:inline>
        </w:drawing>
      </w:r>
    </w:p>
    <w:p w:rsidR="00E961C8" w:rsidRPr="009B4C99" w:rsidRDefault="00E961C8" w:rsidP="00763F4E">
      <w:pPr>
        <w:spacing w:line="360" w:lineRule="auto"/>
        <w:jc w:val="center"/>
        <w:rPr>
          <w:rFonts w:ascii="Arial" w:eastAsia="Cambria" w:hAnsi="Arial" w:cs="Arial"/>
          <w:b/>
          <w:sz w:val="24"/>
          <w:szCs w:val="24"/>
        </w:rPr>
      </w:pPr>
    </w:p>
    <w:p w:rsidR="00763F4E" w:rsidRPr="009B4C99" w:rsidRDefault="00763F4E" w:rsidP="00763F4E">
      <w:pPr>
        <w:spacing w:line="360" w:lineRule="auto"/>
        <w:jc w:val="center"/>
        <w:rPr>
          <w:rFonts w:ascii="Arial" w:eastAsia="Cambria" w:hAnsi="Arial" w:cs="Arial"/>
          <w:b/>
          <w:sz w:val="24"/>
          <w:szCs w:val="24"/>
        </w:rPr>
      </w:pPr>
      <w:r w:rsidRPr="009B4C99">
        <w:rPr>
          <w:rFonts w:ascii="Arial" w:eastAsia="Cambria" w:hAnsi="Arial" w:cs="Arial"/>
          <w:b/>
          <w:sz w:val="24"/>
          <w:szCs w:val="24"/>
        </w:rPr>
        <w:t xml:space="preserve">SOUTH AFRICAN STATEMENT TO THE </w:t>
      </w:r>
    </w:p>
    <w:p w:rsidR="00763F4E" w:rsidRPr="009B4C99" w:rsidRDefault="00763F4E" w:rsidP="00763F4E">
      <w:pPr>
        <w:spacing w:line="360" w:lineRule="auto"/>
        <w:jc w:val="center"/>
        <w:rPr>
          <w:rFonts w:ascii="Arial" w:eastAsia="Cambria" w:hAnsi="Arial" w:cs="Arial"/>
          <w:b/>
          <w:sz w:val="24"/>
          <w:szCs w:val="24"/>
        </w:rPr>
      </w:pPr>
      <w:r w:rsidRPr="009B4C99">
        <w:rPr>
          <w:rFonts w:ascii="Arial" w:eastAsia="Cambria" w:hAnsi="Arial" w:cs="Arial"/>
          <w:b/>
          <w:sz w:val="24"/>
          <w:szCs w:val="24"/>
        </w:rPr>
        <w:t xml:space="preserve">4 </w:t>
      </w:r>
      <w:r w:rsidRPr="009B4C99">
        <w:rPr>
          <w:rFonts w:ascii="Arial" w:eastAsia="Cambria" w:hAnsi="Arial" w:cs="Arial"/>
          <w:b/>
          <w:sz w:val="24"/>
          <w:szCs w:val="24"/>
          <w:vertAlign w:val="superscript"/>
        </w:rPr>
        <w:t>TH</w:t>
      </w:r>
      <w:r w:rsidRPr="009B4C99">
        <w:rPr>
          <w:rFonts w:ascii="Arial" w:eastAsia="Cambria" w:hAnsi="Arial" w:cs="Arial"/>
          <w:b/>
          <w:sz w:val="24"/>
          <w:szCs w:val="24"/>
        </w:rPr>
        <w:t xml:space="preserve"> SESSION OF THE OPEN ENDED </w:t>
      </w:r>
      <w:r w:rsidR="00C56D5D">
        <w:rPr>
          <w:rFonts w:ascii="Arial" w:hAnsi="Arial" w:cs="Arial"/>
          <w:b/>
          <w:sz w:val="24"/>
          <w:szCs w:val="24"/>
        </w:rPr>
        <w:t>SESSION OF THE IGWG ON T</w:t>
      </w:r>
      <w:r w:rsidRPr="009B4C99">
        <w:rPr>
          <w:rFonts w:ascii="Arial" w:hAnsi="Arial" w:cs="Arial"/>
          <w:b/>
          <w:sz w:val="24"/>
          <w:szCs w:val="24"/>
        </w:rPr>
        <w:t>RANSNATIONAL CORPORATIONS AND OTHER BUSINES</w:t>
      </w:r>
      <w:r w:rsidR="00C56D5D">
        <w:rPr>
          <w:rFonts w:ascii="Arial" w:hAnsi="Arial" w:cs="Arial"/>
          <w:b/>
          <w:sz w:val="24"/>
          <w:szCs w:val="24"/>
        </w:rPr>
        <w:t>S</w:t>
      </w:r>
      <w:r w:rsidRPr="009B4C99">
        <w:rPr>
          <w:rFonts w:ascii="Arial" w:hAnsi="Arial" w:cs="Arial"/>
          <w:b/>
          <w:sz w:val="24"/>
          <w:szCs w:val="24"/>
        </w:rPr>
        <w:t xml:space="preserve"> ENTERPRISES</w:t>
      </w:r>
    </w:p>
    <w:p w:rsidR="00763F4E" w:rsidRPr="009B4C99" w:rsidRDefault="00763F4E" w:rsidP="00763F4E">
      <w:pPr>
        <w:spacing w:line="360" w:lineRule="auto"/>
        <w:jc w:val="center"/>
        <w:rPr>
          <w:rFonts w:ascii="Arial" w:eastAsia="Cambria" w:hAnsi="Arial" w:cs="Arial"/>
          <w:b/>
          <w:sz w:val="24"/>
          <w:szCs w:val="24"/>
        </w:rPr>
      </w:pPr>
      <w:r w:rsidRPr="009B4C99">
        <w:rPr>
          <w:rFonts w:ascii="Arial" w:eastAsia="Cambria" w:hAnsi="Arial" w:cs="Arial"/>
          <w:b/>
          <w:sz w:val="24"/>
          <w:szCs w:val="24"/>
        </w:rPr>
        <w:t>GENEVA</w:t>
      </w:r>
    </w:p>
    <w:p w:rsidR="00763F4E" w:rsidRPr="009B4C99" w:rsidRDefault="00763F4E" w:rsidP="00763F4E">
      <w:pPr>
        <w:spacing w:line="360" w:lineRule="auto"/>
        <w:jc w:val="center"/>
        <w:rPr>
          <w:rFonts w:ascii="Arial" w:eastAsia="Cambria" w:hAnsi="Arial" w:cs="Arial"/>
          <w:b/>
          <w:sz w:val="24"/>
          <w:szCs w:val="24"/>
        </w:rPr>
      </w:pPr>
    </w:p>
    <w:p w:rsidR="00763F4E" w:rsidRPr="009B4C99" w:rsidRDefault="00763F4E" w:rsidP="00763F4E">
      <w:pPr>
        <w:spacing w:line="360" w:lineRule="auto"/>
        <w:jc w:val="center"/>
        <w:rPr>
          <w:rFonts w:ascii="Arial" w:eastAsia="Cambria" w:hAnsi="Arial" w:cs="Arial"/>
          <w:b/>
          <w:sz w:val="24"/>
          <w:szCs w:val="24"/>
        </w:rPr>
      </w:pPr>
      <w:r w:rsidRPr="009B4C99">
        <w:rPr>
          <w:rFonts w:ascii="Arial" w:eastAsia="Cambria" w:hAnsi="Arial" w:cs="Arial"/>
          <w:b/>
          <w:sz w:val="24"/>
          <w:szCs w:val="24"/>
        </w:rPr>
        <w:t>PREAMBLE</w:t>
      </w:r>
      <w:r w:rsidR="009144FC">
        <w:rPr>
          <w:rFonts w:ascii="Arial" w:eastAsia="Cambria" w:hAnsi="Arial" w:cs="Arial"/>
          <w:b/>
          <w:sz w:val="24"/>
          <w:szCs w:val="24"/>
        </w:rPr>
        <w:t>, 14,</w:t>
      </w:r>
      <w:r w:rsidR="00C533C1">
        <w:rPr>
          <w:rFonts w:ascii="Arial" w:eastAsia="Cambria" w:hAnsi="Arial" w:cs="Arial"/>
          <w:b/>
          <w:sz w:val="24"/>
          <w:szCs w:val="24"/>
        </w:rPr>
        <w:t xml:space="preserve"> </w:t>
      </w:r>
      <w:r w:rsidR="009144FC">
        <w:rPr>
          <w:rFonts w:ascii="Arial" w:eastAsia="Cambria" w:hAnsi="Arial" w:cs="Arial"/>
          <w:b/>
          <w:sz w:val="24"/>
          <w:szCs w:val="24"/>
        </w:rPr>
        <w:t>15</w:t>
      </w:r>
    </w:p>
    <w:p w:rsidR="00763F4E" w:rsidRPr="009B4C99" w:rsidRDefault="00763F4E" w:rsidP="00763F4E">
      <w:pPr>
        <w:spacing w:line="360" w:lineRule="auto"/>
        <w:jc w:val="center"/>
        <w:rPr>
          <w:rFonts w:ascii="Arial" w:eastAsia="Cambria" w:hAnsi="Arial" w:cs="Arial"/>
          <w:b/>
          <w:sz w:val="24"/>
          <w:szCs w:val="24"/>
        </w:rPr>
      </w:pPr>
      <w:r w:rsidRPr="009B4C99">
        <w:rPr>
          <w:rFonts w:ascii="Arial" w:eastAsia="Cambria" w:hAnsi="Arial" w:cs="Arial"/>
          <w:b/>
          <w:sz w:val="24"/>
          <w:szCs w:val="24"/>
        </w:rPr>
        <w:t>18 October 2018</w:t>
      </w:r>
    </w:p>
    <w:p w:rsidR="00763F4E" w:rsidRPr="009B4C99" w:rsidRDefault="00763F4E" w:rsidP="00763F4E">
      <w:pPr>
        <w:spacing w:line="360" w:lineRule="auto"/>
        <w:jc w:val="right"/>
        <w:rPr>
          <w:rFonts w:ascii="Arial" w:eastAsia="Cambria" w:hAnsi="Arial" w:cs="Arial"/>
          <w:b/>
          <w:sz w:val="24"/>
          <w:szCs w:val="24"/>
        </w:rPr>
      </w:pPr>
    </w:p>
    <w:p w:rsidR="00E961C8" w:rsidRPr="009B4C99" w:rsidRDefault="00E961C8" w:rsidP="00763F4E">
      <w:pPr>
        <w:spacing w:line="360" w:lineRule="auto"/>
        <w:jc w:val="right"/>
        <w:rPr>
          <w:rFonts w:ascii="Arial" w:eastAsia="Cambria" w:hAnsi="Arial" w:cs="Arial"/>
          <w:b/>
          <w:sz w:val="24"/>
          <w:szCs w:val="24"/>
        </w:rPr>
      </w:pPr>
    </w:p>
    <w:p w:rsidR="00E961C8" w:rsidRPr="009B4C99" w:rsidRDefault="00E961C8" w:rsidP="00763F4E">
      <w:pPr>
        <w:spacing w:line="360" w:lineRule="auto"/>
        <w:jc w:val="right"/>
        <w:rPr>
          <w:rFonts w:ascii="Arial" w:eastAsia="Cambria" w:hAnsi="Arial" w:cs="Arial"/>
          <w:b/>
          <w:sz w:val="24"/>
          <w:szCs w:val="24"/>
        </w:rPr>
      </w:pPr>
    </w:p>
    <w:p w:rsidR="00763F4E" w:rsidRPr="009B4C99" w:rsidRDefault="00697922" w:rsidP="00763F4E">
      <w:pPr>
        <w:spacing w:line="360" w:lineRule="auto"/>
        <w:jc w:val="right"/>
        <w:rPr>
          <w:rFonts w:ascii="Arial" w:eastAsia="Cambria" w:hAnsi="Arial" w:cs="Arial"/>
          <w:b/>
          <w:sz w:val="24"/>
          <w:szCs w:val="24"/>
        </w:rPr>
      </w:pPr>
      <w:r>
        <w:rPr>
          <w:rFonts w:ascii="Arial" w:eastAsia="Cambria" w:hAnsi="Arial" w:cs="Arial"/>
          <w:b/>
          <w:sz w:val="24"/>
          <w:szCs w:val="24"/>
        </w:rPr>
        <w:t xml:space="preserve">                                                                                                                                                                                                                                                                                                                                                                                                                                                                                                                                                                                                                                                                                                                                                                                                                                                                                                                                          </w:t>
      </w:r>
      <w:r w:rsidR="00763F4E" w:rsidRPr="009B4C99">
        <w:rPr>
          <w:rFonts w:ascii="Arial" w:eastAsia="Cambria" w:hAnsi="Arial" w:cs="Arial"/>
          <w:b/>
          <w:sz w:val="24"/>
          <w:szCs w:val="24"/>
        </w:rPr>
        <w:t>Check against delivery</w:t>
      </w:r>
    </w:p>
    <w:p w:rsidR="00763F4E" w:rsidRPr="009B4C99" w:rsidRDefault="00763F4E" w:rsidP="00763F4E">
      <w:pPr>
        <w:jc w:val="both"/>
        <w:rPr>
          <w:rFonts w:ascii="Arial" w:eastAsia="Cambria" w:hAnsi="Arial" w:cs="Arial"/>
          <w:b/>
          <w:sz w:val="24"/>
          <w:szCs w:val="24"/>
        </w:rPr>
      </w:pPr>
    </w:p>
    <w:p w:rsidR="00763F4E" w:rsidRPr="009B4C99" w:rsidRDefault="00763F4E" w:rsidP="00763F4E">
      <w:pPr>
        <w:jc w:val="both"/>
        <w:rPr>
          <w:rFonts w:ascii="Arial" w:eastAsia="Cambria" w:hAnsi="Arial" w:cs="Arial"/>
          <w:b/>
          <w:sz w:val="24"/>
          <w:szCs w:val="24"/>
        </w:rPr>
      </w:pPr>
    </w:p>
    <w:p w:rsidR="00FB0BB1" w:rsidRPr="009B4C99" w:rsidRDefault="00763F4E" w:rsidP="00763F4E">
      <w:pPr>
        <w:spacing w:line="360" w:lineRule="auto"/>
        <w:jc w:val="both"/>
        <w:rPr>
          <w:rFonts w:ascii="Arial" w:hAnsi="Arial" w:cs="Arial"/>
          <w:sz w:val="24"/>
          <w:szCs w:val="24"/>
        </w:rPr>
      </w:pPr>
      <w:r w:rsidRPr="009B4C99">
        <w:rPr>
          <w:rFonts w:ascii="Arial" w:hAnsi="Arial" w:cs="Arial"/>
          <w:sz w:val="24"/>
          <w:szCs w:val="24"/>
        </w:rPr>
        <w:t>Chairperson,</w:t>
      </w:r>
    </w:p>
    <w:p w:rsidR="00BC775F" w:rsidRPr="009B4C99" w:rsidRDefault="00BC775F" w:rsidP="00763F4E">
      <w:pPr>
        <w:spacing w:line="360" w:lineRule="auto"/>
        <w:jc w:val="both"/>
        <w:rPr>
          <w:rFonts w:ascii="Arial" w:hAnsi="Arial" w:cs="Arial"/>
          <w:sz w:val="24"/>
          <w:szCs w:val="24"/>
        </w:rPr>
      </w:pPr>
    </w:p>
    <w:p w:rsidR="00763F4E" w:rsidRPr="009B4C99" w:rsidRDefault="00FB0BB1" w:rsidP="00763F4E">
      <w:pPr>
        <w:spacing w:line="360" w:lineRule="auto"/>
        <w:jc w:val="both"/>
        <w:rPr>
          <w:rFonts w:ascii="Arial" w:hAnsi="Arial" w:cs="Arial"/>
          <w:b/>
          <w:sz w:val="24"/>
          <w:szCs w:val="24"/>
          <w:u w:val="single"/>
        </w:rPr>
      </w:pPr>
      <w:r w:rsidRPr="009B4C99">
        <w:rPr>
          <w:rFonts w:ascii="Arial" w:hAnsi="Arial" w:cs="Arial"/>
          <w:b/>
          <w:sz w:val="24"/>
          <w:szCs w:val="24"/>
          <w:u w:val="single"/>
        </w:rPr>
        <w:t>Preamble</w:t>
      </w:r>
    </w:p>
    <w:p w:rsidR="002E1671" w:rsidRPr="009B4C99" w:rsidRDefault="002E1671" w:rsidP="00763F4E">
      <w:pPr>
        <w:spacing w:line="360" w:lineRule="auto"/>
        <w:jc w:val="both"/>
        <w:rPr>
          <w:rFonts w:ascii="Arial" w:hAnsi="Arial" w:cs="Arial"/>
          <w:b/>
          <w:sz w:val="24"/>
          <w:szCs w:val="24"/>
          <w:u w:val="single"/>
        </w:rPr>
      </w:pPr>
    </w:p>
    <w:p w:rsidR="009B4C99" w:rsidRDefault="00763F4E" w:rsidP="00763F4E">
      <w:pPr>
        <w:pStyle w:val="ListParagraph"/>
        <w:numPr>
          <w:ilvl w:val="0"/>
          <w:numId w:val="6"/>
        </w:numPr>
        <w:spacing w:line="360" w:lineRule="auto"/>
        <w:jc w:val="both"/>
        <w:rPr>
          <w:rFonts w:ascii="Arial" w:hAnsi="Arial" w:cs="Arial"/>
          <w:sz w:val="24"/>
          <w:szCs w:val="24"/>
        </w:rPr>
      </w:pPr>
      <w:r w:rsidRPr="009B4C99">
        <w:rPr>
          <w:rFonts w:ascii="Arial" w:hAnsi="Arial" w:cs="Arial"/>
          <w:sz w:val="24"/>
          <w:szCs w:val="24"/>
        </w:rPr>
        <w:t xml:space="preserve">This Working Group derives its mandate from Resolution 26/9 which stipulates that this Working Group will elaborate an international legally binding instrument for transnational corporations and other business enterprises. The resolution acknowledged that TNCs </w:t>
      </w:r>
      <w:r w:rsidRPr="009B4C99">
        <w:rPr>
          <w:rFonts w:ascii="Arial" w:hAnsi="Arial" w:cs="Arial"/>
          <w:sz w:val="24"/>
          <w:szCs w:val="24"/>
        </w:rPr>
        <w:lastRenderedPageBreak/>
        <w:t>and OBEs have a responsibility to respect human rights and this instrument would regulate the activities of these entities in International Human Rights Law.</w:t>
      </w:r>
    </w:p>
    <w:p w:rsidR="009B4C99" w:rsidRDefault="009B4C99" w:rsidP="009B4C99">
      <w:pPr>
        <w:pStyle w:val="ListParagraph"/>
        <w:spacing w:line="360" w:lineRule="auto"/>
        <w:jc w:val="both"/>
        <w:rPr>
          <w:rFonts w:ascii="Arial" w:hAnsi="Arial" w:cs="Arial"/>
          <w:sz w:val="24"/>
          <w:szCs w:val="24"/>
        </w:rPr>
      </w:pPr>
    </w:p>
    <w:p w:rsidR="00763F4E" w:rsidRPr="009B4C99" w:rsidRDefault="00763F4E" w:rsidP="00763F4E">
      <w:pPr>
        <w:pStyle w:val="ListParagraph"/>
        <w:numPr>
          <w:ilvl w:val="0"/>
          <w:numId w:val="6"/>
        </w:numPr>
        <w:spacing w:line="360" w:lineRule="auto"/>
        <w:jc w:val="both"/>
        <w:rPr>
          <w:rFonts w:ascii="Arial" w:hAnsi="Arial" w:cs="Arial"/>
          <w:sz w:val="24"/>
          <w:szCs w:val="24"/>
        </w:rPr>
      </w:pPr>
      <w:r w:rsidRPr="009B4C99">
        <w:rPr>
          <w:rFonts w:ascii="Arial" w:hAnsi="Arial" w:cs="Arial"/>
          <w:sz w:val="24"/>
          <w:szCs w:val="24"/>
        </w:rPr>
        <w:t xml:space="preserve">My delegation is concerned that the Preamble of this draft </w:t>
      </w:r>
      <w:r w:rsidR="00F4564E">
        <w:rPr>
          <w:rFonts w:ascii="Arial" w:hAnsi="Arial" w:cs="Arial"/>
          <w:sz w:val="24"/>
          <w:szCs w:val="24"/>
        </w:rPr>
        <w:t xml:space="preserve">falls short of ensuring </w:t>
      </w:r>
      <w:r w:rsidRPr="009B4C99">
        <w:rPr>
          <w:rFonts w:ascii="Arial" w:hAnsi="Arial" w:cs="Arial"/>
          <w:sz w:val="24"/>
          <w:szCs w:val="24"/>
        </w:rPr>
        <w:t xml:space="preserve">the </w:t>
      </w:r>
      <w:r w:rsidR="00F4564E">
        <w:rPr>
          <w:rFonts w:ascii="Arial" w:hAnsi="Arial" w:cs="Arial"/>
          <w:sz w:val="24"/>
          <w:szCs w:val="24"/>
        </w:rPr>
        <w:t>obligations of</w:t>
      </w:r>
      <w:r w:rsidRPr="009B4C99">
        <w:rPr>
          <w:rFonts w:ascii="Arial" w:hAnsi="Arial" w:cs="Arial"/>
          <w:sz w:val="24"/>
          <w:szCs w:val="24"/>
        </w:rPr>
        <w:t xml:space="preserve"> the TNCs. In this regard, the Preamble should include the following:</w:t>
      </w:r>
    </w:p>
    <w:p w:rsidR="00E961C8" w:rsidRPr="009B4C99" w:rsidRDefault="00E961C8" w:rsidP="00763F4E">
      <w:pPr>
        <w:spacing w:line="360" w:lineRule="auto"/>
        <w:jc w:val="both"/>
        <w:rPr>
          <w:rFonts w:ascii="Arial" w:hAnsi="Arial" w:cs="Arial"/>
          <w:sz w:val="24"/>
          <w:szCs w:val="24"/>
        </w:rPr>
      </w:pPr>
    </w:p>
    <w:p w:rsidR="00E961C8" w:rsidRPr="009B4C99" w:rsidRDefault="00763F4E" w:rsidP="00763F4E">
      <w:pPr>
        <w:pStyle w:val="ListParagraph"/>
        <w:numPr>
          <w:ilvl w:val="0"/>
          <w:numId w:val="1"/>
        </w:numPr>
        <w:spacing w:line="360" w:lineRule="auto"/>
        <w:jc w:val="both"/>
        <w:rPr>
          <w:rFonts w:ascii="Arial" w:hAnsi="Arial" w:cs="Arial"/>
          <w:sz w:val="24"/>
          <w:szCs w:val="24"/>
        </w:rPr>
      </w:pPr>
      <w:r w:rsidRPr="009B4C99">
        <w:rPr>
          <w:rFonts w:ascii="Arial" w:hAnsi="Arial" w:cs="Arial"/>
          <w:sz w:val="24"/>
          <w:szCs w:val="24"/>
        </w:rPr>
        <w:t>Recalling the UN Charter in its totality</w:t>
      </w:r>
      <w:r w:rsidR="00C533C1">
        <w:rPr>
          <w:rFonts w:ascii="Arial" w:hAnsi="Arial" w:cs="Arial"/>
          <w:sz w:val="24"/>
          <w:szCs w:val="24"/>
        </w:rPr>
        <w:t>;</w:t>
      </w:r>
      <w:r w:rsidRPr="009B4C99">
        <w:rPr>
          <w:rFonts w:ascii="Arial" w:hAnsi="Arial" w:cs="Arial"/>
          <w:sz w:val="24"/>
          <w:szCs w:val="24"/>
        </w:rPr>
        <w:t xml:space="preserve"> </w:t>
      </w:r>
    </w:p>
    <w:p w:rsidR="009B4C99" w:rsidRPr="009B4C99" w:rsidRDefault="00763F4E" w:rsidP="009B4C99">
      <w:pPr>
        <w:pStyle w:val="ListParagraph"/>
        <w:numPr>
          <w:ilvl w:val="0"/>
          <w:numId w:val="1"/>
        </w:numPr>
        <w:spacing w:line="360" w:lineRule="auto"/>
        <w:jc w:val="both"/>
        <w:rPr>
          <w:rFonts w:ascii="Arial" w:hAnsi="Arial" w:cs="Arial"/>
          <w:sz w:val="24"/>
          <w:szCs w:val="24"/>
        </w:rPr>
      </w:pPr>
      <w:r w:rsidRPr="009B4C99">
        <w:rPr>
          <w:rFonts w:ascii="Arial" w:hAnsi="Arial" w:cs="Arial"/>
          <w:sz w:val="24"/>
          <w:szCs w:val="24"/>
        </w:rPr>
        <w:t xml:space="preserve">Recalling the outcomes of the all major conferences and summits in this field including the </w:t>
      </w:r>
      <w:r w:rsidR="00C533C1">
        <w:rPr>
          <w:rFonts w:ascii="Arial" w:hAnsi="Arial" w:cs="Arial"/>
          <w:sz w:val="24"/>
          <w:szCs w:val="24"/>
        </w:rPr>
        <w:t>UDHR, VDPA,</w:t>
      </w:r>
      <w:r w:rsidRPr="009B4C99">
        <w:rPr>
          <w:rFonts w:ascii="Arial" w:hAnsi="Arial" w:cs="Arial"/>
          <w:sz w:val="24"/>
          <w:szCs w:val="24"/>
        </w:rPr>
        <w:t xml:space="preserve"> DDPA in relation to the cardinal </w:t>
      </w:r>
      <w:r w:rsidR="00C533C1">
        <w:rPr>
          <w:rFonts w:ascii="Arial" w:hAnsi="Arial" w:cs="Arial"/>
          <w:sz w:val="24"/>
          <w:szCs w:val="24"/>
        </w:rPr>
        <w:t>principle of non-discrimination;</w:t>
      </w:r>
    </w:p>
    <w:p w:rsidR="009B4C99" w:rsidRPr="009B4C99" w:rsidRDefault="009B4C99" w:rsidP="009B4C99">
      <w:pPr>
        <w:pStyle w:val="ListParagraph"/>
        <w:numPr>
          <w:ilvl w:val="0"/>
          <w:numId w:val="1"/>
        </w:numPr>
        <w:spacing w:line="360" w:lineRule="auto"/>
        <w:jc w:val="both"/>
        <w:rPr>
          <w:rFonts w:ascii="Arial" w:hAnsi="Arial" w:cs="Arial"/>
          <w:sz w:val="24"/>
          <w:szCs w:val="24"/>
        </w:rPr>
      </w:pPr>
      <w:r w:rsidRPr="009B4C99">
        <w:rPr>
          <w:rFonts w:ascii="Arial" w:hAnsi="Arial" w:cs="Arial"/>
          <w:iCs/>
          <w:color w:val="000000"/>
          <w:spacing w:val="-4"/>
          <w:sz w:val="24"/>
          <w:szCs w:val="24"/>
        </w:rPr>
        <w:t xml:space="preserve">Strongly underlines that the phenomenon of globalisation and its negative impact on the economies of the developing countries has brought about disparities in the equitable sharing of the benefits of globalisation and emphasises </w:t>
      </w:r>
      <w:r w:rsidRPr="009B4C99">
        <w:rPr>
          <w:rFonts w:ascii="Arial" w:hAnsi="Arial" w:cs="Arial"/>
          <w:iCs/>
          <w:color w:val="000000"/>
          <w:spacing w:val="-4"/>
          <w:sz w:val="24"/>
          <w:szCs w:val="24"/>
        </w:rPr>
        <w:t xml:space="preserve">the imperative need to </w:t>
      </w:r>
      <w:r w:rsidRPr="009B4C99">
        <w:rPr>
          <w:rFonts w:ascii="Arial" w:hAnsi="Arial" w:cs="Arial"/>
          <w:iCs/>
          <w:color w:val="000000"/>
          <w:spacing w:val="-4"/>
          <w:sz w:val="24"/>
          <w:szCs w:val="24"/>
        </w:rPr>
        <w:t>mitigate the challenges of poverty and underdevelopment, the realisation of the unfinished Millennium Development Goals and the need to make the Right to Development and the 2030 Agenda for Sustainable Development a reality for everyone,</w:t>
      </w:r>
    </w:p>
    <w:p w:rsidR="009B4C99" w:rsidRDefault="00763F4E" w:rsidP="009B4C99">
      <w:pPr>
        <w:pStyle w:val="ListParagraph"/>
        <w:numPr>
          <w:ilvl w:val="0"/>
          <w:numId w:val="1"/>
        </w:numPr>
        <w:spacing w:line="360" w:lineRule="auto"/>
        <w:jc w:val="both"/>
        <w:rPr>
          <w:rFonts w:ascii="Arial" w:hAnsi="Arial" w:cs="Arial"/>
          <w:sz w:val="24"/>
          <w:szCs w:val="24"/>
        </w:rPr>
      </w:pPr>
      <w:r w:rsidRPr="009B4C99">
        <w:rPr>
          <w:rFonts w:ascii="Arial" w:hAnsi="Arial" w:cs="Arial"/>
          <w:sz w:val="24"/>
          <w:szCs w:val="24"/>
        </w:rPr>
        <w:t>Underlining the void that exists in the International Human Rights Law</w:t>
      </w:r>
      <w:r w:rsidR="00DC02D5" w:rsidRPr="009B4C99">
        <w:rPr>
          <w:rFonts w:ascii="Arial" w:hAnsi="Arial" w:cs="Arial"/>
          <w:sz w:val="24"/>
          <w:szCs w:val="24"/>
        </w:rPr>
        <w:t xml:space="preserve"> and Humanitarian Law </w:t>
      </w:r>
      <w:r w:rsidRPr="009B4C99">
        <w:rPr>
          <w:rFonts w:ascii="Arial" w:hAnsi="Arial" w:cs="Arial"/>
          <w:sz w:val="24"/>
          <w:szCs w:val="24"/>
        </w:rPr>
        <w:t>that leaves these entities unregulated, leading to lack of uniformity</w:t>
      </w:r>
      <w:r w:rsidR="00C533C1">
        <w:rPr>
          <w:rFonts w:ascii="Arial" w:hAnsi="Arial" w:cs="Arial"/>
          <w:sz w:val="24"/>
          <w:szCs w:val="24"/>
        </w:rPr>
        <w:t>;</w:t>
      </w:r>
    </w:p>
    <w:p w:rsidR="00763F4E" w:rsidRPr="009B4C99" w:rsidRDefault="009B4C99" w:rsidP="009B4C99">
      <w:pPr>
        <w:pStyle w:val="ListParagraph"/>
        <w:numPr>
          <w:ilvl w:val="0"/>
          <w:numId w:val="1"/>
        </w:numPr>
        <w:spacing w:line="360" w:lineRule="auto"/>
        <w:jc w:val="both"/>
        <w:rPr>
          <w:rFonts w:ascii="Arial" w:hAnsi="Arial" w:cs="Arial"/>
          <w:sz w:val="24"/>
          <w:szCs w:val="24"/>
        </w:rPr>
      </w:pPr>
      <w:r w:rsidRPr="009B4C99">
        <w:rPr>
          <w:rFonts w:ascii="Arial" w:hAnsi="Arial" w:cs="Arial"/>
          <w:iCs/>
          <w:sz w:val="24"/>
          <w:szCs w:val="24"/>
        </w:rPr>
        <w:t xml:space="preserve">Underlines the need for TNCs and Other Business Enterprises to be held accountable in international human rights and humanitarian law for human rights </w:t>
      </w:r>
      <w:r w:rsidRPr="009B4C99">
        <w:rPr>
          <w:rFonts w:ascii="Arial" w:hAnsi="Arial" w:cs="Arial"/>
          <w:iCs/>
          <w:sz w:val="24"/>
          <w:szCs w:val="24"/>
        </w:rPr>
        <w:t xml:space="preserve">abuses </w:t>
      </w:r>
      <w:r w:rsidRPr="009B4C99">
        <w:rPr>
          <w:rFonts w:ascii="Arial" w:hAnsi="Arial" w:cs="Arial"/>
          <w:iCs/>
          <w:sz w:val="24"/>
          <w:szCs w:val="24"/>
        </w:rPr>
        <w:t xml:space="preserve">violations </w:t>
      </w:r>
      <w:r w:rsidRPr="009B4C99">
        <w:rPr>
          <w:rFonts w:ascii="Arial" w:hAnsi="Arial" w:cs="Arial"/>
          <w:iCs/>
          <w:sz w:val="24"/>
          <w:szCs w:val="24"/>
        </w:rPr>
        <w:t xml:space="preserve"> and the </w:t>
      </w:r>
      <w:r w:rsidR="00763F4E" w:rsidRPr="009B4C99">
        <w:rPr>
          <w:rFonts w:ascii="Arial" w:hAnsi="Arial" w:cs="Arial"/>
          <w:sz w:val="24"/>
          <w:szCs w:val="24"/>
        </w:rPr>
        <w:t>imperative need to hol</w:t>
      </w:r>
      <w:r w:rsidR="00C533C1">
        <w:rPr>
          <w:rFonts w:ascii="Arial" w:hAnsi="Arial" w:cs="Arial"/>
          <w:sz w:val="24"/>
          <w:szCs w:val="24"/>
        </w:rPr>
        <w:t>d these entities accountable;</w:t>
      </w:r>
    </w:p>
    <w:p w:rsidR="00F1546F" w:rsidRPr="009B4C99" w:rsidRDefault="00F7330E" w:rsidP="00763F4E">
      <w:pPr>
        <w:pStyle w:val="ListParagraph"/>
        <w:numPr>
          <w:ilvl w:val="0"/>
          <w:numId w:val="1"/>
        </w:numPr>
        <w:spacing w:line="360" w:lineRule="auto"/>
        <w:jc w:val="both"/>
        <w:rPr>
          <w:rFonts w:ascii="Arial" w:hAnsi="Arial" w:cs="Arial"/>
          <w:sz w:val="24"/>
          <w:szCs w:val="24"/>
        </w:rPr>
      </w:pPr>
      <w:r w:rsidRPr="009B4C99">
        <w:rPr>
          <w:rFonts w:ascii="Arial" w:hAnsi="Arial" w:cs="Arial"/>
          <w:sz w:val="24"/>
          <w:szCs w:val="24"/>
        </w:rPr>
        <w:t xml:space="preserve">Stressing that TNCs and OBEs, irrespective of their size, sector, ownership and structure, </w:t>
      </w:r>
      <w:r w:rsidR="00F1546F" w:rsidRPr="009B4C99">
        <w:rPr>
          <w:rFonts w:ascii="Arial" w:hAnsi="Arial" w:cs="Arial"/>
          <w:sz w:val="24"/>
          <w:szCs w:val="24"/>
        </w:rPr>
        <w:t>have a duty</w:t>
      </w:r>
      <w:r w:rsidR="002E1671" w:rsidRPr="009B4C99">
        <w:rPr>
          <w:rFonts w:ascii="Arial" w:hAnsi="Arial" w:cs="Arial"/>
          <w:sz w:val="24"/>
          <w:szCs w:val="24"/>
        </w:rPr>
        <w:t xml:space="preserve"> and obligation</w:t>
      </w:r>
      <w:r w:rsidR="00F1546F" w:rsidRPr="009B4C99">
        <w:rPr>
          <w:rFonts w:ascii="Arial" w:hAnsi="Arial" w:cs="Arial"/>
          <w:sz w:val="24"/>
          <w:szCs w:val="24"/>
        </w:rPr>
        <w:t xml:space="preserve"> to respect all human rights and fundamental freedoms, including in situations of armed conflict and situations of occupation</w:t>
      </w:r>
      <w:r w:rsidR="00C533C1">
        <w:rPr>
          <w:rFonts w:ascii="Arial" w:hAnsi="Arial" w:cs="Arial"/>
          <w:sz w:val="24"/>
          <w:szCs w:val="24"/>
        </w:rPr>
        <w:t>;</w:t>
      </w:r>
    </w:p>
    <w:p w:rsidR="00F1546F" w:rsidRPr="009B4C99" w:rsidRDefault="00F1546F" w:rsidP="00763F4E">
      <w:pPr>
        <w:pStyle w:val="ListParagraph"/>
        <w:numPr>
          <w:ilvl w:val="0"/>
          <w:numId w:val="1"/>
        </w:numPr>
        <w:spacing w:line="360" w:lineRule="auto"/>
        <w:jc w:val="both"/>
        <w:rPr>
          <w:rFonts w:ascii="Arial" w:hAnsi="Arial" w:cs="Arial"/>
          <w:sz w:val="24"/>
          <w:szCs w:val="24"/>
        </w:rPr>
      </w:pPr>
      <w:r w:rsidRPr="009B4C99">
        <w:rPr>
          <w:rFonts w:ascii="Arial" w:hAnsi="Arial" w:cs="Arial"/>
          <w:sz w:val="24"/>
          <w:szCs w:val="24"/>
        </w:rPr>
        <w:t xml:space="preserve">Underlining the positive contribution TNCs and OBEs </w:t>
      </w:r>
      <w:r w:rsidR="00FB0BB1" w:rsidRPr="009B4C99">
        <w:rPr>
          <w:rFonts w:ascii="Arial" w:hAnsi="Arial" w:cs="Arial"/>
          <w:sz w:val="24"/>
          <w:szCs w:val="24"/>
        </w:rPr>
        <w:t>should</w:t>
      </w:r>
      <w:r w:rsidRPr="009B4C99">
        <w:rPr>
          <w:rFonts w:ascii="Arial" w:hAnsi="Arial" w:cs="Arial"/>
          <w:sz w:val="24"/>
          <w:szCs w:val="24"/>
        </w:rPr>
        <w:t xml:space="preserve"> make to ensure </w:t>
      </w:r>
      <w:r w:rsidR="00FB0BB1" w:rsidRPr="009B4C99">
        <w:rPr>
          <w:rFonts w:ascii="Arial" w:hAnsi="Arial" w:cs="Arial"/>
          <w:sz w:val="24"/>
          <w:szCs w:val="24"/>
        </w:rPr>
        <w:t xml:space="preserve">the means of implementation for the realization of human rights and </w:t>
      </w:r>
      <w:r w:rsidRPr="009B4C99">
        <w:rPr>
          <w:rFonts w:ascii="Arial" w:hAnsi="Arial" w:cs="Arial"/>
          <w:sz w:val="24"/>
          <w:szCs w:val="24"/>
        </w:rPr>
        <w:t>sustainable development</w:t>
      </w:r>
      <w:r w:rsidR="00C533C1">
        <w:rPr>
          <w:rFonts w:ascii="Arial" w:hAnsi="Arial" w:cs="Arial"/>
          <w:sz w:val="24"/>
          <w:szCs w:val="24"/>
        </w:rPr>
        <w:t>;</w:t>
      </w:r>
    </w:p>
    <w:p w:rsidR="00763F4E" w:rsidRPr="009B4C99" w:rsidRDefault="00FB0BB1" w:rsidP="009B4C99">
      <w:pPr>
        <w:pStyle w:val="ListParagraph"/>
        <w:numPr>
          <w:ilvl w:val="0"/>
          <w:numId w:val="1"/>
        </w:numPr>
        <w:spacing w:line="360" w:lineRule="auto"/>
        <w:jc w:val="both"/>
        <w:rPr>
          <w:rFonts w:ascii="Arial" w:hAnsi="Arial" w:cs="Arial"/>
          <w:sz w:val="24"/>
          <w:szCs w:val="24"/>
        </w:rPr>
      </w:pPr>
      <w:r w:rsidRPr="009B4C99">
        <w:rPr>
          <w:rFonts w:ascii="Arial" w:hAnsi="Arial" w:cs="Arial"/>
          <w:sz w:val="24"/>
          <w:szCs w:val="24"/>
        </w:rPr>
        <w:t xml:space="preserve">We agree </w:t>
      </w:r>
      <w:r w:rsidR="00BC775F" w:rsidRPr="009B4C99">
        <w:rPr>
          <w:rFonts w:ascii="Arial" w:hAnsi="Arial" w:cs="Arial"/>
          <w:sz w:val="24"/>
          <w:szCs w:val="24"/>
        </w:rPr>
        <w:t>with many speakers that the rights of women and children be central to the treaty</w:t>
      </w:r>
      <w:r w:rsidR="00C533C1">
        <w:rPr>
          <w:rFonts w:ascii="Arial" w:hAnsi="Arial" w:cs="Arial"/>
          <w:sz w:val="24"/>
          <w:szCs w:val="24"/>
        </w:rPr>
        <w:t>.</w:t>
      </w:r>
      <w:r w:rsidR="00BC775F" w:rsidRPr="009B4C99">
        <w:rPr>
          <w:rFonts w:ascii="Arial" w:hAnsi="Arial" w:cs="Arial"/>
          <w:sz w:val="24"/>
          <w:szCs w:val="24"/>
        </w:rPr>
        <w:t xml:space="preserve"> </w:t>
      </w:r>
    </w:p>
    <w:p w:rsidR="009B4C99" w:rsidRPr="009B4C99" w:rsidRDefault="009B4C99" w:rsidP="009B4C99">
      <w:pPr>
        <w:pStyle w:val="ListParagraph"/>
        <w:spacing w:line="360" w:lineRule="auto"/>
        <w:jc w:val="both"/>
        <w:rPr>
          <w:rFonts w:ascii="Arial" w:hAnsi="Arial" w:cs="Arial"/>
          <w:sz w:val="24"/>
          <w:szCs w:val="24"/>
        </w:rPr>
      </w:pPr>
    </w:p>
    <w:p w:rsidR="00763F4E" w:rsidRPr="009B4C99" w:rsidRDefault="00FB0BB1" w:rsidP="00FB0BB1">
      <w:pPr>
        <w:spacing w:line="360" w:lineRule="auto"/>
        <w:rPr>
          <w:rFonts w:ascii="Arial" w:eastAsia="Cambria" w:hAnsi="Arial" w:cs="Arial"/>
          <w:b/>
          <w:sz w:val="24"/>
          <w:szCs w:val="24"/>
          <w:u w:val="single"/>
        </w:rPr>
      </w:pPr>
      <w:r w:rsidRPr="009B4C99">
        <w:rPr>
          <w:rFonts w:ascii="Arial" w:eastAsia="Cambria" w:hAnsi="Arial" w:cs="Arial"/>
          <w:b/>
          <w:sz w:val="24"/>
          <w:szCs w:val="24"/>
          <w:u w:val="single"/>
        </w:rPr>
        <w:t xml:space="preserve">ON </w:t>
      </w:r>
      <w:r w:rsidR="00763F4E" w:rsidRPr="009B4C99">
        <w:rPr>
          <w:rFonts w:ascii="Arial" w:eastAsia="Cambria" w:hAnsi="Arial" w:cs="Arial"/>
          <w:b/>
          <w:sz w:val="24"/>
          <w:szCs w:val="24"/>
          <w:u w:val="single"/>
        </w:rPr>
        <w:t>ARTICLE 14</w:t>
      </w:r>
    </w:p>
    <w:p w:rsidR="00E961C8" w:rsidRPr="009B4C99" w:rsidRDefault="00E961C8" w:rsidP="00763F4E">
      <w:pPr>
        <w:spacing w:line="360" w:lineRule="auto"/>
        <w:rPr>
          <w:rFonts w:ascii="Arial" w:hAnsi="Arial" w:cs="Arial"/>
          <w:sz w:val="24"/>
          <w:szCs w:val="24"/>
        </w:rPr>
      </w:pPr>
    </w:p>
    <w:p w:rsidR="00F4564E" w:rsidRDefault="00A17A1D" w:rsidP="002D4409">
      <w:pPr>
        <w:pStyle w:val="ListParagraph"/>
        <w:numPr>
          <w:ilvl w:val="0"/>
          <w:numId w:val="7"/>
        </w:numPr>
        <w:spacing w:line="360" w:lineRule="auto"/>
        <w:jc w:val="both"/>
        <w:rPr>
          <w:rFonts w:ascii="Arial" w:hAnsi="Arial" w:cs="Arial"/>
          <w:sz w:val="24"/>
          <w:szCs w:val="24"/>
        </w:rPr>
      </w:pPr>
      <w:r w:rsidRPr="00F4564E">
        <w:rPr>
          <w:rFonts w:ascii="Arial" w:hAnsi="Arial" w:cs="Arial"/>
          <w:sz w:val="24"/>
          <w:szCs w:val="24"/>
        </w:rPr>
        <w:t>My delegation notes the creation of the Committee.</w:t>
      </w:r>
      <w:r w:rsidR="00FB0BB1" w:rsidRPr="00F4564E">
        <w:rPr>
          <w:rFonts w:ascii="Arial" w:hAnsi="Arial" w:cs="Arial"/>
          <w:sz w:val="24"/>
          <w:szCs w:val="24"/>
        </w:rPr>
        <w:t xml:space="preserve"> A Treaty Monitoring Body with full mandate to issue urgent communications and undertake investigative enquiries into territories where consistent patterns of violations are reported is just one mechanism. This working group should interrogate how a prosecutorial mechanism at the international level to adjudicate on allegations of grave and serious violations could be included i</w:t>
      </w:r>
      <w:r w:rsidR="00BC775F" w:rsidRPr="00F4564E">
        <w:rPr>
          <w:rFonts w:ascii="Arial" w:hAnsi="Arial" w:cs="Arial"/>
          <w:sz w:val="24"/>
          <w:szCs w:val="24"/>
        </w:rPr>
        <w:t xml:space="preserve">n the treaty and how such a </w:t>
      </w:r>
      <w:r w:rsidR="00FB0BB1" w:rsidRPr="00F4564E">
        <w:rPr>
          <w:rFonts w:ascii="Arial" w:hAnsi="Arial" w:cs="Arial"/>
          <w:sz w:val="24"/>
          <w:szCs w:val="24"/>
        </w:rPr>
        <w:t xml:space="preserve">binding international mechanism of judicial control to end corporate impunity </w:t>
      </w:r>
      <w:r w:rsidR="00BC775F" w:rsidRPr="00F4564E">
        <w:rPr>
          <w:rFonts w:ascii="Arial" w:hAnsi="Arial" w:cs="Arial"/>
          <w:sz w:val="24"/>
          <w:szCs w:val="24"/>
        </w:rPr>
        <w:t>should</w:t>
      </w:r>
      <w:r w:rsidR="00FB0BB1" w:rsidRPr="00F4564E">
        <w:rPr>
          <w:rFonts w:ascii="Arial" w:hAnsi="Arial" w:cs="Arial"/>
          <w:sz w:val="24"/>
          <w:szCs w:val="24"/>
        </w:rPr>
        <w:t xml:space="preserve"> be considered. </w:t>
      </w:r>
    </w:p>
    <w:p w:rsidR="00F4564E" w:rsidRDefault="00F4564E" w:rsidP="00F4564E">
      <w:pPr>
        <w:pStyle w:val="ListParagraph"/>
        <w:spacing w:line="360" w:lineRule="auto"/>
        <w:rPr>
          <w:rFonts w:ascii="Arial" w:hAnsi="Arial" w:cs="Arial"/>
          <w:sz w:val="24"/>
          <w:szCs w:val="24"/>
        </w:rPr>
      </w:pPr>
    </w:p>
    <w:p w:rsidR="00FB0BB1" w:rsidRDefault="00A17A1D" w:rsidP="00C533C1">
      <w:pPr>
        <w:pStyle w:val="ListParagraph"/>
        <w:numPr>
          <w:ilvl w:val="0"/>
          <w:numId w:val="7"/>
        </w:numPr>
        <w:spacing w:line="360" w:lineRule="auto"/>
        <w:rPr>
          <w:rFonts w:ascii="Arial" w:hAnsi="Arial" w:cs="Arial"/>
          <w:sz w:val="24"/>
          <w:szCs w:val="24"/>
        </w:rPr>
      </w:pPr>
      <w:r w:rsidRPr="00F4564E">
        <w:rPr>
          <w:rFonts w:ascii="Arial" w:hAnsi="Arial" w:cs="Arial"/>
          <w:sz w:val="24"/>
          <w:szCs w:val="24"/>
        </w:rPr>
        <w:t>In light of this, this Article must be very clear about the following provisions in relation to the Committee:</w:t>
      </w:r>
    </w:p>
    <w:p w:rsidR="00C533C1" w:rsidRPr="00C533C1" w:rsidRDefault="00C533C1" w:rsidP="00C533C1">
      <w:pPr>
        <w:spacing w:line="360" w:lineRule="auto"/>
        <w:rPr>
          <w:rFonts w:ascii="Arial" w:hAnsi="Arial" w:cs="Arial"/>
          <w:sz w:val="24"/>
          <w:szCs w:val="24"/>
        </w:rPr>
      </w:pPr>
    </w:p>
    <w:p w:rsidR="00FB0BB1" w:rsidRPr="009B4C99" w:rsidRDefault="002F1306" w:rsidP="002D4409">
      <w:pPr>
        <w:pStyle w:val="ListParagraph"/>
        <w:numPr>
          <w:ilvl w:val="0"/>
          <w:numId w:val="3"/>
        </w:numPr>
        <w:spacing w:line="360" w:lineRule="auto"/>
        <w:jc w:val="both"/>
        <w:rPr>
          <w:rFonts w:ascii="Arial" w:hAnsi="Arial" w:cs="Arial"/>
          <w:sz w:val="24"/>
          <w:szCs w:val="24"/>
        </w:rPr>
      </w:pPr>
      <w:r w:rsidRPr="009B4C99">
        <w:rPr>
          <w:rFonts w:ascii="Arial" w:hAnsi="Arial" w:cs="Arial"/>
          <w:sz w:val="24"/>
          <w:szCs w:val="24"/>
        </w:rPr>
        <w:t>The process of nominating members of the Committee should be specific and transparent. This will ensure that there is no conflict of interest a</w:t>
      </w:r>
      <w:r w:rsidR="00C533C1">
        <w:rPr>
          <w:rFonts w:ascii="Arial" w:hAnsi="Arial" w:cs="Arial"/>
          <w:sz w:val="24"/>
          <w:szCs w:val="24"/>
        </w:rPr>
        <w:t>nd bias in the members selected;</w:t>
      </w:r>
    </w:p>
    <w:p w:rsidR="00FB0BB1" w:rsidRPr="009B4C99" w:rsidRDefault="00FB0BB1" w:rsidP="002D4409">
      <w:pPr>
        <w:pStyle w:val="ListParagraph"/>
        <w:numPr>
          <w:ilvl w:val="0"/>
          <w:numId w:val="3"/>
        </w:numPr>
        <w:spacing w:line="360" w:lineRule="auto"/>
        <w:jc w:val="both"/>
        <w:rPr>
          <w:rFonts w:ascii="Arial" w:hAnsi="Arial" w:cs="Arial"/>
          <w:sz w:val="24"/>
          <w:szCs w:val="24"/>
        </w:rPr>
      </w:pPr>
      <w:r w:rsidRPr="009B4C99">
        <w:rPr>
          <w:rFonts w:ascii="Arial" w:hAnsi="Arial" w:cs="Arial"/>
          <w:sz w:val="24"/>
          <w:szCs w:val="24"/>
        </w:rPr>
        <w:t>T</w:t>
      </w:r>
      <w:r w:rsidR="00C533C1">
        <w:rPr>
          <w:rFonts w:ascii="Arial" w:hAnsi="Arial" w:cs="Arial"/>
          <w:sz w:val="24"/>
          <w:szCs w:val="24"/>
        </w:rPr>
        <w:t xml:space="preserve">he members </w:t>
      </w:r>
      <w:r w:rsidR="00104D6A" w:rsidRPr="009B4C99">
        <w:rPr>
          <w:rFonts w:ascii="Arial" w:hAnsi="Arial" w:cs="Arial"/>
          <w:sz w:val="24"/>
          <w:szCs w:val="24"/>
        </w:rPr>
        <w:t>shou</w:t>
      </w:r>
      <w:r w:rsidR="004F6CD6" w:rsidRPr="009B4C99">
        <w:rPr>
          <w:rFonts w:ascii="Arial" w:hAnsi="Arial" w:cs="Arial"/>
          <w:sz w:val="24"/>
          <w:szCs w:val="24"/>
        </w:rPr>
        <w:t>ld be given the power to hear complaints from peoples and groups of people</w:t>
      </w:r>
      <w:r w:rsidR="00C533C1">
        <w:rPr>
          <w:rFonts w:ascii="Arial" w:hAnsi="Arial" w:cs="Arial"/>
          <w:sz w:val="24"/>
          <w:szCs w:val="24"/>
        </w:rPr>
        <w:t>;</w:t>
      </w:r>
    </w:p>
    <w:p w:rsidR="00FB0BB1" w:rsidRPr="009B4C99" w:rsidRDefault="00FB0BB1" w:rsidP="002D4409">
      <w:pPr>
        <w:pStyle w:val="ListParagraph"/>
        <w:numPr>
          <w:ilvl w:val="0"/>
          <w:numId w:val="3"/>
        </w:numPr>
        <w:spacing w:line="360" w:lineRule="auto"/>
        <w:jc w:val="both"/>
        <w:rPr>
          <w:rFonts w:ascii="Arial" w:hAnsi="Arial" w:cs="Arial"/>
          <w:sz w:val="24"/>
          <w:szCs w:val="24"/>
        </w:rPr>
      </w:pPr>
      <w:r w:rsidRPr="009B4C99">
        <w:rPr>
          <w:rFonts w:ascii="Arial" w:hAnsi="Arial" w:cs="Arial"/>
          <w:sz w:val="24"/>
          <w:szCs w:val="24"/>
        </w:rPr>
        <w:t>S</w:t>
      </w:r>
      <w:r w:rsidR="004F6CD6" w:rsidRPr="009B4C99">
        <w:rPr>
          <w:rFonts w:ascii="Arial" w:hAnsi="Arial" w:cs="Arial"/>
          <w:sz w:val="24"/>
          <w:szCs w:val="24"/>
        </w:rPr>
        <w:t>hould be able to issue binding decision</w:t>
      </w:r>
      <w:r w:rsidR="00C533C1">
        <w:rPr>
          <w:rFonts w:ascii="Arial" w:hAnsi="Arial" w:cs="Arial"/>
          <w:sz w:val="24"/>
          <w:szCs w:val="24"/>
        </w:rPr>
        <w:t>s;</w:t>
      </w:r>
    </w:p>
    <w:p w:rsidR="00FB0BB1" w:rsidRPr="009B4C99" w:rsidRDefault="004F6CD6" w:rsidP="002D4409">
      <w:pPr>
        <w:pStyle w:val="ListParagraph"/>
        <w:numPr>
          <w:ilvl w:val="0"/>
          <w:numId w:val="3"/>
        </w:numPr>
        <w:spacing w:line="360" w:lineRule="auto"/>
        <w:jc w:val="both"/>
        <w:rPr>
          <w:rFonts w:ascii="Arial" w:hAnsi="Arial" w:cs="Arial"/>
          <w:sz w:val="24"/>
          <w:szCs w:val="24"/>
        </w:rPr>
      </w:pPr>
      <w:r w:rsidRPr="009B4C99">
        <w:rPr>
          <w:rFonts w:ascii="Arial" w:hAnsi="Arial" w:cs="Arial"/>
          <w:sz w:val="24"/>
          <w:szCs w:val="24"/>
        </w:rPr>
        <w:t xml:space="preserve">The Committee should be able </w:t>
      </w:r>
      <w:r w:rsidR="00666080" w:rsidRPr="009B4C99">
        <w:rPr>
          <w:rFonts w:ascii="Arial" w:hAnsi="Arial" w:cs="Arial"/>
          <w:sz w:val="24"/>
          <w:szCs w:val="24"/>
        </w:rPr>
        <w:t>to request information from companies as well as State agencies. This could include visits to either the country or the company with the aim of investigating or gathering information beyo</w:t>
      </w:r>
      <w:r w:rsidR="00C533C1">
        <w:rPr>
          <w:rFonts w:ascii="Arial" w:hAnsi="Arial" w:cs="Arial"/>
          <w:sz w:val="24"/>
          <w:szCs w:val="24"/>
        </w:rPr>
        <w:t>nd the regular reports provided;</w:t>
      </w:r>
    </w:p>
    <w:p w:rsidR="00FB0BB1" w:rsidRPr="009B4C99" w:rsidRDefault="00666080" w:rsidP="002D4409">
      <w:pPr>
        <w:pStyle w:val="ListParagraph"/>
        <w:numPr>
          <w:ilvl w:val="0"/>
          <w:numId w:val="3"/>
        </w:numPr>
        <w:spacing w:line="360" w:lineRule="auto"/>
        <w:jc w:val="both"/>
        <w:rPr>
          <w:rFonts w:ascii="Arial" w:hAnsi="Arial" w:cs="Arial"/>
          <w:sz w:val="24"/>
          <w:szCs w:val="24"/>
        </w:rPr>
      </w:pPr>
      <w:r w:rsidRPr="009B4C99">
        <w:rPr>
          <w:rFonts w:ascii="Arial" w:hAnsi="Arial" w:cs="Arial"/>
          <w:sz w:val="24"/>
          <w:szCs w:val="24"/>
        </w:rPr>
        <w:lastRenderedPageBreak/>
        <w:t>The Committee should be permitted</w:t>
      </w:r>
      <w:r w:rsidR="00BC775F" w:rsidRPr="009B4C99">
        <w:rPr>
          <w:rFonts w:ascii="Arial" w:hAnsi="Arial" w:cs="Arial"/>
          <w:sz w:val="24"/>
          <w:szCs w:val="24"/>
        </w:rPr>
        <w:t xml:space="preserve"> to</w:t>
      </w:r>
      <w:r w:rsidRPr="009B4C99">
        <w:rPr>
          <w:rFonts w:ascii="Arial" w:hAnsi="Arial" w:cs="Arial"/>
          <w:sz w:val="24"/>
          <w:szCs w:val="24"/>
        </w:rPr>
        <w:t xml:space="preserve"> request Transnational Corporations and Other Business Enterprises to appear before it in the event that it is implic</w:t>
      </w:r>
      <w:r w:rsidR="00C533C1">
        <w:rPr>
          <w:rFonts w:ascii="Arial" w:hAnsi="Arial" w:cs="Arial"/>
          <w:sz w:val="24"/>
          <w:szCs w:val="24"/>
        </w:rPr>
        <w:t>ated in human rights violations;</w:t>
      </w:r>
      <w:r w:rsidR="004F6CD6" w:rsidRPr="009B4C99">
        <w:rPr>
          <w:rFonts w:ascii="Arial" w:hAnsi="Arial" w:cs="Arial"/>
          <w:sz w:val="24"/>
          <w:szCs w:val="24"/>
        </w:rPr>
        <w:t xml:space="preserve"> </w:t>
      </w:r>
    </w:p>
    <w:p w:rsidR="00FB0BB1" w:rsidRPr="009B4C99" w:rsidRDefault="00666080" w:rsidP="002D4409">
      <w:pPr>
        <w:pStyle w:val="ListParagraph"/>
        <w:numPr>
          <w:ilvl w:val="0"/>
          <w:numId w:val="3"/>
        </w:numPr>
        <w:spacing w:line="360" w:lineRule="auto"/>
        <w:jc w:val="both"/>
        <w:rPr>
          <w:rFonts w:ascii="Arial" w:hAnsi="Arial" w:cs="Arial"/>
          <w:sz w:val="24"/>
          <w:szCs w:val="24"/>
        </w:rPr>
      </w:pPr>
      <w:r w:rsidRPr="009B4C99">
        <w:rPr>
          <w:rFonts w:ascii="Arial" w:hAnsi="Arial" w:cs="Arial"/>
          <w:sz w:val="24"/>
          <w:szCs w:val="24"/>
        </w:rPr>
        <w:t xml:space="preserve">The Committee should be able to </w:t>
      </w:r>
      <w:r w:rsidR="002E1671" w:rsidRPr="009B4C99">
        <w:rPr>
          <w:rFonts w:ascii="Arial" w:hAnsi="Arial" w:cs="Arial"/>
          <w:sz w:val="24"/>
          <w:szCs w:val="24"/>
        </w:rPr>
        <w:t xml:space="preserve">make a </w:t>
      </w:r>
      <w:r w:rsidRPr="009B4C99">
        <w:rPr>
          <w:rFonts w:ascii="Arial" w:hAnsi="Arial" w:cs="Arial"/>
          <w:sz w:val="24"/>
          <w:szCs w:val="24"/>
        </w:rPr>
        <w:t>determin</w:t>
      </w:r>
      <w:r w:rsidR="002E1671" w:rsidRPr="009B4C99">
        <w:rPr>
          <w:rFonts w:ascii="Arial" w:hAnsi="Arial" w:cs="Arial"/>
          <w:sz w:val="24"/>
          <w:szCs w:val="24"/>
        </w:rPr>
        <w:t>ation of</w:t>
      </w:r>
      <w:r w:rsidRPr="009B4C99">
        <w:rPr>
          <w:rFonts w:ascii="Arial" w:hAnsi="Arial" w:cs="Arial"/>
          <w:sz w:val="24"/>
          <w:szCs w:val="24"/>
        </w:rPr>
        <w:t xml:space="preserve"> the </w:t>
      </w:r>
      <w:r w:rsidR="002F1306" w:rsidRPr="009B4C99">
        <w:rPr>
          <w:rFonts w:ascii="Arial" w:hAnsi="Arial" w:cs="Arial"/>
          <w:sz w:val="24"/>
          <w:szCs w:val="24"/>
        </w:rPr>
        <w:t xml:space="preserve">types of </w:t>
      </w:r>
      <w:r w:rsidRPr="009B4C99">
        <w:rPr>
          <w:rFonts w:ascii="Arial" w:hAnsi="Arial" w:cs="Arial"/>
          <w:sz w:val="24"/>
          <w:szCs w:val="24"/>
        </w:rPr>
        <w:t>remedie</w:t>
      </w:r>
      <w:r w:rsidR="00C533C1">
        <w:rPr>
          <w:rFonts w:ascii="Arial" w:hAnsi="Arial" w:cs="Arial"/>
          <w:sz w:val="24"/>
          <w:szCs w:val="24"/>
        </w:rPr>
        <w:t>s that must be given to victims;</w:t>
      </w:r>
    </w:p>
    <w:p w:rsidR="00C704CF" w:rsidRPr="009B4C99" w:rsidRDefault="00104D6A" w:rsidP="002D4409">
      <w:pPr>
        <w:pStyle w:val="ListParagraph"/>
        <w:numPr>
          <w:ilvl w:val="0"/>
          <w:numId w:val="3"/>
        </w:numPr>
        <w:spacing w:line="360" w:lineRule="auto"/>
        <w:jc w:val="both"/>
        <w:rPr>
          <w:rFonts w:ascii="Arial" w:hAnsi="Arial" w:cs="Arial"/>
          <w:sz w:val="24"/>
          <w:szCs w:val="24"/>
        </w:rPr>
      </w:pPr>
      <w:r w:rsidRPr="009B4C99">
        <w:rPr>
          <w:rFonts w:ascii="Arial" w:hAnsi="Arial" w:cs="Arial"/>
          <w:sz w:val="24"/>
          <w:szCs w:val="24"/>
        </w:rPr>
        <w:t>The general order to be taken by the Committee to rev</w:t>
      </w:r>
      <w:r w:rsidR="004F6CD6" w:rsidRPr="009B4C99">
        <w:rPr>
          <w:rFonts w:ascii="Arial" w:hAnsi="Arial" w:cs="Arial"/>
          <w:sz w:val="24"/>
          <w:szCs w:val="24"/>
        </w:rPr>
        <w:t>iew cases should be incremental:</w:t>
      </w:r>
      <w:r w:rsidRPr="009B4C99">
        <w:rPr>
          <w:rFonts w:ascii="Arial" w:hAnsi="Arial" w:cs="Arial"/>
          <w:sz w:val="24"/>
          <w:szCs w:val="24"/>
        </w:rPr>
        <w:t xml:space="preserve"> Cases should exhaust domestic courts and regional courts before</w:t>
      </w:r>
      <w:r w:rsidR="004F6CD6" w:rsidRPr="009B4C99">
        <w:rPr>
          <w:rFonts w:ascii="Arial" w:hAnsi="Arial" w:cs="Arial"/>
          <w:sz w:val="24"/>
          <w:szCs w:val="24"/>
        </w:rPr>
        <w:t xml:space="preserve"> reaching the international level</w:t>
      </w:r>
      <w:r w:rsidR="00C533C1">
        <w:rPr>
          <w:rFonts w:ascii="Arial" w:hAnsi="Arial" w:cs="Arial"/>
          <w:sz w:val="24"/>
          <w:szCs w:val="24"/>
        </w:rPr>
        <w:t>;</w:t>
      </w:r>
      <w:bookmarkStart w:id="0" w:name="_GoBack"/>
      <w:bookmarkEnd w:id="0"/>
    </w:p>
    <w:p w:rsidR="00BC775F" w:rsidRPr="009B4C99" w:rsidRDefault="00BC775F" w:rsidP="00BC775F">
      <w:pPr>
        <w:pStyle w:val="ListParagraph"/>
        <w:spacing w:line="360" w:lineRule="auto"/>
        <w:ind w:left="1080"/>
        <w:rPr>
          <w:rFonts w:ascii="Arial" w:hAnsi="Arial" w:cs="Arial"/>
          <w:sz w:val="24"/>
          <w:szCs w:val="24"/>
        </w:rPr>
      </w:pPr>
    </w:p>
    <w:p w:rsidR="00C704CF" w:rsidRPr="00F4564E" w:rsidRDefault="00C704CF" w:rsidP="002D4409">
      <w:pPr>
        <w:pStyle w:val="ListParagraph"/>
        <w:numPr>
          <w:ilvl w:val="0"/>
          <w:numId w:val="7"/>
        </w:numPr>
        <w:spacing w:line="360" w:lineRule="auto"/>
        <w:jc w:val="both"/>
        <w:rPr>
          <w:rFonts w:ascii="Arial" w:hAnsi="Arial" w:cs="Arial"/>
          <w:sz w:val="24"/>
          <w:szCs w:val="24"/>
        </w:rPr>
      </w:pPr>
      <w:r w:rsidRPr="00F4564E">
        <w:rPr>
          <w:rFonts w:ascii="Arial" w:hAnsi="Arial" w:cs="Arial"/>
          <w:sz w:val="24"/>
          <w:szCs w:val="24"/>
        </w:rPr>
        <w:t>Closely linked to the powers of the Committee, it is imperative that there is a fund s</w:t>
      </w:r>
      <w:r w:rsidR="00E961C8" w:rsidRPr="00F4564E">
        <w:rPr>
          <w:rFonts w:ascii="Arial" w:hAnsi="Arial" w:cs="Arial"/>
          <w:sz w:val="24"/>
          <w:szCs w:val="24"/>
        </w:rPr>
        <w:t xml:space="preserve">olely dedicated to the </w:t>
      </w:r>
      <w:r w:rsidR="00FB0BB1" w:rsidRPr="00F4564E">
        <w:rPr>
          <w:rFonts w:ascii="Arial" w:hAnsi="Arial" w:cs="Arial"/>
          <w:sz w:val="24"/>
          <w:szCs w:val="24"/>
        </w:rPr>
        <w:t xml:space="preserve">access of justice for the </w:t>
      </w:r>
      <w:r w:rsidR="00E961C8" w:rsidRPr="00F4564E">
        <w:rPr>
          <w:rFonts w:ascii="Arial" w:hAnsi="Arial" w:cs="Arial"/>
          <w:sz w:val="24"/>
          <w:szCs w:val="24"/>
        </w:rPr>
        <w:t>victim</w:t>
      </w:r>
      <w:r w:rsidR="00FB0BB1" w:rsidRPr="00F4564E">
        <w:rPr>
          <w:rFonts w:ascii="Arial" w:hAnsi="Arial" w:cs="Arial"/>
          <w:sz w:val="24"/>
          <w:szCs w:val="24"/>
        </w:rPr>
        <w:t>s</w:t>
      </w:r>
      <w:r w:rsidRPr="00F4564E">
        <w:rPr>
          <w:rFonts w:ascii="Arial" w:hAnsi="Arial" w:cs="Arial"/>
          <w:sz w:val="24"/>
          <w:szCs w:val="24"/>
        </w:rPr>
        <w:t xml:space="preserve"> of human right</w:t>
      </w:r>
      <w:r w:rsidR="00E961C8" w:rsidRPr="00F4564E">
        <w:rPr>
          <w:rFonts w:ascii="Arial" w:hAnsi="Arial" w:cs="Arial"/>
          <w:sz w:val="24"/>
          <w:szCs w:val="24"/>
        </w:rPr>
        <w:t>s violations by these entities, particu</w:t>
      </w:r>
      <w:r w:rsidR="00FB0BB1" w:rsidRPr="00F4564E">
        <w:rPr>
          <w:rFonts w:ascii="Arial" w:hAnsi="Arial" w:cs="Arial"/>
          <w:sz w:val="24"/>
          <w:szCs w:val="24"/>
        </w:rPr>
        <w:t>larly from developing countries be established.</w:t>
      </w:r>
      <w:r w:rsidR="00E961C8" w:rsidRPr="00F4564E">
        <w:rPr>
          <w:rFonts w:ascii="Arial" w:hAnsi="Arial" w:cs="Arial"/>
          <w:sz w:val="24"/>
          <w:szCs w:val="24"/>
        </w:rPr>
        <w:t xml:space="preserve"> </w:t>
      </w:r>
      <w:r w:rsidRPr="00F4564E">
        <w:rPr>
          <w:rFonts w:ascii="Arial" w:hAnsi="Arial" w:cs="Arial"/>
          <w:sz w:val="24"/>
          <w:szCs w:val="24"/>
        </w:rPr>
        <w:t xml:space="preserve">This fund must be maintained by the TNCs and OBEs to whom the violations </w:t>
      </w:r>
      <w:r w:rsidR="00751127" w:rsidRPr="00F4564E">
        <w:rPr>
          <w:rFonts w:ascii="Arial" w:hAnsi="Arial" w:cs="Arial"/>
          <w:sz w:val="24"/>
          <w:szCs w:val="24"/>
        </w:rPr>
        <w:t>emanate</w:t>
      </w:r>
      <w:r w:rsidRPr="00F4564E">
        <w:rPr>
          <w:rFonts w:ascii="Arial" w:hAnsi="Arial" w:cs="Arial"/>
          <w:sz w:val="24"/>
          <w:szCs w:val="24"/>
        </w:rPr>
        <w:t xml:space="preserve"> from. It would be </w:t>
      </w:r>
      <w:r w:rsidR="002E1671" w:rsidRPr="00F4564E">
        <w:rPr>
          <w:rFonts w:ascii="Arial" w:hAnsi="Arial" w:cs="Arial"/>
          <w:sz w:val="24"/>
          <w:szCs w:val="24"/>
        </w:rPr>
        <w:t>impractical for contributions of the fund to be solely the responsibility of the State.</w:t>
      </w:r>
    </w:p>
    <w:p w:rsidR="00FB0BB1" w:rsidRPr="009B4C99" w:rsidRDefault="00FB0BB1" w:rsidP="00FB0BB1">
      <w:pPr>
        <w:spacing w:line="360" w:lineRule="auto"/>
        <w:rPr>
          <w:rFonts w:ascii="Arial" w:hAnsi="Arial" w:cs="Arial"/>
          <w:sz w:val="24"/>
          <w:szCs w:val="24"/>
        </w:rPr>
      </w:pPr>
    </w:p>
    <w:p w:rsidR="00763F4E" w:rsidRPr="009B4C99" w:rsidRDefault="00763F4E" w:rsidP="00FB0BB1">
      <w:pPr>
        <w:spacing w:line="360" w:lineRule="auto"/>
        <w:rPr>
          <w:rFonts w:ascii="Arial" w:eastAsia="Cambria" w:hAnsi="Arial" w:cs="Arial"/>
          <w:b/>
          <w:sz w:val="24"/>
          <w:szCs w:val="24"/>
          <w:u w:val="single"/>
        </w:rPr>
      </w:pPr>
      <w:r w:rsidRPr="009B4C99">
        <w:rPr>
          <w:rFonts w:ascii="Arial" w:eastAsia="Cambria" w:hAnsi="Arial" w:cs="Arial"/>
          <w:b/>
          <w:sz w:val="24"/>
          <w:szCs w:val="24"/>
          <w:u w:val="single"/>
        </w:rPr>
        <w:t>ARTICLE 15</w:t>
      </w:r>
    </w:p>
    <w:p w:rsidR="007D3DBA" w:rsidRPr="009B4C99" w:rsidRDefault="007D3DBA" w:rsidP="00DC02D5">
      <w:pPr>
        <w:spacing w:line="360" w:lineRule="auto"/>
        <w:rPr>
          <w:rFonts w:ascii="Arial" w:hAnsi="Arial" w:cs="Arial"/>
          <w:color w:val="FF0000"/>
          <w:sz w:val="24"/>
          <w:szCs w:val="24"/>
        </w:rPr>
      </w:pPr>
    </w:p>
    <w:p w:rsidR="001624E7" w:rsidRPr="00F4564E" w:rsidRDefault="001624E7" w:rsidP="00F4564E">
      <w:pPr>
        <w:pStyle w:val="ListParagraph"/>
        <w:numPr>
          <w:ilvl w:val="0"/>
          <w:numId w:val="8"/>
        </w:numPr>
        <w:spacing w:line="360" w:lineRule="auto"/>
        <w:jc w:val="both"/>
        <w:rPr>
          <w:rFonts w:ascii="Arial" w:hAnsi="Arial" w:cs="Arial"/>
          <w:sz w:val="24"/>
          <w:szCs w:val="24"/>
        </w:rPr>
      </w:pPr>
      <w:r w:rsidRPr="00F4564E">
        <w:rPr>
          <w:rFonts w:ascii="Arial" w:hAnsi="Arial" w:cs="Arial"/>
          <w:sz w:val="24"/>
          <w:szCs w:val="24"/>
        </w:rPr>
        <w:t>The Article must have a provision that stipulates that this Treaty will not prejudice obligations taken in other Treaties</w:t>
      </w:r>
      <w:r w:rsidR="007D3DBA" w:rsidRPr="00F4564E">
        <w:rPr>
          <w:rFonts w:ascii="Arial" w:hAnsi="Arial" w:cs="Arial"/>
          <w:sz w:val="24"/>
          <w:szCs w:val="24"/>
        </w:rPr>
        <w:t>.  Furthermore, not</w:t>
      </w:r>
      <w:r w:rsidR="00BC775F" w:rsidRPr="00F4564E">
        <w:rPr>
          <w:rFonts w:ascii="Arial" w:hAnsi="Arial" w:cs="Arial"/>
          <w:sz w:val="24"/>
          <w:szCs w:val="24"/>
        </w:rPr>
        <w:t>h</w:t>
      </w:r>
      <w:r w:rsidR="007D3DBA" w:rsidRPr="00F4564E">
        <w:rPr>
          <w:rFonts w:ascii="Arial" w:hAnsi="Arial" w:cs="Arial"/>
          <w:sz w:val="24"/>
          <w:szCs w:val="24"/>
        </w:rPr>
        <w:t>ing in the treaty shall be interpreted as impairing the inherent right of all peoples to enjoy their human rights and fundamental freedoms</w:t>
      </w:r>
    </w:p>
    <w:p w:rsidR="00DC33BC" w:rsidRPr="009B4C99" w:rsidRDefault="00DC33BC" w:rsidP="00FB0BB1">
      <w:pPr>
        <w:spacing w:line="360" w:lineRule="auto"/>
        <w:jc w:val="both"/>
        <w:rPr>
          <w:rFonts w:ascii="Arial" w:hAnsi="Arial" w:cs="Arial"/>
          <w:b/>
          <w:sz w:val="24"/>
          <w:szCs w:val="24"/>
        </w:rPr>
      </w:pPr>
    </w:p>
    <w:sectPr w:rsidR="00DC33BC" w:rsidRPr="009B4C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B3" w:rsidRDefault="00F57CB3" w:rsidP="0032178E">
      <w:pPr>
        <w:spacing w:after="0" w:line="240" w:lineRule="auto"/>
      </w:pPr>
      <w:r>
        <w:separator/>
      </w:r>
    </w:p>
  </w:endnote>
  <w:endnote w:type="continuationSeparator" w:id="0">
    <w:p w:rsidR="00F57CB3" w:rsidRDefault="00F57CB3" w:rsidP="0032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B3" w:rsidRDefault="00F57CB3" w:rsidP="0032178E">
      <w:pPr>
        <w:spacing w:after="0" w:line="240" w:lineRule="auto"/>
      </w:pPr>
      <w:r>
        <w:separator/>
      </w:r>
    </w:p>
  </w:footnote>
  <w:footnote w:type="continuationSeparator" w:id="0">
    <w:p w:rsidR="00F57CB3" w:rsidRDefault="00F57CB3" w:rsidP="00321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47B"/>
    <w:multiLevelType w:val="hybridMultilevel"/>
    <w:tmpl w:val="63C6FAEC"/>
    <w:lvl w:ilvl="0" w:tplc="1BF25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423B14"/>
    <w:multiLevelType w:val="hybridMultilevel"/>
    <w:tmpl w:val="151E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8B6AE5"/>
    <w:multiLevelType w:val="hybridMultilevel"/>
    <w:tmpl w:val="D568855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3856BFD"/>
    <w:multiLevelType w:val="hybridMultilevel"/>
    <w:tmpl w:val="288E35E6"/>
    <w:lvl w:ilvl="0" w:tplc="1C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8F1CEC"/>
    <w:multiLevelType w:val="hybridMultilevel"/>
    <w:tmpl w:val="051C4336"/>
    <w:lvl w:ilvl="0" w:tplc="6DE6894E">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C7FCD"/>
    <w:multiLevelType w:val="hybridMultilevel"/>
    <w:tmpl w:val="DF0E9CB2"/>
    <w:lvl w:ilvl="0" w:tplc="535A06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01A0EF8"/>
    <w:multiLevelType w:val="hybridMultilevel"/>
    <w:tmpl w:val="9C8AC49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15434B"/>
    <w:multiLevelType w:val="hybridMultilevel"/>
    <w:tmpl w:val="BB74FB7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4E"/>
    <w:rsid w:val="00104D6A"/>
    <w:rsid w:val="001624E7"/>
    <w:rsid w:val="00214853"/>
    <w:rsid w:val="002D4409"/>
    <w:rsid w:val="002E1671"/>
    <w:rsid w:val="002F1306"/>
    <w:rsid w:val="0032178E"/>
    <w:rsid w:val="004F6CD6"/>
    <w:rsid w:val="00666080"/>
    <w:rsid w:val="00697922"/>
    <w:rsid w:val="00751127"/>
    <w:rsid w:val="00763F4E"/>
    <w:rsid w:val="007D3DBA"/>
    <w:rsid w:val="00891FC3"/>
    <w:rsid w:val="009144FC"/>
    <w:rsid w:val="009B4C99"/>
    <w:rsid w:val="00A17A1D"/>
    <w:rsid w:val="00A81937"/>
    <w:rsid w:val="00AD6253"/>
    <w:rsid w:val="00B84637"/>
    <w:rsid w:val="00BC775F"/>
    <w:rsid w:val="00C533C1"/>
    <w:rsid w:val="00C56D5D"/>
    <w:rsid w:val="00C704CF"/>
    <w:rsid w:val="00DC02D5"/>
    <w:rsid w:val="00DC33BC"/>
    <w:rsid w:val="00E43F78"/>
    <w:rsid w:val="00E961C8"/>
    <w:rsid w:val="00F1546F"/>
    <w:rsid w:val="00F4564E"/>
    <w:rsid w:val="00F57CB3"/>
    <w:rsid w:val="00F7330E"/>
    <w:rsid w:val="00FB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4E"/>
    <w:pPr>
      <w:spacing w:after="160" w:line="259"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4E"/>
    <w:rPr>
      <w:rFonts w:ascii="Tahoma" w:hAnsi="Tahoma" w:cs="Tahoma"/>
      <w:sz w:val="16"/>
      <w:szCs w:val="16"/>
      <w:lang w:val="en-GB"/>
    </w:rPr>
  </w:style>
  <w:style w:type="paragraph" w:styleId="ListParagraph">
    <w:name w:val="List Paragraph"/>
    <w:basedOn w:val="Normal"/>
    <w:uiPriority w:val="34"/>
    <w:qFormat/>
    <w:rsid w:val="00763F4E"/>
    <w:pPr>
      <w:ind w:left="720"/>
      <w:contextualSpacing/>
    </w:pPr>
  </w:style>
  <w:style w:type="paragraph" w:styleId="Header">
    <w:name w:val="header"/>
    <w:basedOn w:val="Normal"/>
    <w:link w:val="HeaderChar"/>
    <w:uiPriority w:val="99"/>
    <w:unhideWhenUsed/>
    <w:rsid w:val="0032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8E"/>
    <w:rPr>
      <w:lang w:val="en-GB"/>
    </w:rPr>
  </w:style>
  <w:style w:type="paragraph" w:styleId="Footer">
    <w:name w:val="footer"/>
    <w:basedOn w:val="Normal"/>
    <w:link w:val="FooterChar"/>
    <w:uiPriority w:val="99"/>
    <w:unhideWhenUsed/>
    <w:rsid w:val="0032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8E"/>
    <w:rPr>
      <w:lang w:val="en-GB"/>
    </w:rPr>
  </w:style>
  <w:style w:type="paragraph" w:styleId="NormalWeb">
    <w:name w:val="Normal (Web)"/>
    <w:basedOn w:val="Normal"/>
    <w:uiPriority w:val="99"/>
    <w:unhideWhenUsed/>
    <w:rsid w:val="009B4C99"/>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4E"/>
    <w:pPr>
      <w:spacing w:after="160" w:line="259"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4E"/>
    <w:rPr>
      <w:rFonts w:ascii="Tahoma" w:hAnsi="Tahoma" w:cs="Tahoma"/>
      <w:sz w:val="16"/>
      <w:szCs w:val="16"/>
      <w:lang w:val="en-GB"/>
    </w:rPr>
  </w:style>
  <w:style w:type="paragraph" w:styleId="ListParagraph">
    <w:name w:val="List Paragraph"/>
    <w:basedOn w:val="Normal"/>
    <w:uiPriority w:val="34"/>
    <w:qFormat/>
    <w:rsid w:val="00763F4E"/>
    <w:pPr>
      <w:ind w:left="720"/>
      <w:contextualSpacing/>
    </w:pPr>
  </w:style>
  <w:style w:type="paragraph" w:styleId="Header">
    <w:name w:val="header"/>
    <w:basedOn w:val="Normal"/>
    <w:link w:val="HeaderChar"/>
    <w:uiPriority w:val="99"/>
    <w:unhideWhenUsed/>
    <w:rsid w:val="0032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8E"/>
    <w:rPr>
      <w:lang w:val="en-GB"/>
    </w:rPr>
  </w:style>
  <w:style w:type="paragraph" w:styleId="Footer">
    <w:name w:val="footer"/>
    <w:basedOn w:val="Normal"/>
    <w:link w:val="FooterChar"/>
    <w:uiPriority w:val="99"/>
    <w:unhideWhenUsed/>
    <w:rsid w:val="0032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8E"/>
    <w:rPr>
      <w:lang w:val="en-GB"/>
    </w:rPr>
  </w:style>
  <w:style w:type="paragraph" w:styleId="NormalWeb">
    <w:name w:val="Normal (Web)"/>
    <w:basedOn w:val="Normal"/>
    <w:uiPriority w:val="99"/>
    <w:unhideWhenUsed/>
    <w:rsid w:val="009B4C99"/>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1D55CB-1399-4890-B191-A2BC5411C2C9}"/>
</file>

<file path=customXml/itemProps2.xml><?xml version="1.0" encoding="utf-8"?>
<ds:datastoreItem xmlns:ds="http://schemas.openxmlformats.org/officeDocument/2006/customXml" ds:itemID="{6AF4BD05-B2AD-42C6-BF0C-CB3DB760537E}"/>
</file>

<file path=customXml/itemProps3.xml><?xml version="1.0" encoding="utf-8"?>
<ds:datastoreItem xmlns:ds="http://schemas.openxmlformats.org/officeDocument/2006/customXml" ds:itemID="{FC72F617-4C72-47E8-8607-7E7C69FB2C7A}"/>
</file>

<file path=docProps/app.xml><?xml version="1.0" encoding="utf-8"?>
<Properties xmlns="http://schemas.openxmlformats.org/officeDocument/2006/extended-properties" xmlns:vt="http://schemas.openxmlformats.org/officeDocument/2006/docPropsVTypes">
  <Template>Normal</Template>
  <TotalTime>7</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NaidooY</cp:lastModifiedBy>
  <cp:revision>3</cp:revision>
  <dcterms:created xsi:type="dcterms:W3CDTF">2018-10-19T08:39:00Z</dcterms:created>
  <dcterms:modified xsi:type="dcterms:W3CDTF">2018-10-19T08:46:00Z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