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Pr="004A44C5" w:rsidRDefault="00974DE7" w:rsidP="004A44C5">
      <w:pPr>
        <w:jc w:val="center"/>
        <w:rPr>
          <w:sz w:val="28"/>
          <w:szCs w:val="28"/>
        </w:rPr>
      </w:pPr>
      <w:r w:rsidRPr="004A44C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-885825</wp:posOffset>
            </wp:positionH>
            <wp:positionV relativeFrom="line">
              <wp:posOffset>128270</wp:posOffset>
            </wp:positionV>
            <wp:extent cx="1568450" cy="1777365"/>
            <wp:effectExtent l="0" t="0" r="0" b="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Default="00727CA5" w:rsidP="004A44C5">
      <w:pPr>
        <w:jc w:val="center"/>
        <w:rPr>
          <w:sz w:val="28"/>
          <w:szCs w:val="28"/>
        </w:rPr>
      </w:pPr>
      <w:r w:rsidRPr="004A44C5">
        <w:rPr>
          <w:sz w:val="28"/>
          <w:szCs w:val="28"/>
        </w:rPr>
        <w:br/>
      </w:r>
    </w:p>
    <w:p w:rsidR="00F7001F" w:rsidRPr="004A44C5" w:rsidRDefault="00F7001F" w:rsidP="004A44C5">
      <w:pPr>
        <w:jc w:val="center"/>
        <w:rPr>
          <w:sz w:val="28"/>
          <w:szCs w:val="28"/>
        </w:rPr>
      </w:pPr>
    </w:p>
    <w:p w:rsidR="00727CA5" w:rsidRPr="004A44C5" w:rsidRDefault="00727CA5" w:rsidP="004A44C5">
      <w:pPr>
        <w:tabs>
          <w:tab w:val="left" w:pos="2955"/>
        </w:tabs>
        <w:rPr>
          <w:b/>
          <w:sz w:val="28"/>
          <w:szCs w:val="28"/>
        </w:rPr>
      </w:pPr>
      <w:r w:rsidRPr="004A44C5">
        <w:rPr>
          <w:b/>
          <w:sz w:val="28"/>
          <w:szCs w:val="28"/>
        </w:rPr>
        <w:tab/>
      </w:r>
    </w:p>
    <w:p w:rsidR="00727CA5" w:rsidRPr="004A44C5" w:rsidRDefault="00727CA5" w:rsidP="004A44C5">
      <w:pPr>
        <w:tabs>
          <w:tab w:val="left" w:pos="2955"/>
        </w:tabs>
        <w:rPr>
          <w:b/>
          <w:sz w:val="28"/>
          <w:szCs w:val="28"/>
        </w:rPr>
      </w:pPr>
    </w:p>
    <w:p w:rsidR="00727CA5" w:rsidRDefault="00727CA5" w:rsidP="004A44C5">
      <w:pPr>
        <w:tabs>
          <w:tab w:val="left" w:pos="2955"/>
        </w:tabs>
        <w:rPr>
          <w:b/>
          <w:sz w:val="28"/>
          <w:szCs w:val="28"/>
        </w:rPr>
      </w:pPr>
    </w:p>
    <w:p w:rsidR="00F7001F" w:rsidRPr="004A44C5" w:rsidRDefault="00F7001F" w:rsidP="004A44C5">
      <w:pPr>
        <w:tabs>
          <w:tab w:val="left" w:pos="2955"/>
        </w:tabs>
        <w:rPr>
          <w:b/>
          <w:sz w:val="28"/>
          <w:szCs w:val="28"/>
        </w:rPr>
      </w:pPr>
    </w:p>
    <w:p w:rsidR="003976C9" w:rsidRPr="004A44C5" w:rsidRDefault="003976C9" w:rsidP="004A44C5">
      <w:pPr>
        <w:keepNext/>
        <w:jc w:val="center"/>
        <w:rPr>
          <w:rFonts w:eastAsia="HG Mincho Light"/>
          <w:b/>
          <w:sz w:val="28"/>
          <w:szCs w:val="28"/>
        </w:rPr>
      </w:pPr>
    </w:p>
    <w:p w:rsidR="003976C9" w:rsidRPr="004A44C5" w:rsidRDefault="003976C9" w:rsidP="004A44C5">
      <w:pPr>
        <w:keepNext/>
        <w:jc w:val="center"/>
        <w:rPr>
          <w:rFonts w:eastAsia="HG Mincho Light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 w:rsidRPr="0012409B">
        <w:rPr>
          <w:rFonts w:ascii="Bookman Old Style" w:eastAsia="HG Mincho Light" w:hAnsi="Bookman Old Style"/>
          <w:b/>
          <w:sz w:val="28"/>
          <w:szCs w:val="28"/>
        </w:rPr>
        <w:t>INTERVENCIÓN DE LA DELEGACIÓN DE LA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 w:rsidRPr="0012409B">
        <w:rPr>
          <w:rFonts w:ascii="Bookman Old Style" w:eastAsia="HG Mincho Light" w:hAnsi="Bookman Old Style"/>
          <w:b/>
          <w:sz w:val="28"/>
          <w:szCs w:val="28"/>
        </w:rPr>
        <w:t>REPÚBLICA BOLIVARIANA DE VENEZUELA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5E3FB2" w:rsidRPr="00E82C0B" w:rsidRDefault="00074426" w:rsidP="005E3FB2">
      <w:pPr>
        <w:jc w:val="center"/>
        <w:rPr>
          <w:rFonts w:ascii="Bookman Old Style" w:eastAsia="HG Mincho Light" w:hAnsi="Bookman Old Style"/>
          <w:b/>
          <w:sz w:val="32"/>
          <w:szCs w:val="32"/>
        </w:rPr>
      </w:pPr>
      <w:r>
        <w:rPr>
          <w:rFonts w:ascii="Bookman Old Style" w:eastAsia="HG Mincho Light" w:hAnsi="Bookman Old Style"/>
          <w:b/>
          <w:sz w:val="32"/>
          <w:szCs w:val="32"/>
        </w:rPr>
        <w:t>4</w:t>
      </w:r>
      <w:r w:rsidR="0025119D">
        <w:rPr>
          <w:rFonts w:ascii="Bookman Old Style" w:eastAsia="HG Mincho Light" w:hAnsi="Bookman Old Style"/>
          <w:b/>
          <w:sz w:val="32"/>
          <w:szCs w:val="32"/>
        </w:rPr>
        <w:t>º</w:t>
      </w:r>
      <w:r w:rsidR="005E3FB2" w:rsidRPr="00E82C0B">
        <w:rPr>
          <w:rFonts w:ascii="Bookman Old Style" w:eastAsia="HG Mincho Light" w:hAnsi="Bookman Old Style"/>
          <w:b/>
          <w:sz w:val="32"/>
          <w:szCs w:val="32"/>
        </w:rPr>
        <w:t xml:space="preserve"> </w:t>
      </w:r>
      <w:r w:rsidR="0025119D">
        <w:rPr>
          <w:rFonts w:ascii="Bookman Old Style" w:eastAsia="HG Mincho Light" w:hAnsi="Bookman Old Style"/>
          <w:b/>
          <w:sz w:val="32"/>
          <w:szCs w:val="32"/>
        </w:rPr>
        <w:t>s</w:t>
      </w:r>
      <w:r w:rsidR="005E3FB2" w:rsidRPr="00E82C0B">
        <w:rPr>
          <w:rFonts w:ascii="Bookman Old Style" w:eastAsia="HG Mincho Light" w:hAnsi="Bookman Old Style"/>
          <w:b/>
          <w:sz w:val="32"/>
          <w:szCs w:val="32"/>
        </w:rPr>
        <w:t xml:space="preserve">esión del </w:t>
      </w:r>
      <w:r w:rsidR="005E3FB2">
        <w:rPr>
          <w:rFonts w:ascii="Bookman Old Style" w:hAnsi="Bookman Old Style"/>
          <w:b/>
          <w:sz w:val="32"/>
          <w:szCs w:val="32"/>
        </w:rPr>
        <w:t>Grupo de T</w:t>
      </w:r>
      <w:r w:rsidR="005E3FB2" w:rsidRPr="00E82C0B">
        <w:rPr>
          <w:rFonts w:ascii="Bookman Old Style" w:hAnsi="Bookman Old Style"/>
          <w:b/>
          <w:sz w:val="32"/>
          <w:szCs w:val="32"/>
        </w:rPr>
        <w:t xml:space="preserve">rabajo intergubernamental de composición abierta sobre las empresas transnacionales y otras empresas con </w:t>
      </w:r>
      <w:r w:rsidR="005E3FB2">
        <w:rPr>
          <w:rFonts w:ascii="Bookman Old Style" w:hAnsi="Bookman Old Style"/>
          <w:b/>
          <w:sz w:val="32"/>
          <w:szCs w:val="32"/>
        </w:rPr>
        <w:t>respecto a los derechos humanos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955A19" w:rsidRDefault="003F6906" w:rsidP="00CB6D11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>
        <w:rPr>
          <w:rFonts w:ascii="Bookman Old Style" w:eastAsia="HG Mincho Light" w:hAnsi="Bookman Old Style"/>
          <w:b/>
          <w:sz w:val="28"/>
          <w:szCs w:val="28"/>
        </w:rPr>
        <w:t>Art</w:t>
      </w:r>
      <w:r w:rsidR="0025119D">
        <w:rPr>
          <w:rFonts w:ascii="Bookman Old Style" w:eastAsia="HG Mincho Light" w:hAnsi="Bookman Old Style"/>
          <w:b/>
          <w:sz w:val="28"/>
          <w:szCs w:val="28"/>
        </w:rPr>
        <w:t>í</w:t>
      </w:r>
      <w:r>
        <w:rPr>
          <w:rFonts w:ascii="Bookman Old Style" w:eastAsia="HG Mincho Light" w:hAnsi="Bookman Old Style"/>
          <w:b/>
          <w:sz w:val="28"/>
          <w:szCs w:val="28"/>
        </w:rPr>
        <w:t xml:space="preserve">culo </w:t>
      </w:r>
      <w:r w:rsidR="00CA7C04">
        <w:rPr>
          <w:rFonts w:ascii="Bookman Old Style" w:eastAsia="HG Mincho Light" w:hAnsi="Bookman Old Style"/>
          <w:b/>
          <w:sz w:val="28"/>
          <w:szCs w:val="28"/>
        </w:rPr>
        <w:t>3</w:t>
      </w:r>
    </w:p>
    <w:p w:rsidR="003F6906" w:rsidRDefault="00CA7C04" w:rsidP="00CB6D11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>
        <w:rPr>
          <w:rFonts w:ascii="Bookman Old Style" w:eastAsia="HG Mincho Light" w:hAnsi="Bookman Old Style"/>
          <w:b/>
          <w:sz w:val="28"/>
          <w:szCs w:val="28"/>
        </w:rPr>
        <w:t>Ámbito de Aplicación</w:t>
      </w:r>
    </w:p>
    <w:p w:rsidR="00CA7C04" w:rsidRDefault="00CA7C04" w:rsidP="00CB6D11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>
        <w:rPr>
          <w:rFonts w:ascii="Bookman Old Style" w:eastAsia="HG Mincho Light" w:hAnsi="Bookman Old Style"/>
          <w:b/>
          <w:sz w:val="28"/>
          <w:szCs w:val="28"/>
        </w:rPr>
        <w:t xml:space="preserve">Artículo 4 </w:t>
      </w:r>
    </w:p>
    <w:p w:rsidR="00CA7C04" w:rsidRPr="00974DE7" w:rsidRDefault="00CA7C04" w:rsidP="00CB6D11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>
        <w:rPr>
          <w:rFonts w:ascii="Bookman Old Style" w:eastAsia="HG Mincho Light" w:hAnsi="Bookman Old Style"/>
          <w:b/>
          <w:sz w:val="28"/>
          <w:szCs w:val="28"/>
        </w:rPr>
        <w:t>Definiciones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056D1B" w:rsidRDefault="00056D1B" w:rsidP="00947B77">
      <w:pPr>
        <w:rPr>
          <w:rFonts w:ascii="Bookman Old Style" w:eastAsia="HG Mincho Light" w:hAnsi="Bookman Old Style"/>
          <w:b/>
          <w:sz w:val="28"/>
          <w:szCs w:val="28"/>
        </w:rPr>
      </w:pPr>
    </w:p>
    <w:p w:rsidR="00056D1B" w:rsidRPr="0012409B" w:rsidRDefault="00056D1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727CA5" w:rsidRDefault="00B42579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>
        <w:rPr>
          <w:rFonts w:ascii="Bookman Old Style" w:eastAsia="HG Mincho Light" w:hAnsi="Bookman Old Style"/>
          <w:b/>
          <w:sz w:val="28"/>
          <w:szCs w:val="28"/>
        </w:rPr>
        <w:t xml:space="preserve">GINEBRA, </w:t>
      </w:r>
      <w:r w:rsidR="0025119D">
        <w:rPr>
          <w:rFonts w:ascii="Bookman Old Style" w:eastAsia="HG Mincho Light" w:hAnsi="Bookman Old Style"/>
          <w:b/>
          <w:sz w:val="28"/>
          <w:szCs w:val="28"/>
        </w:rPr>
        <w:t>17</w:t>
      </w:r>
      <w:r w:rsidR="00074426">
        <w:rPr>
          <w:rFonts w:ascii="Bookman Old Style" w:eastAsia="HG Mincho Light" w:hAnsi="Bookman Old Style"/>
          <w:b/>
          <w:sz w:val="28"/>
          <w:szCs w:val="28"/>
        </w:rPr>
        <w:t xml:space="preserve"> </w:t>
      </w:r>
      <w:r w:rsidR="00CB6D11">
        <w:rPr>
          <w:rFonts w:ascii="Bookman Old Style" w:eastAsia="HG Mincho Light" w:hAnsi="Bookman Old Style"/>
          <w:b/>
          <w:sz w:val="28"/>
          <w:szCs w:val="28"/>
        </w:rPr>
        <w:t>DE</w:t>
      </w:r>
      <w:r w:rsidR="00074426">
        <w:rPr>
          <w:rFonts w:ascii="Bookman Old Style" w:eastAsia="HG Mincho Light" w:hAnsi="Bookman Old Style"/>
          <w:b/>
          <w:sz w:val="28"/>
          <w:szCs w:val="28"/>
        </w:rPr>
        <w:t xml:space="preserve"> </w:t>
      </w:r>
      <w:r w:rsidR="00370D04">
        <w:rPr>
          <w:rFonts w:ascii="Bookman Old Style" w:eastAsia="HG Mincho Light" w:hAnsi="Bookman Old Style"/>
          <w:b/>
          <w:sz w:val="28"/>
          <w:szCs w:val="28"/>
        </w:rPr>
        <w:t xml:space="preserve">OCTUBRE </w:t>
      </w:r>
      <w:r w:rsidR="0012409B" w:rsidRPr="0012409B">
        <w:rPr>
          <w:rFonts w:ascii="Bookman Old Style" w:eastAsia="HG Mincho Light" w:hAnsi="Bookman Old Style"/>
          <w:b/>
          <w:sz w:val="28"/>
          <w:szCs w:val="28"/>
        </w:rPr>
        <w:t>DE 201</w:t>
      </w:r>
      <w:r w:rsidR="00CB6D11">
        <w:rPr>
          <w:rFonts w:ascii="Bookman Old Style" w:eastAsia="HG Mincho Light" w:hAnsi="Bookman Old Style"/>
          <w:b/>
          <w:sz w:val="28"/>
          <w:szCs w:val="28"/>
        </w:rPr>
        <w:t>8</w:t>
      </w:r>
    </w:p>
    <w:p w:rsidR="005E3FB2" w:rsidRDefault="005E3FB2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5E3FB2" w:rsidRDefault="005E3FB2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5BBD" w:rsidRPr="003B69F1" w:rsidRDefault="00125BBD" w:rsidP="00CA7C04">
      <w:pPr>
        <w:jc w:val="both"/>
        <w:rPr>
          <w:sz w:val="36"/>
          <w:szCs w:val="36"/>
        </w:rPr>
      </w:pPr>
      <w:r w:rsidRPr="003B69F1">
        <w:rPr>
          <w:sz w:val="36"/>
          <w:szCs w:val="36"/>
        </w:rPr>
        <w:lastRenderedPageBreak/>
        <w:t xml:space="preserve">Gracias </w:t>
      </w:r>
      <w:proofErr w:type="gramStart"/>
      <w:r w:rsidRPr="003B69F1">
        <w:rPr>
          <w:sz w:val="36"/>
          <w:szCs w:val="36"/>
        </w:rPr>
        <w:t>Presidente</w:t>
      </w:r>
      <w:proofErr w:type="gramEnd"/>
      <w:r w:rsidR="00A652FF">
        <w:rPr>
          <w:sz w:val="36"/>
          <w:szCs w:val="36"/>
        </w:rPr>
        <w:t>.</w:t>
      </w:r>
      <w:r w:rsidRPr="003B69F1">
        <w:rPr>
          <w:sz w:val="36"/>
          <w:szCs w:val="36"/>
        </w:rPr>
        <w:t xml:space="preserve"> </w:t>
      </w:r>
    </w:p>
    <w:p w:rsidR="00125BBD" w:rsidRPr="003B69F1" w:rsidRDefault="00125BBD" w:rsidP="00CA7C04">
      <w:pPr>
        <w:jc w:val="both"/>
        <w:rPr>
          <w:sz w:val="36"/>
          <w:szCs w:val="36"/>
        </w:rPr>
      </w:pPr>
    </w:p>
    <w:p w:rsidR="00125BBD" w:rsidRPr="003B69F1" w:rsidRDefault="00125BBD" w:rsidP="00CA7C04">
      <w:pPr>
        <w:jc w:val="both"/>
        <w:rPr>
          <w:sz w:val="36"/>
          <w:szCs w:val="36"/>
        </w:rPr>
      </w:pPr>
      <w:r w:rsidRPr="003B69F1">
        <w:rPr>
          <w:sz w:val="36"/>
          <w:szCs w:val="36"/>
        </w:rPr>
        <w:t xml:space="preserve">El proyecto de </w:t>
      </w:r>
      <w:r w:rsidR="0040297A">
        <w:rPr>
          <w:sz w:val="36"/>
          <w:szCs w:val="36"/>
        </w:rPr>
        <w:t>i</w:t>
      </w:r>
      <w:r w:rsidRPr="003B69F1">
        <w:rPr>
          <w:sz w:val="36"/>
          <w:szCs w:val="36"/>
        </w:rPr>
        <w:t xml:space="preserve">nstrumento </w:t>
      </w:r>
      <w:r w:rsidR="0040297A">
        <w:rPr>
          <w:sz w:val="36"/>
          <w:szCs w:val="36"/>
        </w:rPr>
        <w:t>j</w:t>
      </w:r>
      <w:r w:rsidRPr="003B69F1">
        <w:rPr>
          <w:sz w:val="36"/>
          <w:szCs w:val="36"/>
        </w:rPr>
        <w:t xml:space="preserve">urídicamente </w:t>
      </w:r>
      <w:r w:rsidR="0040297A">
        <w:rPr>
          <w:sz w:val="36"/>
          <w:szCs w:val="36"/>
        </w:rPr>
        <w:t>v</w:t>
      </w:r>
      <w:r w:rsidRPr="003B69F1">
        <w:rPr>
          <w:sz w:val="36"/>
          <w:szCs w:val="36"/>
        </w:rPr>
        <w:t>inculante delimita en su artículo 3 su ámbito de aplicación a las violaciones de derechos humanos en el contexto de cualquier actividad con carácter transnacional, permitiendo definir las situaciones en las que son aplicables las disposiciones del instrumento.</w:t>
      </w:r>
    </w:p>
    <w:p w:rsidR="00125BBD" w:rsidRPr="003B69F1" w:rsidRDefault="00125BBD" w:rsidP="00CA7C04">
      <w:pPr>
        <w:jc w:val="both"/>
        <w:rPr>
          <w:sz w:val="36"/>
          <w:szCs w:val="36"/>
        </w:rPr>
      </w:pPr>
    </w:p>
    <w:p w:rsidR="00125BBD" w:rsidRPr="003B69F1" w:rsidRDefault="0040297A" w:rsidP="00CA7C0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Dicho </w:t>
      </w:r>
      <w:r w:rsidR="00125BBD" w:rsidRPr="003B69F1">
        <w:rPr>
          <w:sz w:val="36"/>
          <w:szCs w:val="36"/>
        </w:rPr>
        <w:t xml:space="preserve">artículo es </w:t>
      </w:r>
      <w:r w:rsidR="00A652FF">
        <w:rPr>
          <w:sz w:val="36"/>
          <w:szCs w:val="36"/>
        </w:rPr>
        <w:t xml:space="preserve">fiel </w:t>
      </w:r>
      <w:r w:rsidR="00125BBD" w:rsidRPr="003B69F1">
        <w:rPr>
          <w:sz w:val="36"/>
          <w:szCs w:val="36"/>
        </w:rPr>
        <w:t>reflejo de</w:t>
      </w:r>
      <w:r w:rsidR="00A652FF">
        <w:rPr>
          <w:sz w:val="36"/>
          <w:szCs w:val="36"/>
        </w:rPr>
        <w:t>l contenido de</w:t>
      </w:r>
      <w:r w:rsidR="00125BBD" w:rsidRPr="003B69F1">
        <w:rPr>
          <w:sz w:val="36"/>
          <w:szCs w:val="36"/>
        </w:rPr>
        <w:t xml:space="preserve"> la Resolución 26/9 </w:t>
      </w:r>
      <w:r w:rsidR="00A652FF">
        <w:rPr>
          <w:sz w:val="36"/>
          <w:szCs w:val="36"/>
        </w:rPr>
        <w:t>del Consejo de Derechos Humanos, que estableció el mando para la elaboración d</w:t>
      </w:r>
      <w:r w:rsidR="003B69F1" w:rsidRPr="003B69F1">
        <w:rPr>
          <w:sz w:val="36"/>
          <w:szCs w:val="36"/>
        </w:rPr>
        <w:t>e un instrumento internacional jurídicamente vinculante</w:t>
      </w:r>
      <w:r w:rsidR="00A652FF">
        <w:rPr>
          <w:sz w:val="36"/>
          <w:szCs w:val="36"/>
        </w:rPr>
        <w:t>,</w:t>
      </w:r>
      <w:r w:rsidR="003B69F1" w:rsidRPr="003B69F1">
        <w:rPr>
          <w:sz w:val="36"/>
          <w:szCs w:val="36"/>
        </w:rPr>
        <w:t xml:space="preserve"> para </w:t>
      </w:r>
      <w:r w:rsidR="00125BBD" w:rsidRPr="003B69F1">
        <w:rPr>
          <w:sz w:val="36"/>
          <w:szCs w:val="36"/>
        </w:rPr>
        <w:t>regular las actividades de las empresas transnacionales y otras empresas en el ámbito del derecho internacional de los derechos humanos.</w:t>
      </w:r>
    </w:p>
    <w:p w:rsidR="00125BBD" w:rsidRDefault="00125BBD" w:rsidP="00CA7C04">
      <w:pPr>
        <w:jc w:val="both"/>
        <w:rPr>
          <w:sz w:val="36"/>
          <w:szCs w:val="36"/>
        </w:rPr>
      </w:pPr>
      <w:r w:rsidRPr="003B69F1">
        <w:rPr>
          <w:sz w:val="36"/>
          <w:szCs w:val="36"/>
        </w:rPr>
        <w:t xml:space="preserve"> </w:t>
      </w:r>
    </w:p>
    <w:p w:rsidR="003B69F1" w:rsidRDefault="00A652FF" w:rsidP="00CA7C0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Señor </w:t>
      </w:r>
      <w:proofErr w:type="gramStart"/>
      <w:r w:rsidR="003B69F1">
        <w:rPr>
          <w:sz w:val="36"/>
          <w:szCs w:val="36"/>
        </w:rPr>
        <w:t>Presidente</w:t>
      </w:r>
      <w:proofErr w:type="gramEnd"/>
      <w:r>
        <w:rPr>
          <w:sz w:val="36"/>
          <w:szCs w:val="36"/>
        </w:rPr>
        <w:t>,</w:t>
      </w:r>
    </w:p>
    <w:p w:rsidR="003B69F1" w:rsidRPr="003B69F1" w:rsidRDefault="003B69F1" w:rsidP="00CA7C04">
      <w:pPr>
        <w:jc w:val="both"/>
        <w:rPr>
          <w:sz w:val="36"/>
          <w:szCs w:val="36"/>
        </w:rPr>
      </w:pPr>
    </w:p>
    <w:p w:rsidR="00CA7C04" w:rsidRPr="003B69F1" w:rsidRDefault="00CA7C04" w:rsidP="00CA7C04">
      <w:pPr>
        <w:jc w:val="both"/>
        <w:rPr>
          <w:sz w:val="36"/>
          <w:szCs w:val="36"/>
        </w:rPr>
      </w:pPr>
      <w:r w:rsidRPr="003B69F1">
        <w:rPr>
          <w:sz w:val="36"/>
          <w:szCs w:val="36"/>
        </w:rPr>
        <w:t xml:space="preserve">Sobre </w:t>
      </w:r>
      <w:r w:rsidR="00A652FF">
        <w:rPr>
          <w:sz w:val="36"/>
          <w:szCs w:val="36"/>
        </w:rPr>
        <w:t xml:space="preserve">la definición de víctima contenida </w:t>
      </w:r>
      <w:r w:rsidRPr="003B69F1">
        <w:rPr>
          <w:sz w:val="36"/>
          <w:szCs w:val="36"/>
        </w:rPr>
        <w:t xml:space="preserve">en el artículo 4, numeral 1, </w:t>
      </w:r>
      <w:r w:rsidR="00A652FF">
        <w:rPr>
          <w:sz w:val="36"/>
          <w:szCs w:val="36"/>
        </w:rPr>
        <w:t>d</w:t>
      </w:r>
      <w:r w:rsidRPr="003B69F1">
        <w:rPr>
          <w:sz w:val="36"/>
          <w:szCs w:val="36"/>
        </w:rPr>
        <w:t xml:space="preserve">el </w:t>
      </w:r>
      <w:r w:rsidR="00A652FF">
        <w:rPr>
          <w:sz w:val="36"/>
          <w:szCs w:val="36"/>
        </w:rPr>
        <w:t xml:space="preserve">Proyecto de </w:t>
      </w:r>
      <w:r w:rsidRPr="003B69F1">
        <w:rPr>
          <w:sz w:val="36"/>
          <w:szCs w:val="36"/>
        </w:rPr>
        <w:t>instrumento internacional</w:t>
      </w:r>
      <w:r w:rsidR="00A652FF">
        <w:rPr>
          <w:sz w:val="36"/>
          <w:szCs w:val="36"/>
        </w:rPr>
        <w:t>, éste d</w:t>
      </w:r>
      <w:r w:rsidRPr="003B69F1">
        <w:rPr>
          <w:sz w:val="36"/>
          <w:szCs w:val="36"/>
        </w:rPr>
        <w:t xml:space="preserve">ifiere de la establecida en nuestro ordenamiento jurídico, que </w:t>
      </w:r>
      <w:r w:rsidR="00A652FF">
        <w:rPr>
          <w:sz w:val="36"/>
          <w:szCs w:val="36"/>
        </w:rPr>
        <w:t>dispone</w:t>
      </w:r>
      <w:r w:rsidRPr="003B69F1">
        <w:rPr>
          <w:sz w:val="36"/>
          <w:szCs w:val="36"/>
        </w:rPr>
        <w:t xml:space="preserve"> que toda víctima es la persona directamente ofendida por el delito. Pese a ello</w:t>
      </w:r>
      <w:r w:rsidR="00A652FF">
        <w:rPr>
          <w:sz w:val="36"/>
          <w:szCs w:val="36"/>
        </w:rPr>
        <w:t>,</w:t>
      </w:r>
      <w:r w:rsidRPr="003B69F1">
        <w:rPr>
          <w:sz w:val="36"/>
          <w:szCs w:val="36"/>
        </w:rPr>
        <w:t xml:space="preserve"> consideramos </w:t>
      </w:r>
      <w:r w:rsidR="00A652FF">
        <w:rPr>
          <w:sz w:val="36"/>
          <w:szCs w:val="36"/>
        </w:rPr>
        <w:t xml:space="preserve">que es </w:t>
      </w:r>
      <w:r w:rsidRPr="003B69F1">
        <w:rPr>
          <w:sz w:val="36"/>
          <w:szCs w:val="36"/>
        </w:rPr>
        <w:t>jurídicamente válid</w:t>
      </w:r>
      <w:r w:rsidR="00351D6F">
        <w:rPr>
          <w:sz w:val="36"/>
          <w:szCs w:val="36"/>
        </w:rPr>
        <w:t>a</w:t>
      </w:r>
      <w:r w:rsidRPr="003B69F1">
        <w:rPr>
          <w:sz w:val="36"/>
          <w:szCs w:val="36"/>
        </w:rPr>
        <w:t xml:space="preserve"> </w:t>
      </w:r>
      <w:r w:rsidR="00C66370">
        <w:rPr>
          <w:sz w:val="36"/>
          <w:szCs w:val="36"/>
        </w:rPr>
        <w:t xml:space="preserve">la manera </w:t>
      </w:r>
      <w:r w:rsidR="00351D6F">
        <w:rPr>
          <w:sz w:val="36"/>
          <w:szCs w:val="36"/>
        </w:rPr>
        <w:t xml:space="preserve">de </w:t>
      </w:r>
      <w:r w:rsidR="00C66370">
        <w:rPr>
          <w:sz w:val="36"/>
          <w:szCs w:val="36"/>
        </w:rPr>
        <w:t xml:space="preserve">como se ha formulado </w:t>
      </w:r>
      <w:r w:rsidRPr="003B69F1">
        <w:rPr>
          <w:sz w:val="36"/>
          <w:szCs w:val="36"/>
        </w:rPr>
        <w:t>e</w:t>
      </w:r>
      <w:r w:rsidR="00C66370">
        <w:rPr>
          <w:sz w:val="36"/>
          <w:szCs w:val="36"/>
        </w:rPr>
        <w:t>ste</w:t>
      </w:r>
      <w:r w:rsidRPr="003B69F1">
        <w:rPr>
          <w:sz w:val="36"/>
          <w:szCs w:val="36"/>
        </w:rPr>
        <w:t xml:space="preserve"> concepto </w:t>
      </w:r>
      <w:r w:rsidR="00A652FF">
        <w:rPr>
          <w:sz w:val="36"/>
          <w:szCs w:val="36"/>
        </w:rPr>
        <w:t xml:space="preserve">en </w:t>
      </w:r>
      <w:r w:rsidR="00351D6F">
        <w:rPr>
          <w:sz w:val="36"/>
          <w:szCs w:val="36"/>
        </w:rPr>
        <w:t>el</w:t>
      </w:r>
      <w:r w:rsidR="00A652FF">
        <w:rPr>
          <w:sz w:val="36"/>
          <w:szCs w:val="36"/>
        </w:rPr>
        <w:t xml:space="preserve"> P</w:t>
      </w:r>
      <w:r w:rsidRPr="003B69F1">
        <w:rPr>
          <w:sz w:val="36"/>
          <w:szCs w:val="36"/>
        </w:rPr>
        <w:t>royecto del instrumento internacional jurídicamente vinculante.</w:t>
      </w:r>
    </w:p>
    <w:p w:rsidR="00125BBD" w:rsidRPr="003B69F1" w:rsidRDefault="00125BBD" w:rsidP="00CA7C04">
      <w:pPr>
        <w:jc w:val="both"/>
        <w:rPr>
          <w:sz w:val="36"/>
          <w:szCs w:val="36"/>
        </w:rPr>
      </w:pPr>
    </w:p>
    <w:p w:rsidR="00C8330F" w:rsidRPr="003B69F1" w:rsidRDefault="00CA7C04" w:rsidP="00CA7C04">
      <w:pPr>
        <w:jc w:val="both"/>
        <w:rPr>
          <w:sz w:val="36"/>
          <w:szCs w:val="36"/>
        </w:rPr>
      </w:pPr>
      <w:r w:rsidRPr="003B69F1">
        <w:rPr>
          <w:sz w:val="36"/>
          <w:szCs w:val="36"/>
        </w:rPr>
        <w:t xml:space="preserve">En relación a la definición de </w:t>
      </w:r>
      <w:r w:rsidR="00351D6F">
        <w:rPr>
          <w:sz w:val="36"/>
          <w:szCs w:val="36"/>
        </w:rPr>
        <w:t>“</w:t>
      </w:r>
      <w:r w:rsidRPr="003B69F1">
        <w:rPr>
          <w:sz w:val="36"/>
          <w:szCs w:val="36"/>
        </w:rPr>
        <w:t>Empresas Transnacionales</w:t>
      </w:r>
      <w:r w:rsidR="00351D6F">
        <w:rPr>
          <w:sz w:val="36"/>
          <w:szCs w:val="36"/>
        </w:rPr>
        <w:t>”</w:t>
      </w:r>
      <w:r w:rsidRPr="003B69F1">
        <w:rPr>
          <w:sz w:val="36"/>
          <w:szCs w:val="36"/>
        </w:rPr>
        <w:t>,</w:t>
      </w:r>
      <w:r w:rsidR="0034290A">
        <w:rPr>
          <w:sz w:val="36"/>
          <w:szCs w:val="36"/>
        </w:rPr>
        <w:t xml:space="preserve"> creemos que</w:t>
      </w:r>
      <w:r w:rsidRPr="003B69F1">
        <w:rPr>
          <w:sz w:val="36"/>
          <w:szCs w:val="36"/>
        </w:rPr>
        <w:t xml:space="preserve"> debe </w:t>
      </w:r>
      <w:r w:rsidR="0040297A">
        <w:rPr>
          <w:sz w:val="36"/>
          <w:szCs w:val="36"/>
        </w:rPr>
        <w:t xml:space="preserve">ser </w:t>
      </w:r>
      <w:r w:rsidRPr="003B69F1">
        <w:rPr>
          <w:sz w:val="36"/>
          <w:szCs w:val="36"/>
        </w:rPr>
        <w:t>establec</w:t>
      </w:r>
      <w:r w:rsidR="0040297A">
        <w:rPr>
          <w:sz w:val="36"/>
          <w:szCs w:val="36"/>
        </w:rPr>
        <w:t xml:space="preserve">ida </w:t>
      </w:r>
      <w:r w:rsidR="0034290A">
        <w:rPr>
          <w:sz w:val="36"/>
          <w:szCs w:val="36"/>
        </w:rPr>
        <w:t>d</w:t>
      </w:r>
      <w:r w:rsidR="0034290A" w:rsidRPr="003B69F1">
        <w:rPr>
          <w:sz w:val="36"/>
          <w:szCs w:val="36"/>
        </w:rPr>
        <w:t xml:space="preserve">entro del texto </w:t>
      </w:r>
      <w:r w:rsidR="0040297A">
        <w:rPr>
          <w:sz w:val="36"/>
          <w:szCs w:val="36"/>
        </w:rPr>
        <w:t>con</w:t>
      </w:r>
      <w:r w:rsidRPr="003B69F1">
        <w:rPr>
          <w:sz w:val="36"/>
          <w:szCs w:val="36"/>
        </w:rPr>
        <w:t xml:space="preserve"> un marco conceptual sólido, para evitar la ambigüedad interpretativa</w:t>
      </w:r>
      <w:r w:rsidR="0040297A">
        <w:rPr>
          <w:sz w:val="36"/>
          <w:szCs w:val="36"/>
        </w:rPr>
        <w:t xml:space="preserve"> al momento de aplicar el </w:t>
      </w:r>
      <w:r w:rsidR="00351D6F">
        <w:rPr>
          <w:sz w:val="36"/>
          <w:szCs w:val="36"/>
        </w:rPr>
        <w:t xml:space="preserve">futuro </w:t>
      </w:r>
      <w:r w:rsidR="0040297A">
        <w:rPr>
          <w:sz w:val="36"/>
          <w:szCs w:val="36"/>
        </w:rPr>
        <w:t>tratado</w:t>
      </w:r>
      <w:r w:rsidRPr="003B69F1">
        <w:rPr>
          <w:sz w:val="36"/>
          <w:szCs w:val="36"/>
        </w:rPr>
        <w:t>.</w:t>
      </w:r>
      <w:r w:rsidR="00C72382" w:rsidRPr="003B69F1">
        <w:rPr>
          <w:sz w:val="36"/>
          <w:szCs w:val="36"/>
        </w:rPr>
        <w:t xml:space="preserve"> </w:t>
      </w:r>
    </w:p>
    <w:p w:rsidR="00125BBD" w:rsidRPr="003B69F1" w:rsidRDefault="00125BBD" w:rsidP="00CA7C04">
      <w:pPr>
        <w:jc w:val="both"/>
        <w:rPr>
          <w:sz w:val="36"/>
          <w:szCs w:val="36"/>
        </w:rPr>
      </w:pPr>
    </w:p>
    <w:p w:rsidR="00125BBD" w:rsidRPr="003B69F1" w:rsidRDefault="00125BBD" w:rsidP="00CA7C04">
      <w:pPr>
        <w:jc w:val="both"/>
        <w:rPr>
          <w:sz w:val="36"/>
          <w:szCs w:val="36"/>
        </w:rPr>
      </w:pPr>
      <w:r w:rsidRPr="003B69F1">
        <w:rPr>
          <w:sz w:val="36"/>
          <w:szCs w:val="36"/>
        </w:rPr>
        <w:t xml:space="preserve">Muchas </w:t>
      </w:r>
      <w:r w:rsidR="00351D6F">
        <w:rPr>
          <w:sz w:val="36"/>
          <w:szCs w:val="36"/>
        </w:rPr>
        <w:t>g</w:t>
      </w:r>
      <w:r w:rsidRPr="003B69F1">
        <w:rPr>
          <w:sz w:val="36"/>
          <w:szCs w:val="36"/>
        </w:rPr>
        <w:t>racias</w:t>
      </w:r>
      <w:r w:rsidR="00351D6F">
        <w:rPr>
          <w:sz w:val="36"/>
          <w:szCs w:val="36"/>
        </w:rPr>
        <w:t>.</w:t>
      </w:r>
      <w:bookmarkStart w:id="0" w:name="_GoBack"/>
      <w:bookmarkEnd w:id="0"/>
    </w:p>
    <w:sectPr w:rsidR="00125BBD" w:rsidRPr="003B69F1" w:rsidSect="00017562">
      <w:headerReference w:type="default" r:id="rId8"/>
      <w:endnotePr>
        <w:numFmt w:val="decimal"/>
      </w:endnotePr>
      <w:pgSz w:w="11907" w:h="16840"/>
      <w:pgMar w:top="426" w:right="1287" w:bottom="851" w:left="1077" w:header="71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F5C" w:rsidRDefault="00AF5F5C">
      <w:r>
        <w:separator/>
      </w:r>
    </w:p>
  </w:endnote>
  <w:endnote w:type="continuationSeparator" w:id="0">
    <w:p w:rsidR="00AF5F5C" w:rsidRDefault="00AF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F5C" w:rsidRDefault="00AF5F5C">
      <w:r>
        <w:separator/>
      </w:r>
    </w:p>
  </w:footnote>
  <w:footnote w:type="continuationSeparator" w:id="0">
    <w:p w:rsidR="00AF5F5C" w:rsidRDefault="00AF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6AA" w:rsidRDefault="005E3FB2" w:rsidP="000946AA">
    <w:pPr>
      <w:pStyle w:val="Encabezado"/>
      <w:ind w:left="-567"/>
    </w:pPr>
    <w:r w:rsidRPr="005013FF">
      <w:rPr>
        <w:noProof/>
      </w:rPr>
      <w:drawing>
        <wp:anchor distT="0" distB="0" distL="114300" distR="114300" simplePos="0" relativeHeight="251658752" behindDoc="1" locked="0" layoutInCell="1" allowOverlap="1" wp14:anchorId="4D6A1367" wp14:editId="797746F5">
          <wp:simplePos x="0" y="0"/>
          <wp:positionH relativeFrom="column">
            <wp:posOffset>-378460</wp:posOffset>
          </wp:positionH>
          <wp:positionV relativeFrom="paragraph">
            <wp:posOffset>-104140</wp:posOffset>
          </wp:positionV>
          <wp:extent cx="6838950" cy="504825"/>
          <wp:effectExtent l="0" t="0" r="0" b="9525"/>
          <wp:wrapTight wrapText="bothSides">
            <wp:wrapPolygon edited="0">
              <wp:start x="0" y="0"/>
              <wp:lineTo x="0" y="21192"/>
              <wp:lineTo x="21540" y="21192"/>
              <wp:lineTo x="2154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DE7"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A8EF149" wp14:editId="68CB6272">
              <wp:simplePos x="0" y="0"/>
              <wp:positionH relativeFrom="margin">
                <wp:posOffset>-8255</wp:posOffset>
              </wp:positionH>
              <wp:positionV relativeFrom="paragraph">
                <wp:posOffset>457834</wp:posOffset>
              </wp:positionV>
              <wp:extent cx="6468110" cy="0"/>
              <wp:effectExtent l="0" t="0" r="27940" b="19050"/>
              <wp:wrapSquare wrapText="bothSides"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40EFB" id="Conector recto 68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.65pt,36.05pt" to="508.6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" strokecolor="red" strokeweight="1.5pt">
              <v:stroke joinstyle="miter"/>
              <o:lock v:ext="edit" shapetype="f"/>
              <w10:wrap type="square" anchorx="margin"/>
            </v:line>
          </w:pict>
        </mc:Fallback>
      </mc:AlternateContent>
    </w:r>
  </w:p>
  <w:p w:rsidR="000946AA" w:rsidRDefault="000946AA" w:rsidP="000946AA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:rsidR="000946AA" w:rsidRDefault="000946AA" w:rsidP="000946AA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demás Organismos Internacionales en Ginebra</w:t>
    </w:r>
  </w:p>
  <w:p w:rsidR="000946AA" w:rsidRDefault="000946AA" w:rsidP="000946AA">
    <w:pPr>
      <w:pStyle w:val="Encabezado"/>
      <w:tabs>
        <w:tab w:val="left" w:pos="6780"/>
      </w:tabs>
    </w:pPr>
    <w:r>
      <w:tab/>
    </w:r>
  </w:p>
  <w:p w:rsidR="00B03666" w:rsidRDefault="00B03666">
    <w:pPr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hideGrammaticalErrors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C9"/>
    <w:rsid w:val="00005A09"/>
    <w:rsid w:val="00016B36"/>
    <w:rsid w:val="00017562"/>
    <w:rsid w:val="00022D35"/>
    <w:rsid w:val="000304D4"/>
    <w:rsid w:val="00056D1B"/>
    <w:rsid w:val="00063746"/>
    <w:rsid w:val="0007091B"/>
    <w:rsid w:val="00074426"/>
    <w:rsid w:val="0007748E"/>
    <w:rsid w:val="000946AA"/>
    <w:rsid w:val="000A73D4"/>
    <w:rsid w:val="000C4550"/>
    <w:rsid w:val="000D5439"/>
    <w:rsid w:val="000D7A44"/>
    <w:rsid w:val="000F2B18"/>
    <w:rsid w:val="000F7E7C"/>
    <w:rsid w:val="001030A8"/>
    <w:rsid w:val="00115839"/>
    <w:rsid w:val="0012409B"/>
    <w:rsid w:val="00125BBD"/>
    <w:rsid w:val="00126AB7"/>
    <w:rsid w:val="001933C4"/>
    <w:rsid w:val="001C440B"/>
    <w:rsid w:val="001D4D20"/>
    <w:rsid w:val="00201F07"/>
    <w:rsid w:val="002142A7"/>
    <w:rsid w:val="00237F5A"/>
    <w:rsid w:val="0024304B"/>
    <w:rsid w:val="0025119D"/>
    <w:rsid w:val="00252F0F"/>
    <w:rsid w:val="00253E2F"/>
    <w:rsid w:val="00267E47"/>
    <w:rsid w:val="00276EEA"/>
    <w:rsid w:val="00277843"/>
    <w:rsid w:val="002779CB"/>
    <w:rsid w:val="0029428C"/>
    <w:rsid w:val="002C0750"/>
    <w:rsid w:val="002E0A37"/>
    <w:rsid w:val="002E47A8"/>
    <w:rsid w:val="003013A4"/>
    <w:rsid w:val="00305219"/>
    <w:rsid w:val="003059EA"/>
    <w:rsid w:val="00334175"/>
    <w:rsid w:val="003371B9"/>
    <w:rsid w:val="0034290A"/>
    <w:rsid w:val="00346343"/>
    <w:rsid w:val="00351D6F"/>
    <w:rsid w:val="00352DD3"/>
    <w:rsid w:val="00366B9C"/>
    <w:rsid w:val="00370460"/>
    <w:rsid w:val="00370D04"/>
    <w:rsid w:val="003842C0"/>
    <w:rsid w:val="003976C9"/>
    <w:rsid w:val="003B69F1"/>
    <w:rsid w:val="003C7466"/>
    <w:rsid w:val="003D4FEE"/>
    <w:rsid w:val="003F6906"/>
    <w:rsid w:val="0040297A"/>
    <w:rsid w:val="0040395A"/>
    <w:rsid w:val="00412151"/>
    <w:rsid w:val="00444DF4"/>
    <w:rsid w:val="00453669"/>
    <w:rsid w:val="00467FA1"/>
    <w:rsid w:val="00485928"/>
    <w:rsid w:val="004A44C5"/>
    <w:rsid w:val="004B0525"/>
    <w:rsid w:val="004B0A10"/>
    <w:rsid w:val="004C11A7"/>
    <w:rsid w:val="004E4205"/>
    <w:rsid w:val="004E7796"/>
    <w:rsid w:val="00553186"/>
    <w:rsid w:val="00562633"/>
    <w:rsid w:val="005764E4"/>
    <w:rsid w:val="005779F0"/>
    <w:rsid w:val="005B39CF"/>
    <w:rsid w:val="005D1731"/>
    <w:rsid w:val="005D5A2B"/>
    <w:rsid w:val="005E3FB2"/>
    <w:rsid w:val="005E531D"/>
    <w:rsid w:val="005E6D86"/>
    <w:rsid w:val="005F45A4"/>
    <w:rsid w:val="00630C74"/>
    <w:rsid w:val="006408D3"/>
    <w:rsid w:val="0066049A"/>
    <w:rsid w:val="00661C57"/>
    <w:rsid w:val="00686A56"/>
    <w:rsid w:val="0069554C"/>
    <w:rsid w:val="006A22D6"/>
    <w:rsid w:val="006C689D"/>
    <w:rsid w:val="006D2E59"/>
    <w:rsid w:val="006D559E"/>
    <w:rsid w:val="00710E70"/>
    <w:rsid w:val="007237C9"/>
    <w:rsid w:val="00727CA5"/>
    <w:rsid w:val="0074662F"/>
    <w:rsid w:val="00751AE7"/>
    <w:rsid w:val="00762615"/>
    <w:rsid w:val="007703FE"/>
    <w:rsid w:val="00796E6C"/>
    <w:rsid w:val="007B6F1A"/>
    <w:rsid w:val="007D1A55"/>
    <w:rsid w:val="007F28DB"/>
    <w:rsid w:val="007F6D2A"/>
    <w:rsid w:val="0080395E"/>
    <w:rsid w:val="00803BAB"/>
    <w:rsid w:val="008267C6"/>
    <w:rsid w:val="008314C4"/>
    <w:rsid w:val="00834750"/>
    <w:rsid w:val="00865521"/>
    <w:rsid w:val="00874F72"/>
    <w:rsid w:val="00881E75"/>
    <w:rsid w:val="0089359B"/>
    <w:rsid w:val="008A050D"/>
    <w:rsid w:val="008A2389"/>
    <w:rsid w:val="008A403D"/>
    <w:rsid w:val="008A6712"/>
    <w:rsid w:val="008A68A6"/>
    <w:rsid w:val="008D12B6"/>
    <w:rsid w:val="008F1592"/>
    <w:rsid w:val="008F791C"/>
    <w:rsid w:val="009011E2"/>
    <w:rsid w:val="00901687"/>
    <w:rsid w:val="00903A0B"/>
    <w:rsid w:val="00911B84"/>
    <w:rsid w:val="00914889"/>
    <w:rsid w:val="00927C37"/>
    <w:rsid w:val="00937A71"/>
    <w:rsid w:val="009414DC"/>
    <w:rsid w:val="00947B77"/>
    <w:rsid w:val="00955A19"/>
    <w:rsid w:val="009610DD"/>
    <w:rsid w:val="00974DE7"/>
    <w:rsid w:val="00982164"/>
    <w:rsid w:val="009869DA"/>
    <w:rsid w:val="009953C0"/>
    <w:rsid w:val="009954E0"/>
    <w:rsid w:val="009A641C"/>
    <w:rsid w:val="009B3573"/>
    <w:rsid w:val="009C3DEE"/>
    <w:rsid w:val="009F1521"/>
    <w:rsid w:val="009F32A6"/>
    <w:rsid w:val="00A0062E"/>
    <w:rsid w:val="00A24BE0"/>
    <w:rsid w:val="00A26247"/>
    <w:rsid w:val="00A349A4"/>
    <w:rsid w:val="00A408E0"/>
    <w:rsid w:val="00A474D5"/>
    <w:rsid w:val="00A53609"/>
    <w:rsid w:val="00A56B01"/>
    <w:rsid w:val="00A652FF"/>
    <w:rsid w:val="00A7547D"/>
    <w:rsid w:val="00A82CCE"/>
    <w:rsid w:val="00A8323F"/>
    <w:rsid w:val="00AA5227"/>
    <w:rsid w:val="00AA5502"/>
    <w:rsid w:val="00AC2C78"/>
    <w:rsid w:val="00AC2CF7"/>
    <w:rsid w:val="00AD612B"/>
    <w:rsid w:val="00AD7F72"/>
    <w:rsid w:val="00AE1C29"/>
    <w:rsid w:val="00AE253E"/>
    <w:rsid w:val="00AE5BEC"/>
    <w:rsid w:val="00AF4A80"/>
    <w:rsid w:val="00AF5F5C"/>
    <w:rsid w:val="00B03666"/>
    <w:rsid w:val="00B039F8"/>
    <w:rsid w:val="00B1428D"/>
    <w:rsid w:val="00B23E06"/>
    <w:rsid w:val="00B27735"/>
    <w:rsid w:val="00B42579"/>
    <w:rsid w:val="00B513D7"/>
    <w:rsid w:val="00B54644"/>
    <w:rsid w:val="00B7696C"/>
    <w:rsid w:val="00BA1A55"/>
    <w:rsid w:val="00BB39C8"/>
    <w:rsid w:val="00BB6E56"/>
    <w:rsid w:val="00BC25F7"/>
    <w:rsid w:val="00BE4C92"/>
    <w:rsid w:val="00BF3B8B"/>
    <w:rsid w:val="00C16597"/>
    <w:rsid w:val="00C570BB"/>
    <w:rsid w:val="00C64111"/>
    <w:rsid w:val="00C66370"/>
    <w:rsid w:val="00C72382"/>
    <w:rsid w:val="00C8330F"/>
    <w:rsid w:val="00C90328"/>
    <w:rsid w:val="00C927F3"/>
    <w:rsid w:val="00C94037"/>
    <w:rsid w:val="00CA7C04"/>
    <w:rsid w:val="00CB62E0"/>
    <w:rsid w:val="00CB6D11"/>
    <w:rsid w:val="00D101E7"/>
    <w:rsid w:val="00D168E6"/>
    <w:rsid w:val="00D45F8D"/>
    <w:rsid w:val="00D548C1"/>
    <w:rsid w:val="00D65539"/>
    <w:rsid w:val="00D65E94"/>
    <w:rsid w:val="00D93B69"/>
    <w:rsid w:val="00D93BDE"/>
    <w:rsid w:val="00DA076D"/>
    <w:rsid w:val="00DA4963"/>
    <w:rsid w:val="00DA5186"/>
    <w:rsid w:val="00DA742B"/>
    <w:rsid w:val="00DC0DC5"/>
    <w:rsid w:val="00DC1120"/>
    <w:rsid w:val="00DC7CA0"/>
    <w:rsid w:val="00DD4EBB"/>
    <w:rsid w:val="00DE094B"/>
    <w:rsid w:val="00DE1758"/>
    <w:rsid w:val="00E05266"/>
    <w:rsid w:val="00E07A5F"/>
    <w:rsid w:val="00E11985"/>
    <w:rsid w:val="00E165E8"/>
    <w:rsid w:val="00E31604"/>
    <w:rsid w:val="00E64A6C"/>
    <w:rsid w:val="00E70806"/>
    <w:rsid w:val="00E72435"/>
    <w:rsid w:val="00E8112B"/>
    <w:rsid w:val="00E953A8"/>
    <w:rsid w:val="00EA7F7B"/>
    <w:rsid w:val="00EC543D"/>
    <w:rsid w:val="00EC7A20"/>
    <w:rsid w:val="00EF2267"/>
    <w:rsid w:val="00F605F9"/>
    <w:rsid w:val="00F60B05"/>
    <w:rsid w:val="00F7001F"/>
    <w:rsid w:val="00F72A57"/>
    <w:rsid w:val="00F90638"/>
    <w:rsid w:val="00FA3F43"/>
    <w:rsid w:val="00FC7969"/>
    <w:rsid w:val="00FD4DA6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D853E71"/>
  <w15:chartTrackingRefBased/>
  <w15:docId w15:val="{06813C2C-A77C-4EA8-A475-553C42C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semiHidden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cabezadoCar">
    <w:name w:val="Encabezado Car"/>
    <w:link w:val="Encabezado"/>
    <w:uiPriority w:val="99"/>
    <w:rsid w:val="000946A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C4018A-612D-41BD-8875-8B8F249A8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0A0C6-FC19-49C3-B84A-18024EB838BA}"/>
</file>

<file path=customXml/itemProps3.xml><?xml version="1.0" encoding="utf-8"?>
<ds:datastoreItem xmlns:ds="http://schemas.openxmlformats.org/officeDocument/2006/customXml" ds:itemID="{C9ED2284-A0A2-4984-BD0E-F9CF30EB3E95}"/>
</file>

<file path=customXml/itemProps4.xml><?xml version="1.0" encoding="utf-8"?>
<ds:datastoreItem xmlns:ds="http://schemas.openxmlformats.org/officeDocument/2006/customXml" ds:itemID="{9B3335CC-89CB-472C-AB82-C23B5707E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carlos.castillo</dc:creator>
  <cp:keywords/>
  <dc:description/>
  <cp:lastModifiedBy>Felix Peña</cp:lastModifiedBy>
  <cp:revision>2</cp:revision>
  <cp:lastPrinted>2017-11-17T17:40:00Z</cp:lastPrinted>
  <dcterms:created xsi:type="dcterms:W3CDTF">2018-10-17T07:36:00Z</dcterms:created>
  <dcterms:modified xsi:type="dcterms:W3CDTF">2018-10-17T07:36:00Z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