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E6B47" w:rsidP="005E6B47">
      <w:r>
        <w:t>T</w:t>
      </w:r>
      <w:r w:rsidR="00AF55AE">
        <w:t>hank you, Chairperson-Rapporteur.</w:t>
      </w:r>
    </w:p>
    <w:p w:rsidR="005E6B47" w:rsidP="005E6B47"/>
    <w:p w:rsidR="005E6B47" w:rsidP="005E6B47">
      <w:r>
        <w:t xml:space="preserve">This intervention responds to Article 8 (Legal Liability) of the Second Revised Draft Treaty.  </w:t>
      </w:r>
      <w:r w:rsidR="00E92235">
        <w:t>In</w:t>
      </w:r>
      <w:r w:rsidR="00AF55AE">
        <w:t xml:space="preserve"> the interest of time, </w:t>
      </w:r>
      <w:r>
        <w:t xml:space="preserve">I limit my thoughts to </w:t>
      </w:r>
      <w:r>
        <w:t>3</w:t>
      </w:r>
      <w:r>
        <w:t xml:space="preserve"> main points.  </w:t>
      </w:r>
    </w:p>
    <w:p w:rsidR="005E6B47" w:rsidP="00552D6E"/>
    <w:p w:rsidR="005E6B47" w:rsidP="00552D6E">
      <w:r>
        <w:t xml:space="preserve">First, </w:t>
      </w:r>
      <w:r w:rsidR="00200FD9">
        <w:t xml:space="preserve">as we saw in Article 6 of the draft treaty, </w:t>
      </w:r>
      <w:r>
        <w:t>i</w:t>
      </w:r>
      <w:r w:rsidRPr="005E6B47">
        <w:t>n a significant departure from the UN</w:t>
      </w:r>
      <w:r w:rsidR="00AF55AE">
        <w:t xml:space="preserve"> </w:t>
      </w:r>
      <w:r w:rsidRPr="005E6B47">
        <w:t>G</w:t>
      </w:r>
      <w:r w:rsidR="00AF55AE">
        <w:t xml:space="preserve">uiding </w:t>
      </w:r>
      <w:r w:rsidRPr="005E6B47">
        <w:t>P</w:t>
      </w:r>
      <w:r w:rsidR="00AF55AE">
        <w:t>rinciple</w:t>
      </w:r>
      <w:r w:rsidRPr="005E6B47">
        <w:t xml:space="preserve">s, the </w:t>
      </w:r>
      <w:r w:rsidRPr="005E6B47">
        <w:t>draft’s</w:t>
      </w:r>
      <w:r w:rsidRPr="005E6B47">
        <w:t xml:space="preserve"> due diligence process requires that </w:t>
      </w:r>
      <w:r w:rsidR="00200FD9">
        <w:t>companies</w:t>
      </w:r>
      <w:r w:rsidRPr="005E6B47">
        <w:t xml:space="preserve"> actually prevent human rights violations</w:t>
      </w:r>
      <w:r w:rsidR="00200FD9">
        <w:t xml:space="preserve">.  </w:t>
      </w:r>
      <w:r w:rsidRPr="005E6B47">
        <w:t>The draft thus seeks to transform due diligence from a process-based standard to an outcome-based standard, which may, in some instances, be impossi</w:t>
      </w:r>
      <w:r w:rsidR="00200FD9">
        <w:t xml:space="preserve">ble for businesses to satisfy.  However, Article 8 then imposes administrative, civil, and criminal liability on companies for not meeting this, sometimes impossible, standard.  In short, Article 8 imposes a harsh framework of liability that is simply not workable.  </w:t>
      </w:r>
    </w:p>
    <w:p w:rsidR="005E6B47" w:rsidP="00552D6E"/>
    <w:p w:rsidR="00552D6E" w:rsidP="00552D6E">
      <w:r>
        <w:t>Second, s</w:t>
      </w:r>
      <w:r>
        <w:t xml:space="preserve">ince </w:t>
      </w:r>
      <w:r w:rsidR="007923A3">
        <w:t xml:space="preserve">Section 2 of Article 8 extends </w:t>
      </w:r>
      <w:r>
        <w:t xml:space="preserve">liability </w:t>
      </w:r>
      <w:r w:rsidR="007923A3">
        <w:t>t</w:t>
      </w:r>
      <w:r>
        <w:t xml:space="preserve">o natural persons as well, this opens the door for States to hold liable </w:t>
      </w:r>
      <w:r w:rsidR="007923A3">
        <w:t>companies’</w:t>
      </w:r>
      <w:r>
        <w:t xml:space="preserve"> directors or even shareholders.  </w:t>
      </w:r>
      <w:r w:rsidR="007923A3">
        <w:t>Not only this, Section 11 of Article 8 then extends this liability “</w:t>
      </w:r>
      <w:r w:rsidRPr="007923A3" w:rsidR="007923A3">
        <w:t>for acts or omissions that constitute attempt, participation or co</w:t>
      </w:r>
      <w:r w:rsidR="007923A3">
        <w:t xml:space="preserve">mplicity” in rights violations.  </w:t>
      </w:r>
      <w:r>
        <w:t xml:space="preserve">Thus, the </w:t>
      </w:r>
      <w:r w:rsidR="007923A3">
        <w:t>draft treaty</w:t>
      </w:r>
      <w:r>
        <w:t xml:space="preserve"> seeks to “pierce the corporate veil” in imposing broad liability </w:t>
      </w:r>
      <w:r w:rsidR="007923A3">
        <w:t xml:space="preserve">– including criminal liability – on </w:t>
      </w:r>
      <w:r>
        <w:t>a broad swath of entities and individuals</w:t>
      </w:r>
      <w:r w:rsidR="007923A3">
        <w:t xml:space="preserve">, </w:t>
      </w:r>
      <w:r w:rsidR="00467ABE">
        <w:t>for a broad range of actions, omissions, and non-actions</w:t>
      </w:r>
      <w:r w:rsidR="00E92235">
        <w:t>, raising questions of due diligence and fairness</w:t>
      </w:r>
      <w:r w:rsidR="00467ABE">
        <w:t>.</w:t>
      </w:r>
      <w:r w:rsidR="00E92235">
        <w:t xml:space="preserve">    </w:t>
      </w:r>
      <w:r w:rsidR="00467ABE">
        <w:t xml:space="preserve">  </w:t>
      </w:r>
      <w:r>
        <w:t xml:space="preserve"> </w:t>
      </w:r>
    </w:p>
    <w:p w:rsidR="00552D6E" w:rsidP="00552D6E"/>
    <w:p w:rsidR="00335133" w:rsidP="00552D6E">
      <w:r>
        <w:t>Third,</w:t>
      </w:r>
      <w:r w:rsidR="00467ABE">
        <w:t xml:space="preserve"> </w:t>
      </w:r>
      <w:r w:rsidR="00E92235">
        <w:t>Section 8 of Article 8</w:t>
      </w:r>
      <w:r w:rsidR="00E92235">
        <w:t xml:space="preserve"> appears to eliminate</w:t>
      </w:r>
      <w:r w:rsidR="00552D6E">
        <w:t xml:space="preserve"> </w:t>
      </w:r>
      <w:r w:rsidR="007238E4">
        <w:t>– or at least, ero</w:t>
      </w:r>
      <w:r w:rsidR="00E92235">
        <w:t>de</w:t>
      </w:r>
      <w:r w:rsidR="007238E4">
        <w:t xml:space="preserve"> – </w:t>
      </w:r>
      <w:r w:rsidR="00552D6E">
        <w:t>any “safe harbor” for companies that conduct due diligence, but sti</w:t>
      </w:r>
      <w:r w:rsidR="00467ABE">
        <w:t>ll result in adverse human rights impacts</w:t>
      </w:r>
      <w:r w:rsidR="00552D6E">
        <w:t xml:space="preserve">.  The </w:t>
      </w:r>
      <w:r w:rsidR="00E92235">
        <w:t>erosion</w:t>
      </w:r>
      <w:r w:rsidR="00552D6E">
        <w:t xml:space="preserve"> of this safe harbor </w:t>
      </w:r>
      <w:r w:rsidR="00E92235">
        <w:t xml:space="preserve">defense </w:t>
      </w:r>
      <w:r w:rsidR="00552D6E">
        <w:t xml:space="preserve">may fail to reward the good faith efforts of companies to </w:t>
      </w:r>
      <w:r w:rsidR="00D36FE6">
        <w:t xml:space="preserve">conduct due diligence, and will therefore </w:t>
      </w:r>
      <w:r w:rsidR="00552D6E">
        <w:t xml:space="preserve">eliminate one of the </w:t>
      </w:r>
      <w:r w:rsidR="00467ABE">
        <w:t xml:space="preserve">most powerful </w:t>
      </w:r>
      <w:r w:rsidR="00552D6E">
        <w:t xml:space="preserve">incentives for companies to conduct due diligence.  </w:t>
      </w:r>
      <w:r w:rsidR="00467ABE">
        <w:t xml:space="preserve">This </w:t>
      </w:r>
      <w:r w:rsidR="005F68D9">
        <w:t>provision</w:t>
      </w:r>
      <w:r w:rsidRPr="00896392" w:rsidR="00896392">
        <w:t xml:space="preserve"> is also antithetical to </w:t>
      </w:r>
      <w:r w:rsidR="007238E4">
        <w:t>many</w:t>
      </w:r>
      <w:r w:rsidRPr="00896392" w:rsidR="00896392">
        <w:t xml:space="preserve"> jurisdictions’ approach to corporate due diligence – either in the human rights context or other contexts</w:t>
      </w:r>
      <w:r w:rsidR="00896392">
        <w:t xml:space="preserve">.  For example, courts have found that </w:t>
      </w:r>
      <w:r w:rsidRPr="00896392" w:rsidR="00896392">
        <w:t>the CA Transparency in Supply Chains Act</w:t>
      </w:r>
      <w:r w:rsidRPr="00896392" w:rsidR="00896392">
        <w:t xml:space="preserve"> </w:t>
      </w:r>
      <w:r w:rsidR="00896392">
        <w:t xml:space="preserve">creates a safe harbor against consumer protection claims against </w:t>
      </w:r>
      <w:r w:rsidRPr="00896392" w:rsidR="00896392">
        <w:t xml:space="preserve">companies that make disclosures under </w:t>
      </w:r>
      <w:r w:rsidR="00896392">
        <w:t>that law.</w:t>
      </w:r>
      <w:r>
        <w:rPr>
          <w:rStyle w:val="FootnoteReference"/>
        </w:rPr>
        <w:footnoteReference w:id="2"/>
      </w:r>
      <w:r w:rsidR="00896392">
        <w:t xml:space="preserve">  </w:t>
      </w:r>
      <w:r w:rsidR="0092441E">
        <w:t xml:space="preserve">Similarly, the proposed human rights due diligence law in Germany </w:t>
      </w:r>
      <w:r w:rsidR="0092441E">
        <w:t>has been interpreted</w:t>
      </w:r>
      <w:r w:rsidR="0092441E">
        <w:t xml:space="preserve"> to create a safe harbor against rights violations for companies that make the required disclosures.  As another example, </w:t>
      </w:r>
      <w:r w:rsidR="007238E4">
        <w:t xml:space="preserve">in a slightly different context, </w:t>
      </w:r>
      <w:r w:rsidR="0092441E">
        <w:t xml:space="preserve">in the UK, if a company has “adequate procedures” </w:t>
      </w:r>
      <w:r w:rsidRPr="0092441E" w:rsidR="0092441E">
        <w:t>in place to prevent bribery</w:t>
      </w:r>
      <w:r w:rsidR="0092441E">
        <w:t>, it will have a complete defens</w:t>
      </w:r>
      <w:r w:rsidRPr="0092441E" w:rsidR="0092441E">
        <w:t>e</w:t>
      </w:r>
      <w:r w:rsidR="0092441E">
        <w:t xml:space="preserve"> against a claim under the UK Bribery Act.</w:t>
      </w:r>
      <w:r w:rsidR="007238E4">
        <w:t xml:space="preserve">  Thus, the </w:t>
      </w:r>
      <w:r w:rsidR="005F68D9">
        <w:t>erosion</w:t>
      </w:r>
      <w:r w:rsidR="007238E4">
        <w:t xml:space="preserve"> of this “safe harbor” argument from the treaty is a critical missed opportunity to incentivize compani</w:t>
      </w:r>
      <w:bookmarkStart w:id="0" w:name="_GoBack"/>
      <w:bookmarkEnd w:id="0"/>
      <w:r w:rsidR="007238E4">
        <w:t>es to engage in human ri</w:t>
      </w:r>
      <w:r w:rsidR="00FC5355">
        <w:t xml:space="preserve">ghts due diligence.  </w:t>
      </w:r>
      <w:r w:rsidR="007238E4">
        <w:t xml:space="preserve"> </w:t>
      </w:r>
      <w:r w:rsidR="0092441E">
        <w:t xml:space="preserve">   </w:t>
      </w:r>
    </w:p>
    <w:p w:rsidR="005E6B47" w:rsidP="00552D6E"/>
    <w:p w:rsidR="00C5181F" w:rsidP="00552D6E">
      <w:r>
        <w:t>Thank you.</w:t>
      </w:r>
    </w:p>
    <w:p w:rsidR="00E92235" w:rsidP="00552D6E"/>
    <w:p w:rsidR="00E92235" w:rsidP="00552D6E">
      <w:pPr>
        <w:rPr>
          <w:i/>
          <w:u w:val="single"/>
        </w:rPr>
      </w:pPr>
      <w:r>
        <w:rPr>
          <w:i/>
          <w:u w:val="single"/>
        </w:rPr>
        <w:t>/s/ Lavanga V. Wijekoon</w:t>
      </w:r>
    </w:p>
    <w:p w:rsidR="00E92235" w:rsidP="00552D6E">
      <w:pPr>
        <w:rPr>
          <w:i/>
          <w:u w:val="single"/>
        </w:rPr>
      </w:pPr>
    </w:p>
    <w:p w:rsidR="00E92235" w:rsidRPr="00E92235" w:rsidP="00552D6E">
      <w:r>
        <w:t>Lavanga V. Wijekoon</w:t>
      </w:r>
    </w:p>
    <w:sectPr w:rsidSect="00012A1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B03F4" w:rsidP="00896392">
      <w:r>
        <w:separator/>
      </w:r>
    </w:p>
  </w:footnote>
  <w:footnote w:type="continuationSeparator" w:id="1">
    <w:p w:rsidR="006B03F4" w:rsidP="00896392">
      <w:r>
        <w:continuationSeparator/>
      </w:r>
    </w:p>
  </w:footnote>
  <w:footnote w:id="2">
    <w:p w:rsidR="00896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6392">
        <w:rPr>
          <w:i/>
        </w:rPr>
        <w:t xml:space="preserve">Wirth </w:t>
      </w:r>
      <w:r w:rsidRPr="00896392">
        <w:rPr>
          <w:i/>
        </w:rPr>
        <w:t>v.</w:t>
      </w:r>
      <w:r w:rsidRPr="00896392">
        <w:rPr>
          <w:i/>
        </w:rPr>
        <w:t xml:space="preserve"> Mars, Inc</w:t>
      </w:r>
      <w:r w:rsidRPr="00896392">
        <w:t>., Case No. 1:15-</w:t>
      </w:r>
      <w:r w:rsidRPr="00896392">
        <w:t>cv-</w:t>
      </w:r>
      <w:r w:rsidRPr="00896392">
        <w:t>1470, 2016 U.S. Dist. LEXIS 14552, at *3 (C.D. Cal. Feb. 5, 2016) (concerning cat food products that may have included i</w:t>
      </w:r>
      <w:r>
        <w:t xml:space="preserve">ngredients from forced labor); </w:t>
      </w:r>
      <w:r w:rsidRPr="00896392">
        <w:rPr>
          <w:i/>
        </w:rPr>
        <w:t xml:space="preserve">see also Barber </w:t>
      </w:r>
      <w:r w:rsidRPr="00896392">
        <w:rPr>
          <w:i/>
        </w:rPr>
        <w:t>v.</w:t>
      </w:r>
      <w:r w:rsidRPr="00896392">
        <w:rPr>
          <w:i/>
        </w:rPr>
        <w:t xml:space="preserve"> Nestle USA, Inc</w:t>
      </w:r>
      <w:r w:rsidRPr="00896392">
        <w:t>., 154 F. Supp. 3d 954, 961 (C.D. Cal. 2015) (same).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F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FD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1E4606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567FD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567FD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1E4606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6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6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60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DA"/>
  </w:style>
  <w:style w:type="paragraph" w:styleId="FootnoteText">
    <w:name w:val="footnote text"/>
    <w:basedOn w:val="Normal"/>
    <w:link w:val="FootnoteTextChar"/>
    <w:uiPriority w:val="99"/>
    <w:semiHidden/>
    <w:unhideWhenUsed/>
    <w:rsid w:val="008963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39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footnotes" Target="footnote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BA091-04AE-474A-A1FD-9721548CE4DA}"/>
</file>

<file path=customXml/itemProps2.xml><?xml version="1.0" encoding="utf-8"?>
<ds:datastoreItem xmlns:ds="http://schemas.openxmlformats.org/officeDocument/2006/customXml" ds:itemID="{C04EACAD-A221-4E07-96F7-412939F49C59}"/>
</file>

<file path=customXml/itemProps3.xml><?xml version="1.0" encoding="utf-8"?>
<ds:datastoreItem xmlns:ds="http://schemas.openxmlformats.org/officeDocument/2006/customXml" ds:itemID="{997D583F-FF7E-435C-B9C3-2165B857C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2579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