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56DB" w:rsidRDefault="00D556DB" w:rsidP="00D4096A">
      <w:pPr>
        <w:jc w:val="both"/>
        <w:rPr>
          <w:rFonts w:asciiTheme="majorBidi" w:hAnsiTheme="majorBidi" w:cstheme="majorBidi"/>
          <w:b/>
          <w:bCs/>
          <w:lang w:val="en-US"/>
        </w:rPr>
      </w:pPr>
    </w:p>
    <w:p w:rsidR="006414B8" w:rsidRDefault="006414B8" w:rsidP="0066393D">
      <w:pPr>
        <w:pStyle w:val="s16"/>
        <w:spacing w:before="0" w:beforeAutospacing="0" w:after="0" w:afterAutospacing="0"/>
        <w:jc w:val="center"/>
        <w:rPr>
          <w:rStyle w:val="s13"/>
          <w:rFonts w:cstheme="majorBidi"/>
          <w:b/>
          <w:bCs/>
          <w:color w:val="000000"/>
          <w:sz w:val="28"/>
          <w:szCs w:val="28"/>
          <w:u w:val="single"/>
        </w:rPr>
      </w:pPr>
    </w:p>
    <w:p w:rsidR="00D556DB" w:rsidRPr="004C1D54" w:rsidRDefault="00D556DB" w:rsidP="0066393D">
      <w:pPr>
        <w:pStyle w:val="s16"/>
        <w:spacing w:before="0" w:beforeAutospacing="0" w:after="0" w:afterAutospacing="0"/>
        <w:jc w:val="center"/>
        <w:rPr>
          <w:rFonts w:asciiTheme="majorBidi" w:hAnsiTheme="majorBidi" w:cstheme="majorBidi"/>
          <w:b/>
          <w:bCs/>
          <w:color w:val="000000"/>
          <w:sz w:val="28"/>
          <w:szCs w:val="28"/>
        </w:rPr>
      </w:pPr>
      <w:r w:rsidRPr="004C1D54">
        <w:rPr>
          <w:rStyle w:val="s13"/>
          <w:rFonts w:asciiTheme="majorBidi" w:hAnsiTheme="majorBidi" w:cstheme="majorBidi"/>
          <w:b/>
          <w:bCs/>
          <w:color w:val="000000"/>
          <w:sz w:val="28"/>
          <w:szCs w:val="28"/>
          <w:u w:val="single"/>
        </w:rPr>
        <w:t>6</w:t>
      </w:r>
      <w:r w:rsidRPr="004C1D54">
        <w:rPr>
          <w:rStyle w:val="s14"/>
          <w:rFonts w:asciiTheme="majorBidi" w:hAnsiTheme="majorBidi" w:cstheme="majorBidi"/>
          <w:b/>
          <w:bCs/>
          <w:color w:val="000000"/>
          <w:sz w:val="28"/>
          <w:szCs w:val="28"/>
          <w:u w:val="single"/>
          <w:vertAlign w:val="superscript"/>
        </w:rPr>
        <w:t>th</w:t>
      </w:r>
      <w:r w:rsidRPr="004C1D54">
        <w:rPr>
          <w:rStyle w:val="apple-converted-space"/>
          <w:rFonts w:asciiTheme="majorBidi" w:hAnsiTheme="majorBidi" w:cstheme="majorBidi"/>
          <w:b/>
          <w:bCs/>
          <w:color w:val="000000"/>
          <w:sz w:val="28"/>
          <w:szCs w:val="28"/>
          <w:u w:val="single"/>
        </w:rPr>
        <w:t> </w:t>
      </w:r>
      <w:r w:rsidRPr="004C1D54">
        <w:rPr>
          <w:rStyle w:val="s13"/>
          <w:rFonts w:asciiTheme="majorBidi" w:hAnsiTheme="majorBidi" w:cstheme="majorBidi"/>
          <w:b/>
          <w:bCs/>
          <w:color w:val="000000"/>
          <w:sz w:val="28"/>
          <w:szCs w:val="28"/>
          <w:u w:val="single"/>
        </w:rPr>
        <w:t>Session of IGWG on TNCs and OBEs with respect to Human Rights</w:t>
      </w:r>
    </w:p>
    <w:p w:rsidR="00D556DB" w:rsidRPr="00D556DB" w:rsidRDefault="00D556DB" w:rsidP="0066393D">
      <w:pPr>
        <w:pStyle w:val="s16"/>
        <w:spacing w:before="0" w:beforeAutospacing="0" w:after="0" w:afterAutospacing="0"/>
        <w:jc w:val="center"/>
        <w:rPr>
          <w:rFonts w:cstheme="majorBidi"/>
          <w:b/>
          <w:bCs/>
          <w:color w:val="000000"/>
          <w:sz w:val="28"/>
          <w:szCs w:val="28"/>
          <w:lang w:val="en-US"/>
        </w:rPr>
      </w:pPr>
      <w:r w:rsidRPr="004C1D54">
        <w:rPr>
          <w:rStyle w:val="s15"/>
          <w:rFonts w:asciiTheme="majorBidi" w:hAnsiTheme="majorBidi" w:cstheme="majorBidi"/>
          <w:b/>
          <w:bCs/>
          <w:color w:val="000000"/>
          <w:sz w:val="28"/>
          <w:szCs w:val="28"/>
          <w:u w:val="single"/>
        </w:rPr>
        <w:t>Comments on Article</w:t>
      </w:r>
      <w:r>
        <w:rPr>
          <w:rStyle w:val="s15"/>
          <w:rFonts w:asciiTheme="majorBidi" w:hAnsiTheme="majorBidi" w:cstheme="majorBidi"/>
          <w:b/>
          <w:bCs/>
          <w:color w:val="000000"/>
          <w:sz w:val="28"/>
          <w:szCs w:val="28"/>
          <w:u w:val="single"/>
          <w:lang w:val="en-US"/>
        </w:rPr>
        <w:t xml:space="preserve"> 8</w:t>
      </w:r>
    </w:p>
    <w:p w:rsidR="00D556DB" w:rsidRDefault="00D556DB" w:rsidP="0066393D">
      <w:pPr>
        <w:rPr>
          <w:rFonts w:ascii="Times New Roman" w:hAnsi="Times New Roman"/>
          <w:lang w:val="en-US"/>
        </w:rPr>
      </w:pPr>
    </w:p>
    <w:p w:rsidR="00F80C69" w:rsidRDefault="00F80C69" w:rsidP="00D4096A">
      <w:pPr>
        <w:jc w:val="both"/>
        <w:rPr>
          <w:rFonts w:asciiTheme="majorBidi" w:hAnsiTheme="majorBidi" w:cstheme="majorBidi"/>
          <w:b/>
          <w:bCs/>
          <w:lang w:val="en-US"/>
        </w:rPr>
      </w:pPr>
    </w:p>
    <w:p w:rsidR="00D556DB" w:rsidRPr="00F80C69" w:rsidRDefault="00D556DB" w:rsidP="00D4096A">
      <w:pPr>
        <w:jc w:val="both"/>
        <w:rPr>
          <w:rFonts w:asciiTheme="majorBidi" w:hAnsiTheme="majorBidi" w:cstheme="majorBidi"/>
          <w:lang w:val="en-US"/>
        </w:rPr>
      </w:pPr>
      <w:r w:rsidRPr="00F80C69">
        <w:rPr>
          <w:rFonts w:asciiTheme="majorBidi" w:hAnsiTheme="majorBidi" w:cstheme="majorBidi"/>
          <w:lang w:val="en-US"/>
        </w:rPr>
        <w:t>Thank you Mr. Cha</w:t>
      </w:r>
      <w:r w:rsidR="00F80C69" w:rsidRPr="00F80C69">
        <w:rPr>
          <w:rFonts w:asciiTheme="majorBidi" w:hAnsiTheme="majorBidi" w:cstheme="majorBidi"/>
          <w:lang w:val="en-US"/>
        </w:rPr>
        <w:t xml:space="preserve">ir, </w:t>
      </w:r>
    </w:p>
    <w:p w:rsidR="00F80C69" w:rsidRDefault="00F80C69" w:rsidP="00D4096A">
      <w:pPr>
        <w:jc w:val="both"/>
        <w:rPr>
          <w:rFonts w:asciiTheme="majorBidi" w:hAnsiTheme="majorBidi" w:cstheme="majorBidi"/>
          <w:b/>
          <w:bCs/>
          <w:lang w:val="en-US"/>
        </w:rPr>
      </w:pPr>
    </w:p>
    <w:p w:rsidR="00D556DB" w:rsidRDefault="00D556DB" w:rsidP="00D4096A">
      <w:pPr>
        <w:jc w:val="both"/>
        <w:rPr>
          <w:rFonts w:asciiTheme="majorBidi" w:hAnsiTheme="majorBidi" w:cstheme="majorBidi"/>
          <w:b/>
          <w:bCs/>
          <w:lang w:val="en-US"/>
        </w:rPr>
      </w:pPr>
    </w:p>
    <w:p w:rsidR="0065166A" w:rsidRPr="008D0043" w:rsidRDefault="0065166A" w:rsidP="00D4096A">
      <w:pPr>
        <w:jc w:val="both"/>
        <w:rPr>
          <w:rFonts w:asciiTheme="majorBidi" w:hAnsiTheme="majorBidi" w:cstheme="majorBidi"/>
          <w:b/>
          <w:bCs/>
          <w:lang w:val="en-US"/>
        </w:rPr>
      </w:pPr>
      <w:r w:rsidRPr="008D0043">
        <w:rPr>
          <w:rFonts w:asciiTheme="majorBidi" w:hAnsiTheme="majorBidi" w:cstheme="majorBidi"/>
          <w:b/>
          <w:bCs/>
          <w:lang w:val="en-US"/>
        </w:rPr>
        <w:t>Article 8 – Legal Liability</w:t>
      </w:r>
    </w:p>
    <w:p w:rsidR="0071505A" w:rsidRPr="00D4096A" w:rsidRDefault="0071505A" w:rsidP="00D4096A">
      <w:pPr>
        <w:jc w:val="both"/>
        <w:rPr>
          <w:rFonts w:asciiTheme="majorBidi" w:hAnsiTheme="majorBidi" w:cstheme="majorBidi"/>
          <w:lang w:val="en-US"/>
        </w:rPr>
      </w:pPr>
    </w:p>
    <w:p w:rsidR="0065166A" w:rsidRPr="00D4096A" w:rsidRDefault="0065166A" w:rsidP="00D4096A">
      <w:pPr>
        <w:jc w:val="both"/>
        <w:rPr>
          <w:rFonts w:asciiTheme="majorBidi" w:hAnsiTheme="majorBidi" w:cstheme="majorBidi"/>
          <w:b/>
          <w:bCs/>
          <w:lang w:val="en-US"/>
        </w:rPr>
      </w:pPr>
      <w:r w:rsidRPr="00D4096A">
        <w:rPr>
          <w:rFonts w:asciiTheme="majorBidi" w:hAnsiTheme="majorBidi" w:cstheme="majorBidi"/>
          <w:lang w:val="en-US"/>
        </w:rPr>
        <w:t>In Article 8(4), the notion of criminal liability could be further strengthened by the mentioning of specific examples of sanctions or penalties that companies could face should they be prosecuted, such as the withdrawal of licenses, the termination of contracts for company projects, among others.</w:t>
      </w:r>
      <w:r w:rsidR="00C028E6" w:rsidRPr="00D4096A">
        <w:rPr>
          <w:rFonts w:asciiTheme="majorBidi" w:hAnsiTheme="majorBidi" w:cstheme="majorBidi"/>
          <w:lang w:val="en-US"/>
        </w:rPr>
        <w:t xml:space="preserve"> In this regard we recommend the addition of the following language at the end of </w:t>
      </w:r>
      <w:r w:rsidR="0076588B" w:rsidRPr="00D4096A">
        <w:rPr>
          <w:rFonts w:asciiTheme="majorBidi" w:hAnsiTheme="majorBidi" w:cstheme="majorBidi"/>
          <w:lang w:val="en-US"/>
        </w:rPr>
        <w:t xml:space="preserve"> article 8 (4) that read</w:t>
      </w:r>
      <w:r w:rsidR="00594BDF">
        <w:rPr>
          <w:rFonts w:asciiTheme="majorBidi" w:hAnsiTheme="majorBidi" w:cstheme="majorBidi"/>
          <w:lang w:val="en-US"/>
        </w:rPr>
        <w:t>s</w:t>
      </w:r>
      <w:r w:rsidR="0076588B" w:rsidRPr="00D4096A">
        <w:rPr>
          <w:rFonts w:asciiTheme="majorBidi" w:hAnsiTheme="majorBidi" w:cstheme="majorBidi"/>
          <w:lang w:val="en-US"/>
        </w:rPr>
        <w:t xml:space="preserve">: </w:t>
      </w:r>
      <w:r w:rsidRPr="00D4096A">
        <w:rPr>
          <w:rFonts w:asciiTheme="majorBidi" w:hAnsiTheme="majorBidi" w:cstheme="majorBidi"/>
          <w:lang w:val="en-US"/>
        </w:rPr>
        <w:t xml:space="preserve">“State Parties shall adopt legal and other measures necessary to ensure that their domestic jurisdiction provides for effective, proportionate, and dissuasive criminal and/or administrative sanctions where legal or natural persons conducting business activities, have caused or contributed to criminal </w:t>
      </w:r>
      <w:r w:rsidR="001E6AC1" w:rsidRPr="00D4096A">
        <w:rPr>
          <w:rFonts w:asciiTheme="majorBidi" w:hAnsiTheme="majorBidi" w:cstheme="majorBidi"/>
          <w:lang w:val="en-US"/>
        </w:rPr>
        <w:t>offenses</w:t>
      </w:r>
      <w:r w:rsidRPr="00D4096A">
        <w:rPr>
          <w:rFonts w:asciiTheme="majorBidi" w:hAnsiTheme="majorBidi" w:cstheme="majorBidi"/>
          <w:lang w:val="en-US"/>
        </w:rPr>
        <w:t xml:space="preserve"> or other regulatory breaches that amount or lead to human rights abuses - </w:t>
      </w:r>
      <w:r w:rsidRPr="00D4096A">
        <w:rPr>
          <w:rFonts w:asciiTheme="majorBidi" w:hAnsiTheme="majorBidi" w:cstheme="majorBidi"/>
          <w:b/>
          <w:bCs/>
          <w:lang w:val="en-US"/>
        </w:rPr>
        <w:t>such as withdrawal of licenses, termination of contracts for company projects, or inclusion on a prohibited list of companies for business.”</w:t>
      </w:r>
    </w:p>
    <w:p w:rsidR="0071505A" w:rsidRPr="00D4096A" w:rsidRDefault="0071505A" w:rsidP="00D4096A">
      <w:pPr>
        <w:jc w:val="both"/>
        <w:rPr>
          <w:rFonts w:asciiTheme="majorBidi" w:hAnsiTheme="majorBidi" w:cstheme="majorBidi"/>
          <w:lang w:val="en-US"/>
        </w:rPr>
      </w:pPr>
    </w:p>
    <w:p w:rsidR="004951E7" w:rsidRPr="00D4096A" w:rsidRDefault="0065166A" w:rsidP="00D4096A">
      <w:pPr>
        <w:jc w:val="both"/>
        <w:rPr>
          <w:rFonts w:asciiTheme="majorBidi" w:hAnsiTheme="majorBidi" w:cstheme="majorBidi"/>
          <w:b/>
          <w:bCs/>
          <w:strike/>
          <w:lang w:val="en-US"/>
        </w:rPr>
      </w:pPr>
      <w:r w:rsidRPr="00D4096A">
        <w:rPr>
          <w:rFonts w:asciiTheme="majorBidi" w:hAnsiTheme="majorBidi" w:cstheme="majorBidi"/>
          <w:lang w:val="en-US"/>
        </w:rPr>
        <w:t xml:space="preserve"> </w:t>
      </w:r>
      <w:r w:rsidR="00D4096A">
        <w:rPr>
          <w:rFonts w:asciiTheme="majorBidi" w:hAnsiTheme="majorBidi" w:cstheme="majorBidi"/>
          <w:lang w:val="en-US"/>
        </w:rPr>
        <w:t xml:space="preserve">In </w:t>
      </w:r>
      <w:r w:rsidRPr="00D4096A">
        <w:rPr>
          <w:rFonts w:asciiTheme="majorBidi" w:hAnsiTheme="majorBidi" w:cstheme="majorBidi"/>
          <w:lang w:val="en-US"/>
        </w:rPr>
        <w:t xml:space="preserve">Article 8(8) </w:t>
      </w:r>
      <w:r w:rsidR="00531326" w:rsidRPr="00D4096A">
        <w:rPr>
          <w:rFonts w:asciiTheme="majorBidi" w:hAnsiTheme="majorBidi" w:cstheme="majorBidi"/>
          <w:lang w:val="en-US"/>
        </w:rPr>
        <w:t xml:space="preserve"> we suggest</w:t>
      </w:r>
      <w:r w:rsidR="004951E7" w:rsidRPr="00D4096A">
        <w:rPr>
          <w:rFonts w:asciiTheme="majorBidi" w:hAnsiTheme="majorBidi" w:cstheme="majorBidi"/>
          <w:lang w:val="en-US"/>
        </w:rPr>
        <w:t xml:space="preserve"> the deletion of the second phrase in this paragraph, which may result in contradicting the purpose of the paragraph and suggest that liability depends on the compliance with human rights due diligence standards. The aim of this deletion is to ensure that th</w:t>
      </w:r>
      <w:r w:rsidR="009E09B9" w:rsidRPr="00D4096A">
        <w:rPr>
          <w:rFonts w:asciiTheme="majorBidi" w:hAnsiTheme="majorBidi" w:cstheme="majorBidi"/>
          <w:lang w:val="en-US"/>
        </w:rPr>
        <w:t xml:space="preserve">e </w:t>
      </w:r>
      <w:r w:rsidR="004951E7" w:rsidRPr="00D4096A">
        <w:rPr>
          <w:rFonts w:asciiTheme="majorBidi" w:hAnsiTheme="majorBidi" w:cstheme="majorBidi"/>
          <w:lang w:val="en-US"/>
        </w:rPr>
        <w:t xml:space="preserve">focus </w:t>
      </w:r>
      <w:r w:rsidR="009E09B9" w:rsidRPr="00D4096A">
        <w:rPr>
          <w:rFonts w:asciiTheme="majorBidi" w:hAnsiTheme="majorBidi" w:cstheme="majorBidi"/>
          <w:lang w:val="en-US"/>
        </w:rPr>
        <w:t xml:space="preserve">is not on </w:t>
      </w:r>
      <w:r w:rsidR="004951E7" w:rsidRPr="00D4096A">
        <w:rPr>
          <w:rFonts w:asciiTheme="majorBidi" w:hAnsiTheme="majorBidi" w:cstheme="majorBidi"/>
          <w:lang w:val="en-US"/>
        </w:rPr>
        <w:t xml:space="preserve"> the implementation or not of a due diligence procedure, but on the harm caused, according to the principles regarding the duty of care or the principles of </w:t>
      </w:r>
      <w:r w:rsidR="00887C3D" w:rsidRPr="00D4096A">
        <w:rPr>
          <w:rFonts w:asciiTheme="majorBidi" w:hAnsiTheme="majorBidi" w:cstheme="majorBidi"/>
          <w:lang w:val="en-US"/>
        </w:rPr>
        <w:t>extra-contractual</w:t>
      </w:r>
      <w:r w:rsidR="004951E7" w:rsidRPr="00D4096A">
        <w:rPr>
          <w:rFonts w:asciiTheme="majorBidi" w:hAnsiTheme="majorBidi" w:cstheme="majorBidi"/>
          <w:lang w:val="en-US"/>
        </w:rPr>
        <w:t xml:space="preserve"> civil liability. </w:t>
      </w:r>
      <w:r w:rsidR="00473C66" w:rsidRPr="00D4096A">
        <w:rPr>
          <w:rFonts w:asciiTheme="majorBidi" w:hAnsiTheme="majorBidi" w:cstheme="majorBidi"/>
          <w:lang w:val="en-US"/>
        </w:rPr>
        <w:t xml:space="preserve">Therefore we suggest </w:t>
      </w:r>
      <w:r w:rsidR="0059667C" w:rsidRPr="00D4096A">
        <w:rPr>
          <w:rFonts w:asciiTheme="majorBidi" w:hAnsiTheme="majorBidi" w:cstheme="majorBidi"/>
          <w:lang w:val="en-US"/>
        </w:rPr>
        <w:t xml:space="preserve"> that the paragraph stops after Article 8(7) and delete the rest. </w:t>
      </w:r>
      <w:r w:rsidR="004951E7" w:rsidRPr="00D4096A">
        <w:rPr>
          <w:rFonts w:asciiTheme="majorBidi" w:hAnsiTheme="majorBidi" w:cstheme="majorBidi"/>
          <w:lang w:val="en-US"/>
        </w:rPr>
        <w:t xml:space="preserve">“Human rights due diligence shall not automatically absolve a legal or natural person conducting business activities from liability for causing or contributing to human rights abuses or failing to prevent such abuses by a natural or legal person as laid down in Article 8(7). </w:t>
      </w:r>
      <w:r w:rsidR="004951E7" w:rsidRPr="00D4096A">
        <w:rPr>
          <w:rFonts w:asciiTheme="majorBidi" w:hAnsiTheme="majorBidi" w:cstheme="majorBidi"/>
          <w:b/>
          <w:bCs/>
          <w:strike/>
          <w:lang w:val="en-US"/>
        </w:rPr>
        <w:t>The court or other competent authority will decide the liability of such entities after an examination of compliance with applicable human rights due diligence standards.”</w:t>
      </w:r>
    </w:p>
    <w:p w:rsidR="00D4096A" w:rsidRPr="00D4096A" w:rsidRDefault="00D4096A" w:rsidP="00D4096A">
      <w:pPr>
        <w:jc w:val="both"/>
        <w:rPr>
          <w:rFonts w:asciiTheme="majorBidi" w:hAnsiTheme="majorBidi" w:cstheme="majorBidi"/>
          <w:b/>
          <w:bCs/>
          <w:strike/>
          <w:lang w:val="en-US"/>
        </w:rPr>
      </w:pPr>
    </w:p>
    <w:p w:rsidR="00BE78B6" w:rsidRDefault="004951E7" w:rsidP="00BE78B6">
      <w:pPr>
        <w:jc w:val="both"/>
        <w:rPr>
          <w:rFonts w:asciiTheme="majorBidi" w:hAnsiTheme="majorBidi" w:cstheme="majorBidi"/>
          <w:lang w:val="en-US"/>
        </w:rPr>
      </w:pPr>
      <w:r w:rsidRPr="00D4096A">
        <w:rPr>
          <w:rFonts w:asciiTheme="majorBidi" w:hAnsiTheme="majorBidi" w:cstheme="majorBidi"/>
          <w:lang w:val="en-US"/>
        </w:rPr>
        <w:t>In Article 8(9), it would be crucial to articulate that criminal liability is also triggered by a business activity that violates war crimes, crimes against humanity, and other grave breaches of international human rights and humanitarian law.</w:t>
      </w:r>
      <w:r w:rsidR="00276AD2">
        <w:rPr>
          <w:rFonts w:asciiTheme="majorBidi" w:hAnsiTheme="majorBidi" w:cstheme="majorBidi"/>
          <w:lang w:val="en-US"/>
        </w:rPr>
        <w:t xml:space="preserve"> In this regard </w:t>
      </w:r>
      <w:r w:rsidRPr="00D4096A">
        <w:rPr>
          <w:rFonts w:asciiTheme="majorBidi" w:hAnsiTheme="majorBidi" w:cstheme="majorBidi"/>
          <w:lang w:val="en-US"/>
        </w:rPr>
        <w:t xml:space="preserve"> we recommend </w:t>
      </w:r>
      <w:r w:rsidR="00276AD2">
        <w:rPr>
          <w:rFonts w:asciiTheme="majorBidi" w:hAnsiTheme="majorBidi" w:cstheme="majorBidi"/>
          <w:lang w:val="en-US"/>
        </w:rPr>
        <w:t xml:space="preserve">that the para reads as follow: </w:t>
      </w:r>
      <w:r w:rsidRPr="00D4096A">
        <w:rPr>
          <w:rFonts w:asciiTheme="majorBidi" w:hAnsiTheme="majorBidi" w:cstheme="majorBidi"/>
          <w:lang w:val="en-US"/>
        </w:rPr>
        <w:t xml:space="preserve"> “</w:t>
      </w:r>
      <w:r w:rsidRPr="0079469C">
        <w:rPr>
          <w:rFonts w:asciiTheme="majorBidi" w:hAnsiTheme="majorBidi" w:cstheme="majorBidi"/>
          <w:b/>
          <w:bCs/>
          <w:strike/>
          <w:lang w:val="en-US"/>
        </w:rPr>
        <w:t>Subject to their legal principles,</w:t>
      </w:r>
      <w:r w:rsidRPr="00D4096A">
        <w:rPr>
          <w:rFonts w:asciiTheme="majorBidi" w:hAnsiTheme="majorBidi" w:cstheme="majorBidi"/>
          <w:lang w:val="en-US"/>
        </w:rPr>
        <w:t xml:space="preserve"> State Parties shall ensure that their domestic law provides for the criminal</w:t>
      </w:r>
      <w:r w:rsidRPr="007A271B">
        <w:rPr>
          <w:rFonts w:asciiTheme="majorBidi" w:hAnsiTheme="majorBidi" w:cstheme="majorBidi"/>
          <w:b/>
          <w:bCs/>
          <w:strike/>
          <w:lang w:val="en-US"/>
        </w:rPr>
        <w:t xml:space="preserve"> or functionally equivalent</w:t>
      </w:r>
      <w:r w:rsidRPr="00D4096A">
        <w:rPr>
          <w:rFonts w:asciiTheme="majorBidi" w:hAnsiTheme="majorBidi" w:cstheme="majorBidi"/>
          <w:lang w:val="en-US"/>
        </w:rPr>
        <w:t xml:space="preserve"> liability of legal persons for human rights abuses </w:t>
      </w:r>
      <w:r w:rsidRPr="007A271B">
        <w:rPr>
          <w:rFonts w:asciiTheme="majorBidi" w:hAnsiTheme="majorBidi" w:cstheme="majorBidi"/>
          <w:b/>
          <w:bCs/>
          <w:lang w:val="en-US"/>
        </w:rPr>
        <w:t>or violations</w:t>
      </w:r>
      <w:r w:rsidRPr="00D4096A">
        <w:rPr>
          <w:rFonts w:asciiTheme="majorBidi" w:hAnsiTheme="majorBidi" w:cstheme="majorBidi"/>
          <w:lang w:val="en-US"/>
        </w:rPr>
        <w:t xml:space="preserve"> that amount to criminal </w:t>
      </w:r>
      <w:r w:rsidR="001E6AC1" w:rsidRPr="00D4096A">
        <w:rPr>
          <w:rFonts w:asciiTheme="majorBidi" w:hAnsiTheme="majorBidi" w:cstheme="majorBidi"/>
          <w:lang w:val="en-US"/>
        </w:rPr>
        <w:t>offenses</w:t>
      </w:r>
      <w:r w:rsidRPr="00D4096A">
        <w:rPr>
          <w:rFonts w:asciiTheme="majorBidi" w:hAnsiTheme="majorBidi" w:cstheme="majorBidi"/>
          <w:lang w:val="en-US"/>
        </w:rPr>
        <w:t xml:space="preserve"> under international </w:t>
      </w:r>
      <w:r w:rsidRPr="0061518E">
        <w:rPr>
          <w:rFonts w:asciiTheme="majorBidi" w:hAnsiTheme="majorBidi" w:cstheme="majorBidi"/>
          <w:b/>
          <w:bCs/>
          <w:strike/>
          <w:lang w:val="en-US"/>
        </w:rPr>
        <w:t>human rights</w:t>
      </w:r>
      <w:r w:rsidRPr="00D4096A">
        <w:rPr>
          <w:rFonts w:asciiTheme="majorBidi" w:hAnsiTheme="majorBidi" w:cstheme="majorBidi"/>
          <w:lang w:val="en-US"/>
        </w:rPr>
        <w:t xml:space="preserve"> law </w:t>
      </w:r>
      <w:r w:rsidRPr="0061518E">
        <w:rPr>
          <w:rFonts w:asciiTheme="majorBidi" w:hAnsiTheme="majorBidi" w:cstheme="majorBidi"/>
          <w:b/>
          <w:bCs/>
          <w:strike/>
          <w:lang w:val="en-US"/>
        </w:rPr>
        <w:t>binding on the State Party,</w:t>
      </w:r>
      <w:r w:rsidRPr="00D4096A">
        <w:rPr>
          <w:rFonts w:asciiTheme="majorBidi" w:hAnsiTheme="majorBidi" w:cstheme="majorBidi"/>
          <w:lang w:val="en-US"/>
        </w:rPr>
        <w:t xml:space="preserve"> </w:t>
      </w:r>
      <w:r w:rsidRPr="0061518E">
        <w:rPr>
          <w:rFonts w:asciiTheme="majorBidi" w:hAnsiTheme="majorBidi" w:cstheme="majorBidi"/>
          <w:b/>
          <w:bCs/>
          <w:lang w:val="en-US"/>
        </w:rPr>
        <w:t>including but not limited</w:t>
      </w:r>
      <w:r w:rsidRPr="00D4096A">
        <w:rPr>
          <w:rFonts w:asciiTheme="majorBidi" w:hAnsiTheme="majorBidi" w:cstheme="majorBidi"/>
          <w:lang w:val="en-US"/>
        </w:rPr>
        <w:t xml:space="preserve"> to customary international law, </w:t>
      </w:r>
      <w:r w:rsidRPr="00710754">
        <w:rPr>
          <w:rFonts w:asciiTheme="majorBidi" w:hAnsiTheme="majorBidi" w:cstheme="majorBidi"/>
          <w:b/>
          <w:bCs/>
          <w:strike/>
          <w:lang w:val="en-US"/>
        </w:rPr>
        <w:t>or their domestic law.</w:t>
      </w:r>
      <w:r w:rsidRPr="00D4096A">
        <w:rPr>
          <w:rFonts w:asciiTheme="majorBidi" w:hAnsiTheme="majorBidi" w:cstheme="majorBidi"/>
          <w:lang w:val="en-US"/>
        </w:rPr>
        <w:t xml:space="preserve"> </w:t>
      </w:r>
      <w:r w:rsidRPr="00710754">
        <w:rPr>
          <w:rFonts w:asciiTheme="majorBidi" w:hAnsiTheme="majorBidi" w:cstheme="majorBidi"/>
          <w:b/>
          <w:bCs/>
          <w:lang w:val="en-US"/>
        </w:rPr>
        <w:t xml:space="preserve">and humanitarian law. </w:t>
      </w:r>
      <w:r w:rsidRPr="00B238FB">
        <w:rPr>
          <w:rFonts w:asciiTheme="majorBidi" w:hAnsiTheme="majorBidi" w:cstheme="majorBidi"/>
          <w:b/>
          <w:bCs/>
          <w:lang w:val="en-US"/>
        </w:rPr>
        <w:t>When appropriate, States should refer cases where corporations or/and State officials are causing or contributing to war crimes, crimes against humanity,</w:t>
      </w:r>
      <w:r w:rsidR="00025544">
        <w:rPr>
          <w:rFonts w:asciiTheme="majorBidi" w:hAnsiTheme="majorBidi" w:cstheme="majorBidi"/>
          <w:b/>
          <w:bCs/>
          <w:lang w:val="en-US"/>
        </w:rPr>
        <w:t xml:space="preserve"> </w:t>
      </w:r>
      <w:r w:rsidRPr="00B238FB">
        <w:rPr>
          <w:rFonts w:asciiTheme="majorBidi" w:hAnsiTheme="majorBidi" w:cstheme="majorBidi"/>
          <w:b/>
          <w:bCs/>
          <w:lang w:val="en-US"/>
        </w:rPr>
        <w:t xml:space="preserve">aggression, genocide, and </w:t>
      </w:r>
      <w:r w:rsidRPr="00B238FB">
        <w:rPr>
          <w:rFonts w:asciiTheme="majorBidi" w:hAnsiTheme="majorBidi" w:cstheme="majorBidi"/>
          <w:b/>
          <w:bCs/>
          <w:lang w:val="en-US"/>
        </w:rPr>
        <w:lastRenderedPageBreak/>
        <w:t>environmental crimes to the International Criminal Court, in accordance with Rome Statute rules.</w:t>
      </w:r>
      <w:r w:rsidRPr="00D4096A">
        <w:rPr>
          <w:rFonts w:asciiTheme="majorBidi" w:hAnsiTheme="majorBidi" w:cstheme="majorBidi"/>
          <w:lang w:val="en-US"/>
        </w:rPr>
        <w:t xml:space="preserve"> </w:t>
      </w:r>
    </w:p>
    <w:p w:rsidR="00BE78B6" w:rsidRDefault="00BE78B6" w:rsidP="00BE78B6">
      <w:pPr>
        <w:jc w:val="both"/>
        <w:rPr>
          <w:rFonts w:asciiTheme="majorBidi" w:hAnsiTheme="majorBidi" w:cstheme="majorBidi"/>
          <w:lang w:val="en-US"/>
        </w:rPr>
      </w:pPr>
    </w:p>
    <w:p w:rsidR="004951E7" w:rsidRDefault="006E0919" w:rsidP="00A539DE">
      <w:pPr>
        <w:jc w:val="both"/>
        <w:rPr>
          <w:rFonts w:asciiTheme="majorBidi" w:hAnsiTheme="majorBidi" w:cstheme="majorBidi"/>
          <w:b/>
          <w:bCs/>
          <w:lang w:val="en-US"/>
        </w:rPr>
      </w:pPr>
      <w:r>
        <w:rPr>
          <w:rFonts w:asciiTheme="majorBidi" w:hAnsiTheme="majorBidi" w:cstheme="majorBidi"/>
          <w:lang w:val="en-US"/>
        </w:rPr>
        <w:t>We are also with the view that</w:t>
      </w:r>
      <w:r w:rsidR="004951E7" w:rsidRPr="00D4096A">
        <w:rPr>
          <w:rFonts w:asciiTheme="majorBidi" w:hAnsiTheme="majorBidi" w:cstheme="majorBidi"/>
          <w:lang w:val="en-US"/>
        </w:rPr>
        <w:t xml:space="preserve"> Article 8 should include a provision reaffirming the joint and several responsibility of all companies involved in an abuse or a violation</w:t>
      </w:r>
      <w:r w:rsidR="00A539DE">
        <w:rPr>
          <w:rFonts w:asciiTheme="majorBidi" w:hAnsiTheme="majorBidi" w:cstheme="majorBidi"/>
          <w:lang w:val="en-US"/>
        </w:rPr>
        <w:t>.</w:t>
      </w:r>
    </w:p>
    <w:p w:rsidR="003D6C19" w:rsidRPr="003D6C19" w:rsidRDefault="003D6C19" w:rsidP="00C174CD">
      <w:pPr>
        <w:jc w:val="both"/>
        <w:rPr>
          <w:rFonts w:asciiTheme="majorBidi" w:hAnsiTheme="majorBidi" w:cstheme="majorBidi"/>
          <w:b/>
          <w:bCs/>
          <w:lang w:val="en-US"/>
        </w:rPr>
      </w:pPr>
    </w:p>
    <w:p w:rsidR="0065166A" w:rsidRDefault="00BB4752" w:rsidP="00C174CD">
      <w:pPr>
        <w:jc w:val="both"/>
        <w:rPr>
          <w:rFonts w:asciiTheme="majorBidi" w:hAnsiTheme="majorBidi" w:cstheme="majorBidi"/>
          <w:b/>
          <w:bCs/>
          <w:lang w:val="en-US"/>
        </w:rPr>
      </w:pPr>
      <w:r w:rsidRPr="00BB4752">
        <w:rPr>
          <w:rFonts w:asciiTheme="majorBidi" w:hAnsiTheme="majorBidi" w:cstheme="majorBidi"/>
          <w:lang w:val="en-US"/>
        </w:rPr>
        <w:t xml:space="preserve">It is also worth exploring the inclusion of a new provision in this section to </w:t>
      </w:r>
      <w:r w:rsidR="00C174CD" w:rsidRPr="00BB4752">
        <w:rPr>
          <w:rFonts w:asciiTheme="majorBidi" w:hAnsiTheme="majorBidi" w:cstheme="majorBidi"/>
          <w:lang w:val="en-US"/>
        </w:rPr>
        <w:t>criminalize</w:t>
      </w:r>
      <w:r w:rsidRPr="00BB4752">
        <w:rPr>
          <w:rFonts w:asciiTheme="majorBidi" w:hAnsiTheme="majorBidi" w:cstheme="majorBidi"/>
          <w:lang w:val="en-US"/>
        </w:rPr>
        <w:t xml:space="preserve"> undue influence on government laws and policies, particularly in instances where a link</w:t>
      </w:r>
      <w:r w:rsidR="00C174CD">
        <w:rPr>
          <w:rFonts w:asciiTheme="majorBidi" w:hAnsiTheme="majorBidi" w:cstheme="majorBidi"/>
          <w:lang w:val="en-US"/>
        </w:rPr>
        <w:t xml:space="preserve"> </w:t>
      </w:r>
      <w:r w:rsidRPr="00BB4752">
        <w:rPr>
          <w:rFonts w:asciiTheme="majorBidi" w:hAnsiTheme="majorBidi" w:cstheme="majorBidi"/>
          <w:lang w:val="en-US"/>
        </w:rPr>
        <w:t xml:space="preserve"> can be established in connection with a human rights abuse or violation.</w:t>
      </w:r>
      <w:r w:rsidR="00FF78AC">
        <w:rPr>
          <w:rFonts w:asciiTheme="majorBidi" w:hAnsiTheme="majorBidi" w:cstheme="majorBidi"/>
          <w:lang w:val="en-US"/>
        </w:rPr>
        <w:t xml:space="preserve"> In this regard we suggest the </w:t>
      </w:r>
      <w:r w:rsidR="00C174CD">
        <w:rPr>
          <w:rFonts w:asciiTheme="majorBidi" w:hAnsiTheme="majorBidi" w:cstheme="majorBidi"/>
          <w:lang w:val="en-US"/>
        </w:rPr>
        <w:t>addition</w:t>
      </w:r>
      <w:r w:rsidR="00FF78AC">
        <w:rPr>
          <w:rFonts w:asciiTheme="majorBidi" w:hAnsiTheme="majorBidi" w:cstheme="majorBidi"/>
          <w:lang w:val="en-US"/>
        </w:rPr>
        <w:t xml:space="preserve"> of the followin</w:t>
      </w:r>
      <w:r w:rsidR="0053630B">
        <w:rPr>
          <w:rFonts w:asciiTheme="majorBidi" w:hAnsiTheme="majorBidi" w:cstheme="majorBidi"/>
          <w:lang w:val="en-US"/>
        </w:rPr>
        <w:t>g paragraph under article 8:</w:t>
      </w:r>
      <w:r w:rsidR="00515FE1">
        <w:rPr>
          <w:rFonts w:asciiTheme="majorBidi" w:hAnsiTheme="majorBidi" w:cstheme="majorBidi"/>
          <w:lang w:val="en-US"/>
        </w:rPr>
        <w:t xml:space="preserve"> </w:t>
      </w:r>
      <w:r w:rsidR="00515FE1" w:rsidRPr="00515FE1">
        <w:rPr>
          <w:rFonts w:asciiTheme="majorBidi" w:hAnsiTheme="majorBidi" w:cstheme="majorBidi"/>
          <w:b/>
          <w:bCs/>
          <w:lang w:val="en-US"/>
        </w:rPr>
        <w:t>“</w:t>
      </w:r>
      <w:r w:rsidR="0053630B" w:rsidRPr="00515FE1">
        <w:rPr>
          <w:rFonts w:asciiTheme="majorBidi" w:hAnsiTheme="majorBidi" w:cstheme="majorBidi"/>
          <w:b/>
          <w:bCs/>
          <w:lang w:val="en-US"/>
        </w:rPr>
        <w:t>State Parties shall ensure that their domestic law provides for the criminal liability of legal or natural persons for acts that directly or indirectly contribute, cause or are linked to human rights abuses or violations.”</w:t>
      </w:r>
    </w:p>
    <w:p w:rsidR="00515FE1" w:rsidRDefault="00515FE1" w:rsidP="00C174CD">
      <w:pPr>
        <w:jc w:val="both"/>
        <w:rPr>
          <w:rFonts w:asciiTheme="majorBidi" w:hAnsiTheme="majorBidi" w:cstheme="majorBidi"/>
          <w:b/>
          <w:bCs/>
          <w:lang w:val="en-US"/>
        </w:rPr>
      </w:pPr>
    </w:p>
    <w:p w:rsidR="00515FE1" w:rsidRPr="00515FE1" w:rsidRDefault="00515FE1" w:rsidP="00C174CD">
      <w:pPr>
        <w:jc w:val="both"/>
        <w:rPr>
          <w:rFonts w:asciiTheme="majorBidi" w:hAnsiTheme="majorBidi" w:cstheme="majorBidi"/>
          <w:lang w:val="en-US"/>
        </w:rPr>
      </w:pPr>
      <w:r w:rsidRPr="00515FE1">
        <w:rPr>
          <w:rFonts w:asciiTheme="majorBidi" w:hAnsiTheme="majorBidi" w:cstheme="majorBidi"/>
          <w:lang w:val="en-US"/>
        </w:rPr>
        <w:t xml:space="preserve">I thank you </w:t>
      </w:r>
    </w:p>
    <w:sectPr w:rsidR="00515FE1" w:rsidRPr="00515FE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739B" w:rsidRDefault="00A4739B" w:rsidP="00D556DB">
      <w:r>
        <w:separator/>
      </w:r>
    </w:p>
  </w:endnote>
  <w:endnote w:type="continuationSeparator" w:id="0">
    <w:p w:rsidR="00A4739B" w:rsidRDefault="00A4739B" w:rsidP="00D5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E0002AFF" w:usb1="C0007843" w:usb2="00000009" w:usb3="00000000" w:csb0="000001FF" w:csb1="00000000"/>
  </w:font>
  <w:font w:name="Monotype Corsiva">
    <w:altName w:val="Brush Script MT"/>
    <w:panose1 w:val="020B06040202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739B" w:rsidRDefault="00A4739B" w:rsidP="00D556DB">
      <w:r>
        <w:separator/>
      </w:r>
    </w:p>
  </w:footnote>
  <w:footnote w:type="continuationSeparator" w:id="0">
    <w:p w:rsidR="00A4739B" w:rsidRDefault="00A4739B" w:rsidP="00D5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777A" w:rsidRPr="006414B8" w:rsidRDefault="00F3777A" w:rsidP="00D41966">
    <w:pPr>
      <w:pStyle w:val="Header"/>
      <w:rPr>
        <w:rFonts w:ascii="Times New Roman" w:hAnsi="Times New Roman"/>
      </w:rPr>
    </w:pPr>
  </w:p>
  <w:p w:rsidR="00F3777A" w:rsidRDefault="00F3777A" w:rsidP="00D41966"/>
  <w:tbl>
    <w:tblPr>
      <w:bidiVisual/>
      <w:tblW w:w="10289" w:type="dxa"/>
      <w:jc w:val="center"/>
      <w:tblLook w:val="04A0" w:firstRow="1" w:lastRow="0" w:firstColumn="1" w:lastColumn="0" w:noHBand="0" w:noVBand="1"/>
    </w:tblPr>
    <w:tblGrid>
      <w:gridCol w:w="3841"/>
      <w:gridCol w:w="1843"/>
      <w:gridCol w:w="4605"/>
    </w:tblGrid>
    <w:tr w:rsidR="00F3777A" w:rsidRPr="008D15F7" w:rsidTr="00D41966">
      <w:trPr>
        <w:trHeight w:val="714"/>
        <w:jc w:val="center"/>
      </w:trPr>
      <w:tc>
        <w:tcPr>
          <w:tcW w:w="3841" w:type="dxa"/>
        </w:tcPr>
        <w:p w:rsidR="00F3777A" w:rsidRPr="008D15F7" w:rsidRDefault="00F3777A" w:rsidP="00D41966">
          <w:pPr>
            <w:tabs>
              <w:tab w:val="center" w:pos="4680"/>
              <w:tab w:val="right" w:pos="9360"/>
            </w:tabs>
            <w:bidi/>
            <w:rPr>
              <w:rFonts w:eastAsiaTheme="minorHAnsi"/>
              <w:b/>
              <w:bCs/>
              <w:sz w:val="16"/>
              <w:szCs w:val="16"/>
              <w:lang w:val="en-US" w:eastAsia="en-US" w:bidi="ar-AE"/>
            </w:rPr>
          </w:pPr>
        </w:p>
        <w:p w:rsidR="00F3777A" w:rsidRPr="008D15F7" w:rsidRDefault="00F3777A" w:rsidP="00D41966">
          <w:pPr>
            <w:tabs>
              <w:tab w:val="center" w:pos="4680"/>
              <w:tab w:val="right" w:pos="9360"/>
            </w:tabs>
            <w:bidi/>
            <w:jc w:val="center"/>
            <w:rPr>
              <w:rFonts w:ascii="Edwardian Script ITC" w:eastAsiaTheme="minorHAnsi" w:hAnsi="Edwardian Script ITC" w:cs="Al-Kharashi Diwani 1"/>
              <w:sz w:val="24"/>
              <w:szCs w:val="24"/>
              <w:rtl/>
              <w:lang w:val="en-US" w:eastAsia="en-US" w:bidi="ar-AE"/>
            </w:rPr>
          </w:pPr>
        </w:p>
        <w:p w:rsidR="00F3777A" w:rsidRPr="008D15F7" w:rsidRDefault="00F3777A" w:rsidP="00D41966">
          <w:pPr>
            <w:tabs>
              <w:tab w:val="center" w:pos="4680"/>
              <w:tab w:val="right" w:pos="9360"/>
            </w:tabs>
            <w:bidi/>
            <w:jc w:val="center"/>
            <w:rPr>
              <w:rFonts w:ascii="Edwardian Script ITC" w:eastAsiaTheme="minorHAnsi" w:hAnsi="Edwardian Script ITC" w:cs="Al-Kharashi Diwani 1"/>
              <w:i/>
              <w:iCs/>
              <w:sz w:val="40"/>
              <w:szCs w:val="40"/>
              <w:rtl/>
              <w:lang w:val="en-US" w:eastAsia="en-US" w:bidi="ar-AE"/>
            </w:rPr>
          </w:pPr>
          <w:r w:rsidRPr="008D15F7">
            <w:rPr>
              <w:rFonts w:ascii="Edwardian Script ITC" w:eastAsiaTheme="minorHAnsi" w:hAnsi="Edwardian Script ITC" w:cs="Al-Kharashi Diwani 1" w:hint="cs"/>
              <w:i/>
              <w:iCs/>
              <w:sz w:val="52"/>
              <w:szCs w:val="52"/>
              <w:rtl/>
              <w:lang w:val="en-US" w:eastAsia="en-US" w:bidi="ar-AE"/>
            </w:rPr>
            <w:t>دولة فلسطين</w:t>
          </w:r>
        </w:p>
        <w:p w:rsidR="00F3777A" w:rsidRPr="008D15F7" w:rsidRDefault="00F3777A" w:rsidP="00D41966">
          <w:pPr>
            <w:tabs>
              <w:tab w:val="center" w:pos="4680"/>
              <w:tab w:val="right" w:pos="9360"/>
            </w:tabs>
            <w:bidi/>
            <w:jc w:val="center"/>
            <w:rPr>
              <w:rFonts w:ascii="Edwardian Script ITC" w:eastAsiaTheme="minorHAnsi" w:hAnsi="Edwardian Script ITC" w:cs="Al-Kharashi Diwani 1"/>
              <w:sz w:val="16"/>
              <w:szCs w:val="16"/>
              <w:rtl/>
              <w:lang w:val="en-US" w:eastAsia="en-US" w:bidi="ar-AE"/>
            </w:rPr>
          </w:pPr>
        </w:p>
        <w:p w:rsidR="00F3777A" w:rsidRPr="008D15F7" w:rsidRDefault="00F3777A" w:rsidP="00D41966">
          <w:pPr>
            <w:tabs>
              <w:tab w:val="center" w:pos="4680"/>
              <w:tab w:val="right" w:pos="9360"/>
            </w:tabs>
            <w:bidi/>
            <w:jc w:val="center"/>
            <w:rPr>
              <w:rFonts w:ascii="Times New Roman" w:eastAsiaTheme="minorHAnsi" w:hAnsi="Times New Roman" w:cs="Al-Kharashi Diwani 1"/>
              <w:sz w:val="32"/>
              <w:szCs w:val="32"/>
              <w:rtl/>
              <w:lang w:val="en-US" w:eastAsia="en-US" w:bidi="ar-AE"/>
            </w:rPr>
          </w:pPr>
          <w:r w:rsidRPr="008D15F7">
            <w:rPr>
              <w:rFonts w:ascii="Edwardian Script ITC" w:eastAsiaTheme="minorHAnsi" w:hAnsi="Edwardian Script ITC" w:cs="Al-Kharashi Diwani 1" w:hint="cs"/>
              <w:sz w:val="32"/>
              <w:szCs w:val="32"/>
              <w:rtl/>
              <w:lang w:val="en-US" w:eastAsia="en-US" w:bidi="ar-AE"/>
            </w:rPr>
            <w:t>البعثة المراقبة الدائمة لدى</w:t>
          </w:r>
          <w:r w:rsidRPr="008D15F7">
            <w:rPr>
              <w:rFonts w:eastAsiaTheme="minorHAnsi" w:cs="Al-Kharashi Diwani 1" w:hint="cs"/>
              <w:sz w:val="32"/>
              <w:szCs w:val="32"/>
              <w:rtl/>
              <w:lang w:val="en-US" w:eastAsia="en-US" w:bidi="ar-AE"/>
            </w:rPr>
            <w:t xml:space="preserve"> الأمم المتحدة </w:t>
          </w:r>
        </w:p>
        <w:p w:rsidR="00F3777A" w:rsidRPr="008D15F7" w:rsidRDefault="00F3777A" w:rsidP="00D41966">
          <w:pPr>
            <w:tabs>
              <w:tab w:val="center" w:pos="4680"/>
              <w:tab w:val="right" w:pos="9360"/>
            </w:tabs>
            <w:bidi/>
            <w:jc w:val="center"/>
            <w:rPr>
              <w:rFonts w:eastAsiaTheme="minorHAnsi" w:cs="Times New Roman"/>
              <w:sz w:val="24"/>
              <w:szCs w:val="24"/>
              <w:rtl/>
              <w:lang w:val="en-US" w:eastAsia="en-US" w:bidi="ar-AE"/>
            </w:rPr>
          </w:pPr>
          <w:r w:rsidRPr="008D15F7">
            <w:rPr>
              <w:rFonts w:eastAsiaTheme="minorHAnsi" w:cs="Al-Kharashi Diwani 1" w:hint="cs"/>
              <w:sz w:val="32"/>
              <w:szCs w:val="32"/>
              <w:rtl/>
              <w:lang w:val="en-US" w:eastAsia="en-US"/>
            </w:rPr>
            <w:t>جنيف</w:t>
          </w:r>
          <w:r w:rsidRPr="008D15F7">
            <w:rPr>
              <w:rFonts w:eastAsiaTheme="minorHAnsi" w:hint="cs"/>
              <w:sz w:val="32"/>
              <w:szCs w:val="32"/>
              <w:rtl/>
              <w:lang w:val="en-US" w:eastAsia="en-US"/>
            </w:rPr>
            <w:t xml:space="preserve"> </w:t>
          </w:r>
        </w:p>
      </w:tc>
      <w:tc>
        <w:tcPr>
          <w:tcW w:w="1843" w:type="dxa"/>
        </w:tcPr>
        <w:p w:rsidR="00F3777A" w:rsidRPr="008D15F7" w:rsidRDefault="00F3777A" w:rsidP="00D41966">
          <w:pPr>
            <w:tabs>
              <w:tab w:val="center" w:pos="4680"/>
              <w:tab w:val="right" w:pos="9360"/>
            </w:tabs>
            <w:bidi/>
            <w:jc w:val="center"/>
            <w:rPr>
              <w:rFonts w:eastAsiaTheme="minorHAnsi"/>
              <w:sz w:val="24"/>
              <w:szCs w:val="24"/>
              <w:rtl/>
              <w:lang w:val="en-US" w:eastAsia="en-US" w:bidi="ar-AE"/>
            </w:rPr>
          </w:pPr>
        </w:p>
        <w:p w:rsidR="00F3777A" w:rsidRPr="008D15F7" w:rsidRDefault="00F3777A" w:rsidP="00D41966">
          <w:pPr>
            <w:tabs>
              <w:tab w:val="center" w:pos="4680"/>
              <w:tab w:val="right" w:pos="9360"/>
            </w:tabs>
            <w:bidi/>
            <w:jc w:val="center"/>
            <w:rPr>
              <w:rFonts w:eastAsiaTheme="minorHAnsi"/>
              <w:sz w:val="24"/>
              <w:szCs w:val="24"/>
              <w:rtl/>
              <w:lang w:val="en-US" w:eastAsia="en-US" w:bidi="ar-AE"/>
            </w:rPr>
          </w:pPr>
          <w:r w:rsidRPr="008D15F7">
            <w:rPr>
              <w:rFonts w:eastAsiaTheme="minorHAnsi"/>
              <w:noProof/>
              <w:sz w:val="24"/>
              <w:szCs w:val="24"/>
              <w:lang w:val="en-US" w:eastAsia="en-US"/>
            </w:rPr>
            <w:drawing>
              <wp:inline distT="0" distB="0" distL="0" distR="0" wp14:anchorId="34C9D57D" wp14:editId="3E0FE025">
                <wp:extent cx="774700" cy="10922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092200"/>
                        </a:xfrm>
                        <a:prstGeom prst="rect">
                          <a:avLst/>
                        </a:prstGeom>
                        <a:noFill/>
                        <a:ln>
                          <a:noFill/>
                        </a:ln>
                      </pic:spPr>
                    </pic:pic>
                  </a:graphicData>
                </a:graphic>
              </wp:inline>
            </w:drawing>
          </w:r>
        </w:p>
        <w:p w:rsidR="00F3777A" w:rsidRPr="008D15F7" w:rsidRDefault="00F3777A" w:rsidP="00D41966">
          <w:pPr>
            <w:tabs>
              <w:tab w:val="center" w:pos="4680"/>
              <w:tab w:val="right" w:pos="9360"/>
            </w:tabs>
            <w:bidi/>
            <w:jc w:val="center"/>
            <w:rPr>
              <w:rFonts w:eastAsiaTheme="minorHAnsi"/>
              <w:sz w:val="24"/>
              <w:szCs w:val="24"/>
              <w:rtl/>
              <w:lang w:val="en-US" w:eastAsia="en-US" w:bidi="ar-AE"/>
            </w:rPr>
          </w:pPr>
        </w:p>
      </w:tc>
      <w:tc>
        <w:tcPr>
          <w:tcW w:w="4605" w:type="dxa"/>
        </w:tcPr>
        <w:p w:rsidR="00F3777A" w:rsidRDefault="00F3777A" w:rsidP="00D41966">
          <w:pPr>
            <w:tabs>
              <w:tab w:val="center" w:pos="4680"/>
              <w:tab w:val="right" w:pos="9360"/>
            </w:tabs>
            <w:bidi/>
            <w:spacing w:line="360" w:lineRule="auto"/>
            <w:rPr>
              <w:rFonts w:ascii="Monotype Corsiva" w:eastAsiaTheme="minorHAnsi" w:hAnsi="Monotype Corsiva"/>
              <w:b/>
              <w:bCs/>
              <w:sz w:val="16"/>
              <w:szCs w:val="16"/>
              <w:lang w:val="en-US" w:eastAsia="en-US" w:bidi="ar-AE"/>
            </w:rPr>
          </w:pPr>
        </w:p>
        <w:p w:rsidR="00F3777A" w:rsidRPr="008D15F7" w:rsidRDefault="00F3777A" w:rsidP="00D41966">
          <w:pPr>
            <w:tabs>
              <w:tab w:val="center" w:pos="4680"/>
              <w:tab w:val="right" w:pos="9360"/>
            </w:tabs>
            <w:bidi/>
            <w:spacing w:line="360" w:lineRule="auto"/>
            <w:rPr>
              <w:rFonts w:ascii="Monotype Corsiva" w:eastAsiaTheme="minorHAnsi" w:hAnsi="Monotype Corsiva"/>
              <w:b/>
              <w:bCs/>
              <w:sz w:val="16"/>
              <w:szCs w:val="16"/>
              <w:lang w:val="en-US" w:eastAsia="en-US" w:bidi="ar-AE"/>
            </w:rPr>
          </w:pPr>
        </w:p>
        <w:p w:rsidR="00F3777A" w:rsidRPr="008D15F7" w:rsidRDefault="00F3777A" w:rsidP="00D41966">
          <w:pPr>
            <w:tabs>
              <w:tab w:val="center" w:pos="4680"/>
              <w:tab w:val="right" w:pos="9360"/>
            </w:tabs>
            <w:bidi/>
            <w:spacing w:line="360" w:lineRule="auto"/>
            <w:jc w:val="center"/>
            <w:rPr>
              <w:rFonts w:ascii="Monotype Corsiva" w:eastAsiaTheme="minorHAnsi" w:hAnsi="Monotype Corsiva"/>
              <w:b/>
              <w:bCs/>
              <w:sz w:val="32"/>
              <w:szCs w:val="32"/>
              <w:lang w:val="en-US" w:eastAsia="en-US"/>
            </w:rPr>
          </w:pPr>
          <w:r w:rsidRPr="008D15F7">
            <w:rPr>
              <w:rFonts w:ascii="Monotype Corsiva" w:eastAsiaTheme="minorHAnsi" w:hAnsi="Monotype Corsiva"/>
              <w:b/>
              <w:bCs/>
              <w:sz w:val="32"/>
              <w:szCs w:val="32"/>
              <w:lang w:val="en-US" w:eastAsia="en-US"/>
            </w:rPr>
            <w:t xml:space="preserve">State of Palestine </w:t>
          </w:r>
        </w:p>
        <w:p w:rsidR="00F3777A" w:rsidRPr="008D15F7" w:rsidRDefault="00F3777A" w:rsidP="00D41966">
          <w:pPr>
            <w:tabs>
              <w:tab w:val="center" w:pos="4680"/>
              <w:tab w:val="right" w:pos="9360"/>
            </w:tabs>
            <w:bidi/>
            <w:spacing w:line="360" w:lineRule="auto"/>
            <w:jc w:val="center"/>
            <w:rPr>
              <w:rFonts w:ascii="Monotype Corsiva" w:eastAsiaTheme="minorHAnsi" w:hAnsi="Monotype Corsiva"/>
              <w:b/>
              <w:bCs/>
              <w:sz w:val="8"/>
              <w:szCs w:val="8"/>
              <w:lang w:val="en-US" w:eastAsia="en-US" w:bidi="ar-AE"/>
            </w:rPr>
          </w:pPr>
        </w:p>
        <w:p w:rsidR="00F3777A" w:rsidRPr="008D15F7" w:rsidRDefault="00F3777A" w:rsidP="00D41966">
          <w:pPr>
            <w:tabs>
              <w:tab w:val="center" w:pos="4680"/>
              <w:tab w:val="right" w:pos="9360"/>
            </w:tabs>
            <w:bidi/>
            <w:spacing w:line="360" w:lineRule="auto"/>
            <w:jc w:val="center"/>
            <w:rPr>
              <w:rFonts w:ascii="Monotype Corsiva" w:eastAsiaTheme="minorHAnsi" w:hAnsi="Monotype Corsiva"/>
              <w:sz w:val="24"/>
              <w:szCs w:val="24"/>
              <w:rtl/>
              <w:lang w:val="en-US" w:eastAsia="en-US"/>
            </w:rPr>
          </w:pPr>
          <w:r w:rsidRPr="008D15F7">
            <w:rPr>
              <w:rFonts w:ascii="Monotype Corsiva" w:eastAsiaTheme="minorHAnsi" w:hAnsi="Monotype Corsiva"/>
              <w:sz w:val="24"/>
              <w:szCs w:val="24"/>
              <w:lang w:val="en-US" w:eastAsia="en-US"/>
            </w:rPr>
            <w:t>Permanent Observer Mission to the United Nations</w:t>
          </w:r>
        </w:p>
        <w:p w:rsidR="00F3777A" w:rsidRPr="008D15F7" w:rsidRDefault="00F3777A" w:rsidP="00D41966">
          <w:pPr>
            <w:tabs>
              <w:tab w:val="left" w:pos="205"/>
              <w:tab w:val="left" w:pos="1495"/>
              <w:tab w:val="center" w:pos="1970"/>
              <w:tab w:val="center" w:pos="2360"/>
              <w:tab w:val="center" w:pos="4680"/>
              <w:tab w:val="right" w:pos="9360"/>
            </w:tabs>
            <w:bidi/>
            <w:spacing w:line="360" w:lineRule="auto"/>
            <w:jc w:val="center"/>
            <w:rPr>
              <w:rFonts w:ascii="Times New Roman" w:eastAsiaTheme="minorHAnsi" w:hAnsi="Times New Roman"/>
              <w:sz w:val="24"/>
              <w:szCs w:val="24"/>
              <w:lang w:val="en-US" w:eastAsia="en-US"/>
            </w:rPr>
          </w:pPr>
          <w:r w:rsidRPr="008D15F7">
            <w:rPr>
              <w:rFonts w:ascii="Monotype Corsiva" w:eastAsiaTheme="minorHAnsi" w:hAnsi="Monotype Corsiva"/>
              <w:sz w:val="24"/>
              <w:szCs w:val="24"/>
              <w:lang w:val="en-US" w:eastAsia="en-US"/>
            </w:rPr>
            <w:t>Geneva</w:t>
          </w:r>
        </w:p>
      </w:tc>
    </w:tr>
  </w:tbl>
  <w:p w:rsidR="00F3777A" w:rsidRDefault="00F3777A" w:rsidP="00D41966">
    <w:pPr>
      <w:pStyle w:val="Header"/>
    </w:pPr>
  </w:p>
  <w:p w:rsidR="00E4476D" w:rsidRPr="00E4476D" w:rsidRDefault="00E4476D">
    <w:pPr>
      <w:pStyle w:val="Header"/>
      <w:rPr>
        <w:rFonts w:asciiTheme="majorBidi" w:hAnsiTheme="majorBidi" w:cstheme="maj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6A"/>
    <w:rsid w:val="000002C7"/>
    <w:rsid w:val="00025544"/>
    <w:rsid w:val="00086DFC"/>
    <w:rsid w:val="000D4286"/>
    <w:rsid w:val="001E6AC1"/>
    <w:rsid w:val="002703E6"/>
    <w:rsid w:val="00276AD2"/>
    <w:rsid w:val="003D6C19"/>
    <w:rsid w:val="003D7842"/>
    <w:rsid w:val="00473C66"/>
    <w:rsid w:val="00492969"/>
    <w:rsid w:val="004951E7"/>
    <w:rsid w:val="005071DC"/>
    <w:rsid w:val="00515FE1"/>
    <w:rsid w:val="00531326"/>
    <w:rsid w:val="0053630B"/>
    <w:rsid w:val="00594BDF"/>
    <w:rsid w:val="0059667C"/>
    <w:rsid w:val="0061518E"/>
    <w:rsid w:val="006414B8"/>
    <w:rsid w:val="0065166A"/>
    <w:rsid w:val="006E0919"/>
    <w:rsid w:val="00710754"/>
    <w:rsid w:val="0071505A"/>
    <w:rsid w:val="0076588B"/>
    <w:rsid w:val="00781DE9"/>
    <w:rsid w:val="0079469C"/>
    <w:rsid w:val="007A271B"/>
    <w:rsid w:val="00887C3D"/>
    <w:rsid w:val="008D0043"/>
    <w:rsid w:val="009323D4"/>
    <w:rsid w:val="009E09B9"/>
    <w:rsid w:val="00A4739B"/>
    <w:rsid w:val="00A539DE"/>
    <w:rsid w:val="00B238FB"/>
    <w:rsid w:val="00BB4752"/>
    <w:rsid w:val="00BE78B6"/>
    <w:rsid w:val="00C028E6"/>
    <w:rsid w:val="00C174CD"/>
    <w:rsid w:val="00C744FF"/>
    <w:rsid w:val="00D4096A"/>
    <w:rsid w:val="00D556DB"/>
    <w:rsid w:val="00E4476D"/>
    <w:rsid w:val="00E75391"/>
    <w:rsid w:val="00F3777A"/>
    <w:rsid w:val="00F80C69"/>
    <w:rsid w:val="00FF78AC"/>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7E113961"/>
  <w15:chartTrackingRefBased/>
  <w15:docId w15:val="{04F0F87E-E9FD-8444-865E-CE7499C1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6DB"/>
    <w:pPr>
      <w:tabs>
        <w:tab w:val="center" w:pos="4513"/>
        <w:tab w:val="right" w:pos="9026"/>
      </w:tabs>
    </w:pPr>
  </w:style>
  <w:style w:type="character" w:customStyle="1" w:styleId="HeaderChar">
    <w:name w:val="Header Char"/>
    <w:basedOn w:val="DefaultParagraphFont"/>
    <w:link w:val="Header"/>
    <w:uiPriority w:val="99"/>
    <w:rsid w:val="00D556DB"/>
  </w:style>
  <w:style w:type="paragraph" w:styleId="Footer">
    <w:name w:val="footer"/>
    <w:basedOn w:val="Normal"/>
    <w:link w:val="FooterChar"/>
    <w:uiPriority w:val="99"/>
    <w:unhideWhenUsed/>
    <w:rsid w:val="00D556DB"/>
    <w:pPr>
      <w:tabs>
        <w:tab w:val="center" w:pos="4513"/>
        <w:tab w:val="right" w:pos="9026"/>
      </w:tabs>
    </w:pPr>
  </w:style>
  <w:style w:type="character" w:customStyle="1" w:styleId="FooterChar">
    <w:name w:val="Footer Char"/>
    <w:basedOn w:val="DefaultParagraphFont"/>
    <w:link w:val="Footer"/>
    <w:uiPriority w:val="99"/>
    <w:rsid w:val="00D556DB"/>
  </w:style>
  <w:style w:type="paragraph" w:customStyle="1" w:styleId="s16">
    <w:name w:val="s16"/>
    <w:basedOn w:val="Normal"/>
    <w:rsid w:val="00D556DB"/>
    <w:pPr>
      <w:spacing w:before="100" w:beforeAutospacing="1" w:after="100" w:afterAutospacing="1"/>
    </w:pPr>
    <w:rPr>
      <w:rFonts w:ascii="Times New Roman" w:hAnsi="Times New Roman" w:cs="Times New Roman"/>
      <w:sz w:val="24"/>
      <w:szCs w:val="24"/>
    </w:rPr>
  </w:style>
  <w:style w:type="character" w:customStyle="1" w:styleId="s13">
    <w:name w:val="s13"/>
    <w:basedOn w:val="DefaultParagraphFont"/>
    <w:rsid w:val="00D556DB"/>
  </w:style>
  <w:style w:type="character" w:customStyle="1" w:styleId="s14">
    <w:name w:val="s14"/>
    <w:basedOn w:val="DefaultParagraphFont"/>
    <w:rsid w:val="00D556DB"/>
  </w:style>
  <w:style w:type="character" w:customStyle="1" w:styleId="apple-converted-space">
    <w:name w:val="apple-converted-space"/>
    <w:basedOn w:val="DefaultParagraphFont"/>
    <w:rsid w:val="00D556DB"/>
  </w:style>
  <w:style w:type="character" w:customStyle="1" w:styleId="s15">
    <w:name w:val="s15"/>
    <w:basedOn w:val="DefaultParagraphFont"/>
    <w:rsid w:val="00D5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D73732-DE9B-4E9F-99D1-8EC956F7BE20}"/>
</file>

<file path=customXml/itemProps2.xml><?xml version="1.0" encoding="utf-8"?>
<ds:datastoreItem xmlns:ds="http://schemas.openxmlformats.org/officeDocument/2006/customXml" ds:itemID="{5B7DBE45-400D-411D-9136-374FA28042CE}"/>
</file>

<file path=customXml/itemProps3.xml><?xml version="1.0" encoding="utf-8"?>
<ds:datastoreItem xmlns:ds="http://schemas.openxmlformats.org/officeDocument/2006/customXml" ds:itemID="{AA8B8A38-C421-4F99-B631-B04F0DA08ADB}"/>
</file>

<file path=docProps/app.xml><?xml version="1.0" encoding="utf-8"?>
<Properties xmlns="http://schemas.openxmlformats.org/officeDocument/2006/extended-properties" xmlns:vt="http://schemas.openxmlformats.org/officeDocument/2006/docPropsVTypes">
  <Template>Normal</Template>
  <TotalTime>18</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12</cp:revision>
  <dcterms:created xsi:type="dcterms:W3CDTF">2020-10-27T12:34:00Z</dcterms:created>
  <dcterms:modified xsi:type="dcterms:W3CDTF">2020-10-27T12:52:00Z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