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6DB" w:rsidRDefault="00D556DB" w:rsidP="00D4096A">
      <w:pPr>
        <w:jc w:val="both"/>
        <w:rPr>
          <w:rFonts w:asciiTheme="majorBidi" w:hAnsiTheme="majorBidi" w:cstheme="majorBidi"/>
          <w:b/>
          <w:bCs/>
          <w:lang w:val="en-US"/>
        </w:rPr>
      </w:pPr>
    </w:p>
    <w:p w:rsidR="006414B8" w:rsidRDefault="006414B8" w:rsidP="0066393D">
      <w:pPr>
        <w:pStyle w:val="s16"/>
        <w:spacing w:before="0" w:beforeAutospacing="0" w:after="0" w:afterAutospacing="0"/>
        <w:jc w:val="center"/>
        <w:rPr>
          <w:rStyle w:val="s13"/>
          <w:rFonts w:cstheme="majorBidi"/>
          <w:b/>
          <w:bCs/>
          <w:color w:val="000000"/>
          <w:sz w:val="28"/>
          <w:szCs w:val="28"/>
          <w:u w:val="single"/>
        </w:rPr>
      </w:pPr>
    </w:p>
    <w:p w:rsidR="00D556DB" w:rsidRPr="004C1D54" w:rsidRDefault="00D556DB" w:rsidP="0066393D">
      <w:pPr>
        <w:pStyle w:val="s16"/>
        <w:spacing w:before="0" w:beforeAutospacing="0" w:after="0" w:afterAutospacing="0"/>
        <w:jc w:val="center"/>
        <w:rPr>
          <w:rFonts w:asciiTheme="majorBidi" w:hAnsiTheme="majorBidi" w:cstheme="majorBidi"/>
          <w:b/>
          <w:bCs/>
          <w:color w:val="000000"/>
          <w:sz w:val="28"/>
          <w:szCs w:val="28"/>
        </w:rPr>
      </w:pPr>
      <w:r w:rsidRPr="004C1D54">
        <w:rPr>
          <w:rStyle w:val="s13"/>
          <w:rFonts w:asciiTheme="majorBidi" w:hAnsiTheme="majorBidi" w:cstheme="majorBidi"/>
          <w:b/>
          <w:bCs/>
          <w:color w:val="000000"/>
          <w:sz w:val="28"/>
          <w:szCs w:val="28"/>
          <w:u w:val="single"/>
        </w:rPr>
        <w:t>6</w:t>
      </w:r>
      <w:r w:rsidRPr="004C1D54">
        <w:rPr>
          <w:rStyle w:val="s14"/>
          <w:rFonts w:asciiTheme="majorBidi" w:hAnsiTheme="majorBidi" w:cstheme="majorBidi"/>
          <w:b/>
          <w:bCs/>
          <w:color w:val="000000"/>
          <w:sz w:val="28"/>
          <w:szCs w:val="28"/>
          <w:u w:val="single"/>
          <w:vertAlign w:val="superscript"/>
        </w:rPr>
        <w:t>th</w:t>
      </w:r>
      <w:r w:rsidRPr="004C1D54">
        <w:rPr>
          <w:rStyle w:val="apple-converted-space"/>
          <w:rFonts w:asciiTheme="majorBidi" w:hAnsiTheme="majorBidi" w:cstheme="majorBidi"/>
          <w:b/>
          <w:bCs/>
          <w:color w:val="000000"/>
          <w:sz w:val="28"/>
          <w:szCs w:val="28"/>
          <w:u w:val="single"/>
        </w:rPr>
        <w:t> </w:t>
      </w:r>
      <w:r w:rsidRPr="004C1D54">
        <w:rPr>
          <w:rStyle w:val="s13"/>
          <w:rFonts w:asciiTheme="majorBidi" w:hAnsiTheme="majorBidi" w:cstheme="majorBidi"/>
          <w:b/>
          <w:bCs/>
          <w:color w:val="000000"/>
          <w:sz w:val="28"/>
          <w:szCs w:val="28"/>
          <w:u w:val="single"/>
        </w:rPr>
        <w:t>Session of IGWG on TNCs and OBEs with respect to Human Rights</w:t>
      </w:r>
    </w:p>
    <w:p w:rsidR="00D556DB" w:rsidRPr="00D556DB" w:rsidRDefault="00D556DB" w:rsidP="0066393D">
      <w:pPr>
        <w:pStyle w:val="s16"/>
        <w:spacing w:before="0" w:beforeAutospacing="0" w:after="0" w:afterAutospacing="0"/>
        <w:jc w:val="center"/>
        <w:rPr>
          <w:rFonts w:cstheme="majorBidi"/>
          <w:b/>
          <w:bCs/>
          <w:color w:val="000000"/>
          <w:sz w:val="28"/>
          <w:szCs w:val="28"/>
          <w:lang w:val="en-US"/>
        </w:rPr>
      </w:pPr>
      <w:r w:rsidRPr="004C1D54">
        <w:rPr>
          <w:rStyle w:val="s15"/>
          <w:rFonts w:asciiTheme="majorBidi" w:hAnsiTheme="majorBidi" w:cstheme="majorBidi"/>
          <w:b/>
          <w:bCs/>
          <w:color w:val="000000"/>
          <w:sz w:val="28"/>
          <w:szCs w:val="28"/>
          <w:u w:val="single"/>
        </w:rPr>
        <w:t>Comments on Article</w:t>
      </w:r>
      <w:r w:rsidR="00D930D4">
        <w:rPr>
          <w:rStyle w:val="s15"/>
          <w:rFonts w:asciiTheme="majorBidi" w:hAnsiTheme="majorBidi" w:cstheme="majorBidi"/>
          <w:b/>
          <w:bCs/>
          <w:color w:val="000000"/>
          <w:sz w:val="28"/>
          <w:szCs w:val="28"/>
          <w:u w:val="single"/>
          <w:lang w:val="en-US"/>
        </w:rPr>
        <w:t>s 12, 13&amp;14</w:t>
      </w:r>
    </w:p>
    <w:p w:rsidR="00D556DB" w:rsidRDefault="00D556DB" w:rsidP="0066393D">
      <w:pPr>
        <w:rPr>
          <w:rFonts w:ascii="Times New Roman" w:hAnsi="Times New Roman"/>
          <w:lang w:val="en-US"/>
        </w:rPr>
      </w:pPr>
    </w:p>
    <w:p w:rsidR="00F80C69" w:rsidRDefault="00F80C69" w:rsidP="00492A18">
      <w:pPr>
        <w:jc w:val="both"/>
        <w:rPr>
          <w:rFonts w:asciiTheme="majorBidi" w:hAnsiTheme="majorBidi" w:cstheme="majorBidi"/>
          <w:b/>
          <w:bCs/>
          <w:lang w:val="en-US"/>
        </w:rPr>
      </w:pPr>
    </w:p>
    <w:p w:rsidR="00D556DB" w:rsidRPr="00F80C69" w:rsidRDefault="00D556DB" w:rsidP="00492A18">
      <w:pPr>
        <w:jc w:val="both"/>
        <w:rPr>
          <w:rFonts w:asciiTheme="majorBidi" w:hAnsiTheme="majorBidi" w:cstheme="majorBidi"/>
          <w:lang w:val="en-US"/>
        </w:rPr>
      </w:pPr>
      <w:r w:rsidRPr="00F80C69">
        <w:rPr>
          <w:rFonts w:asciiTheme="majorBidi" w:hAnsiTheme="majorBidi" w:cstheme="majorBidi"/>
          <w:lang w:val="en-US"/>
        </w:rPr>
        <w:t>Thank you Mr. Cha</w:t>
      </w:r>
      <w:r w:rsidR="00F80C69" w:rsidRPr="00F80C69">
        <w:rPr>
          <w:rFonts w:asciiTheme="majorBidi" w:hAnsiTheme="majorBidi" w:cstheme="majorBidi"/>
          <w:lang w:val="en-US"/>
        </w:rPr>
        <w:t xml:space="preserve">ir, </w:t>
      </w:r>
    </w:p>
    <w:p w:rsidR="00F80C69" w:rsidRDefault="00F80C69" w:rsidP="00492A18">
      <w:pPr>
        <w:jc w:val="both"/>
        <w:rPr>
          <w:rFonts w:asciiTheme="majorBidi" w:hAnsiTheme="majorBidi" w:cstheme="majorBidi"/>
          <w:b/>
          <w:bCs/>
          <w:lang w:val="en-US"/>
        </w:rPr>
      </w:pPr>
    </w:p>
    <w:p w:rsidR="00D556DB" w:rsidRDefault="00D556DB" w:rsidP="00492A18">
      <w:pPr>
        <w:jc w:val="both"/>
        <w:rPr>
          <w:rFonts w:asciiTheme="majorBidi" w:hAnsiTheme="majorBidi" w:cstheme="majorBidi"/>
          <w:b/>
          <w:bCs/>
          <w:lang w:val="en-US"/>
        </w:rPr>
      </w:pPr>
    </w:p>
    <w:p w:rsidR="00D930D4" w:rsidRDefault="00D930D4" w:rsidP="00492A18">
      <w:pPr>
        <w:jc w:val="both"/>
        <w:rPr>
          <w:rFonts w:asciiTheme="majorBidi" w:hAnsiTheme="majorBidi" w:cstheme="majorBidi"/>
          <w:lang w:val="en-US"/>
        </w:rPr>
      </w:pPr>
      <w:r w:rsidRPr="00BE3D65">
        <w:rPr>
          <w:rFonts w:asciiTheme="majorBidi" w:hAnsiTheme="majorBidi" w:cstheme="majorBidi"/>
          <w:lang w:val="en-US"/>
        </w:rPr>
        <w:t xml:space="preserve">To ensure that all bilateral and multilateral trade and investment agreements </w:t>
      </w:r>
      <w:r w:rsidR="008D6BA7">
        <w:rPr>
          <w:rFonts w:asciiTheme="majorBidi" w:hAnsiTheme="majorBidi" w:cstheme="majorBidi"/>
          <w:lang w:val="en-US"/>
        </w:rPr>
        <w:t>are</w:t>
      </w:r>
      <w:r w:rsidRPr="00BE3D65">
        <w:rPr>
          <w:rFonts w:asciiTheme="majorBidi" w:hAnsiTheme="majorBidi" w:cstheme="majorBidi"/>
          <w:lang w:val="en-US"/>
        </w:rPr>
        <w:t xml:space="preserve"> compatible with</w:t>
      </w:r>
      <w:r w:rsidR="00AF36DA">
        <w:rPr>
          <w:rFonts w:asciiTheme="majorBidi" w:hAnsiTheme="majorBidi" w:cstheme="majorBidi"/>
          <w:lang w:val="en-US"/>
        </w:rPr>
        <w:t xml:space="preserve"> both </w:t>
      </w:r>
      <w:r w:rsidRPr="00BE3D65">
        <w:rPr>
          <w:rFonts w:asciiTheme="majorBidi" w:hAnsiTheme="majorBidi" w:cstheme="majorBidi"/>
          <w:lang w:val="en-US"/>
        </w:rPr>
        <w:t xml:space="preserve">human rights and humanitarian law obligations, we </w:t>
      </w:r>
      <w:r w:rsidR="00AF36DA">
        <w:rPr>
          <w:rFonts w:asciiTheme="majorBidi" w:hAnsiTheme="majorBidi" w:cstheme="majorBidi"/>
          <w:lang w:val="en-US"/>
        </w:rPr>
        <w:t>suggest</w:t>
      </w:r>
      <w:r w:rsidRPr="00BE3D65">
        <w:rPr>
          <w:rFonts w:asciiTheme="majorBidi" w:hAnsiTheme="majorBidi" w:cstheme="majorBidi"/>
          <w:lang w:val="en-US"/>
        </w:rPr>
        <w:t xml:space="preserve"> including a reference to international humanitarian law throughout Article 14(5)</w:t>
      </w:r>
      <w:r w:rsidR="00AF36DA">
        <w:rPr>
          <w:rFonts w:asciiTheme="majorBidi" w:hAnsiTheme="majorBidi" w:cstheme="majorBidi"/>
          <w:lang w:val="en-US"/>
        </w:rPr>
        <w:t xml:space="preserve">. </w:t>
      </w:r>
    </w:p>
    <w:p w:rsidR="00AF36DA" w:rsidRPr="00BE3D65" w:rsidRDefault="00AF36DA" w:rsidP="00492A18">
      <w:pPr>
        <w:jc w:val="both"/>
        <w:rPr>
          <w:rFonts w:asciiTheme="majorBidi" w:hAnsiTheme="majorBidi" w:cstheme="majorBidi"/>
          <w:lang w:val="en-US"/>
        </w:rPr>
      </w:pPr>
    </w:p>
    <w:p w:rsidR="001C4F50" w:rsidRDefault="00D930D4" w:rsidP="00492A18">
      <w:pPr>
        <w:jc w:val="both"/>
        <w:rPr>
          <w:rFonts w:asciiTheme="majorBidi" w:hAnsiTheme="majorBidi" w:cstheme="majorBidi"/>
          <w:lang w:val="en-US"/>
        </w:rPr>
      </w:pPr>
      <w:r w:rsidRPr="00BE3D65">
        <w:rPr>
          <w:rFonts w:asciiTheme="majorBidi" w:hAnsiTheme="majorBidi" w:cstheme="majorBidi"/>
          <w:lang w:val="en-US"/>
        </w:rPr>
        <w:t xml:space="preserve">In Article 14(5)(a), </w:t>
      </w:r>
      <w:r w:rsidR="00AF36DA">
        <w:rPr>
          <w:rFonts w:asciiTheme="majorBidi" w:hAnsiTheme="majorBidi" w:cstheme="majorBidi"/>
          <w:lang w:val="en-US"/>
        </w:rPr>
        <w:t>we recommend s</w:t>
      </w:r>
      <w:r w:rsidR="006E5EB4">
        <w:rPr>
          <w:rFonts w:asciiTheme="majorBidi" w:hAnsiTheme="majorBidi" w:cstheme="majorBidi"/>
          <w:lang w:val="en-US"/>
        </w:rPr>
        <w:t>trengthening</w:t>
      </w:r>
      <w:r w:rsidR="00AF36DA">
        <w:rPr>
          <w:rFonts w:asciiTheme="majorBidi" w:hAnsiTheme="majorBidi" w:cstheme="majorBidi"/>
          <w:lang w:val="en-US"/>
        </w:rPr>
        <w:t xml:space="preserve"> the</w:t>
      </w:r>
      <w:r w:rsidRPr="00BE3D65">
        <w:rPr>
          <w:rFonts w:asciiTheme="majorBidi" w:hAnsiTheme="majorBidi" w:cstheme="majorBidi"/>
          <w:lang w:val="en-US"/>
        </w:rPr>
        <w:t xml:space="preserve"> language to ensure that existing trade and investment agreements  comply with the provisions of the LBI and the principle of primacy of</w:t>
      </w:r>
      <w:r w:rsidR="001C4F50">
        <w:rPr>
          <w:rFonts w:asciiTheme="majorBidi" w:hAnsiTheme="majorBidi" w:cstheme="majorBidi"/>
          <w:lang w:val="en-US"/>
        </w:rPr>
        <w:t xml:space="preserve"> </w:t>
      </w:r>
      <w:r w:rsidR="001C4F50" w:rsidRPr="001C4F50">
        <w:rPr>
          <w:rFonts w:asciiTheme="majorBidi" w:hAnsiTheme="majorBidi" w:cstheme="majorBidi"/>
          <w:lang w:val="en-US"/>
        </w:rPr>
        <w:t>human rights.</w:t>
      </w:r>
      <w:r w:rsidR="00BB7ED5">
        <w:rPr>
          <w:rFonts w:asciiTheme="majorBidi" w:hAnsiTheme="majorBidi" w:cstheme="majorBidi"/>
          <w:lang w:val="en-US"/>
        </w:rPr>
        <w:t xml:space="preserve"> In this regard we suggest that the para reads as follows</w:t>
      </w:r>
      <w:r w:rsidR="001C4F50" w:rsidRPr="001C4F50">
        <w:rPr>
          <w:rFonts w:asciiTheme="majorBidi" w:hAnsiTheme="majorBidi" w:cstheme="majorBidi"/>
          <w:lang w:val="en-US"/>
        </w:rPr>
        <w:t xml:space="preserve">: “...any existing bilateral or multilateral agreements, including regional or sub-regional agreements, on issues relevant to this (Legally Binding Instrument) and its protocols, including trade and investment agreements, shall be </w:t>
      </w:r>
      <w:r w:rsidR="001C4F50" w:rsidRPr="002762FB">
        <w:rPr>
          <w:rFonts w:asciiTheme="majorBidi" w:hAnsiTheme="majorBidi" w:cstheme="majorBidi"/>
          <w:b/>
          <w:bCs/>
          <w:strike/>
          <w:lang w:val="en-US"/>
        </w:rPr>
        <w:t xml:space="preserve">interpreted and implemented in a manner that will not undermine or limit their capacity to </w:t>
      </w:r>
      <w:proofErr w:type="spellStart"/>
      <w:r w:rsidR="001C4F50" w:rsidRPr="002762FB">
        <w:rPr>
          <w:rFonts w:asciiTheme="majorBidi" w:hAnsiTheme="majorBidi" w:cstheme="majorBidi"/>
          <w:b/>
          <w:bCs/>
          <w:strike/>
          <w:lang w:val="en-US"/>
        </w:rPr>
        <w:t>fulfil</w:t>
      </w:r>
      <w:proofErr w:type="spellEnd"/>
      <w:r w:rsidR="001C4F50" w:rsidRPr="001C4F50">
        <w:rPr>
          <w:rFonts w:asciiTheme="majorBidi" w:hAnsiTheme="majorBidi" w:cstheme="majorBidi"/>
          <w:lang w:val="en-US"/>
        </w:rPr>
        <w:t xml:space="preserve"> </w:t>
      </w:r>
      <w:r w:rsidR="001C4F50" w:rsidRPr="009241AD">
        <w:rPr>
          <w:rFonts w:asciiTheme="majorBidi" w:hAnsiTheme="majorBidi" w:cstheme="majorBidi"/>
          <w:b/>
          <w:bCs/>
          <w:lang w:val="en-US"/>
        </w:rPr>
        <w:t>reviewed, adapted and implemented in compliance with and in a manner that does not undermine</w:t>
      </w:r>
      <w:r w:rsidR="001C4F50" w:rsidRPr="001C4F50">
        <w:rPr>
          <w:rFonts w:asciiTheme="majorBidi" w:hAnsiTheme="majorBidi" w:cstheme="majorBidi"/>
          <w:lang w:val="en-US"/>
        </w:rPr>
        <w:t xml:space="preserve"> their obligations under this (Legally Binding Instrument) and its protocols, as well as other relevant human rights and </w:t>
      </w:r>
      <w:r w:rsidR="001C4F50" w:rsidRPr="00D51D69">
        <w:rPr>
          <w:rFonts w:asciiTheme="majorBidi" w:hAnsiTheme="majorBidi" w:cstheme="majorBidi"/>
          <w:b/>
          <w:bCs/>
          <w:lang w:val="en-US"/>
        </w:rPr>
        <w:t>humanitarian law</w:t>
      </w:r>
      <w:r w:rsidR="001C4F50" w:rsidRPr="001C4F50">
        <w:rPr>
          <w:rFonts w:asciiTheme="majorBidi" w:hAnsiTheme="majorBidi" w:cstheme="majorBidi"/>
          <w:lang w:val="en-US"/>
        </w:rPr>
        <w:t xml:space="preserve"> conventions and instruments.”</w:t>
      </w:r>
    </w:p>
    <w:p w:rsidR="00D51D69" w:rsidRPr="001C4F50" w:rsidRDefault="00D51D69" w:rsidP="00492A18">
      <w:pPr>
        <w:jc w:val="both"/>
        <w:rPr>
          <w:rFonts w:asciiTheme="majorBidi" w:hAnsiTheme="majorBidi" w:cstheme="majorBidi"/>
          <w:lang w:val="en-US"/>
        </w:rPr>
      </w:pPr>
    </w:p>
    <w:p w:rsidR="001C4F50" w:rsidRDefault="00B57AF0" w:rsidP="00492A18">
      <w:pPr>
        <w:jc w:val="both"/>
        <w:rPr>
          <w:rFonts w:asciiTheme="majorBidi" w:hAnsiTheme="majorBidi" w:cstheme="majorBidi"/>
          <w:lang w:val="en-US"/>
        </w:rPr>
      </w:pPr>
      <w:r>
        <w:rPr>
          <w:rFonts w:asciiTheme="majorBidi" w:hAnsiTheme="majorBidi" w:cstheme="majorBidi"/>
          <w:lang w:val="en-US"/>
        </w:rPr>
        <w:t>In Article 14(5)(b)</w:t>
      </w:r>
      <w:r w:rsidR="00D10308">
        <w:rPr>
          <w:rFonts w:asciiTheme="majorBidi" w:hAnsiTheme="majorBidi" w:cstheme="majorBidi"/>
          <w:lang w:val="en-US"/>
        </w:rPr>
        <w:t xml:space="preserve"> should be </w:t>
      </w:r>
      <w:r w:rsidR="00A14A8C">
        <w:rPr>
          <w:rFonts w:asciiTheme="majorBidi" w:hAnsiTheme="majorBidi" w:cstheme="majorBidi"/>
          <w:lang w:val="en-US"/>
        </w:rPr>
        <w:t>amended</w:t>
      </w:r>
      <w:r>
        <w:rPr>
          <w:rFonts w:asciiTheme="majorBidi" w:hAnsiTheme="majorBidi" w:cstheme="majorBidi"/>
          <w:lang w:val="en-US"/>
        </w:rPr>
        <w:t xml:space="preserve"> t</w:t>
      </w:r>
      <w:r w:rsidR="001C4F50" w:rsidRPr="001C4F50">
        <w:rPr>
          <w:rFonts w:asciiTheme="majorBidi" w:hAnsiTheme="majorBidi" w:cstheme="majorBidi"/>
          <w:lang w:val="en-US"/>
        </w:rPr>
        <w:t xml:space="preserve">o ensure that all bilateral and multilateral trade and investment agreements </w:t>
      </w:r>
      <w:r w:rsidR="00D10308">
        <w:rPr>
          <w:rFonts w:asciiTheme="majorBidi" w:hAnsiTheme="majorBidi" w:cstheme="majorBidi"/>
          <w:lang w:val="en-US"/>
        </w:rPr>
        <w:t>are in line</w:t>
      </w:r>
      <w:r w:rsidR="001C4F50" w:rsidRPr="001C4F50">
        <w:rPr>
          <w:rFonts w:asciiTheme="majorBidi" w:hAnsiTheme="majorBidi" w:cstheme="majorBidi"/>
          <w:lang w:val="en-US"/>
        </w:rPr>
        <w:t xml:space="preserve"> </w:t>
      </w:r>
      <w:r w:rsidR="00D10308">
        <w:rPr>
          <w:rFonts w:asciiTheme="majorBidi" w:hAnsiTheme="majorBidi" w:cstheme="majorBidi"/>
          <w:lang w:val="en-US"/>
        </w:rPr>
        <w:t>with</w:t>
      </w:r>
      <w:r w:rsidR="001C4F50" w:rsidRPr="001C4F50">
        <w:rPr>
          <w:rFonts w:asciiTheme="majorBidi" w:hAnsiTheme="majorBidi" w:cstheme="majorBidi"/>
          <w:lang w:val="en-US"/>
        </w:rPr>
        <w:t xml:space="preserve"> human rights or humanitarian law obligations,</w:t>
      </w:r>
      <w:r w:rsidR="00FB19EB">
        <w:rPr>
          <w:rFonts w:asciiTheme="majorBidi" w:hAnsiTheme="majorBidi" w:cstheme="majorBidi"/>
          <w:lang w:val="en-US"/>
        </w:rPr>
        <w:t xml:space="preserve"> therefore we suggest the following: </w:t>
      </w:r>
      <w:r w:rsidR="001C4F50" w:rsidRPr="001C4F50">
        <w:rPr>
          <w:rFonts w:asciiTheme="majorBidi" w:hAnsiTheme="majorBidi" w:cstheme="majorBidi"/>
          <w:lang w:val="en-US"/>
        </w:rPr>
        <w:t xml:space="preserve"> “Any </w:t>
      </w:r>
      <w:r w:rsidR="001C4F50" w:rsidRPr="009F23A8">
        <w:rPr>
          <w:rFonts w:asciiTheme="majorBidi" w:hAnsiTheme="majorBidi" w:cstheme="majorBidi"/>
          <w:b/>
          <w:bCs/>
          <w:strike/>
          <w:lang w:val="en-US"/>
        </w:rPr>
        <w:t>new</w:t>
      </w:r>
      <w:r w:rsidR="001C4F50" w:rsidRPr="001C4F50">
        <w:rPr>
          <w:rFonts w:asciiTheme="majorBidi" w:hAnsiTheme="majorBidi" w:cstheme="majorBidi"/>
          <w:lang w:val="en-US"/>
        </w:rPr>
        <w:t xml:space="preserve"> bilateral or multilateral trade and investment agreements shall be compatible with the State Parties’ human rights and </w:t>
      </w:r>
      <w:r w:rsidR="001C4F50" w:rsidRPr="00A14A8C">
        <w:rPr>
          <w:rFonts w:asciiTheme="majorBidi" w:hAnsiTheme="majorBidi" w:cstheme="majorBidi"/>
          <w:b/>
          <w:bCs/>
          <w:lang w:val="en-US"/>
        </w:rPr>
        <w:t>humanitarian law</w:t>
      </w:r>
      <w:r w:rsidR="001C4F50" w:rsidRPr="001C4F50">
        <w:rPr>
          <w:rFonts w:asciiTheme="majorBidi" w:hAnsiTheme="majorBidi" w:cstheme="majorBidi"/>
          <w:lang w:val="en-US"/>
        </w:rPr>
        <w:t xml:space="preserve"> obligations under this (Legally Binding Instrument) and its protocols, as well as other relevant human rights and humanitarian law conventions and instruments.”</w:t>
      </w:r>
    </w:p>
    <w:p w:rsidR="00A14A8C" w:rsidRPr="001C4F50" w:rsidRDefault="00A14A8C" w:rsidP="00492A18">
      <w:pPr>
        <w:jc w:val="both"/>
        <w:rPr>
          <w:rFonts w:asciiTheme="majorBidi" w:hAnsiTheme="majorBidi" w:cstheme="majorBidi"/>
          <w:lang w:val="en-US"/>
        </w:rPr>
      </w:pPr>
    </w:p>
    <w:p w:rsidR="001C4F50" w:rsidRPr="00A3051C" w:rsidRDefault="001C4F50" w:rsidP="00492A18">
      <w:pPr>
        <w:jc w:val="both"/>
        <w:rPr>
          <w:rFonts w:asciiTheme="majorBidi" w:hAnsiTheme="majorBidi" w:cstheme="majorBidi"/>
          <w:b/>
          <w:bCs/>
          <w:lang w:val="en-US"/>
        </w:rPr>
      </w:pPr>
      <w:r w:rsidRPr="001C4F50">
        <w:rPr>
          <w:rFonts w:asciiTheme="majorBidi" w:hAnsiTheme="majorBidi" w:cstheme="majorBidi"/>
          <w:lang w:val="en-US"/>
        </w:rPr>
        <w:t>In order to compliment the changes</w:t>
      </w:r>
      <w:r w:rsidR="00A3051C">
        <w:rPr>
          <w:rFonts w:asciiTheme="majorBidi" w:hAnsiTheme="majorBidi" w:cstheme="majorBidi"/>
          <w:lang w:val="en-US"/>
        </w:rPr>
        <w:t xml:space="preserve"> su</w:t>
      </w:r>
      <w:r w:rsidR="00D37CAE">
        <w:rPr>
          <w:rFonts w:asciiTheme="majorBidi" w:hAnsiTheme="majorBidi" w:cstheme="majorBidi"/>
          <w:lang w:val="en-US"/>
        </w:rPr>
        <w:t>ggested</w:t>
      </w:r>
      <w:r w:rsidRPr="001C4F50">
        <w:rPr>
          <w:rFonts w:asciiTheme="majorBidi" w:hAnsiTheme="majorBidi" w:cstheme="majorBidi"/>
          <w:lang w:val="en-US"/>
        </w:rPr>
        <w:t xml:space="preserve">, </w:t>
      </w:r>
      <w:r w:rsidR="00D37CAE">
        <w:rPr>
          <w:rFonts w:asciiTheme="majorBidi" w:hAnsiTheme="majorBidi" w:cstheme="majorBidi"/>
          <w:lang w:val="en-US"/>
        </w:rPr>
        <w:t>we are with the view</w:t>
      </w:r>
      <w:r w:rsidRPr="001C4F50">
        <w:rPr>
          <w:rFonts w:asciiTheme="majorBidi" w:hAnsiTheme="majorBidi" w:cstheme="majorBidi"/>
          <w:lang w:val="en-US"/>
        </w:rPr>
        <w:t xml:space="preserve"> that a new paragraph</w:t>
      </w:r>
      <w:r w:rsidR="00D37CAE">
        <w:rPr>
          <w:rFonts w:asciiTheme="majorBidi" w:hAnsiTheme="majorBidi" w:cstheme="majorBidi"/>
          <w:lang w:val="en-US"/>
        </w:rPr>
        <w:t xml:space="preserve"> should be include</w:t>
      </w:r>
      <w:r w:rsidR="00A94C73">
        <w:rPr>
          <w:rFonts w:asciiTheme="majorBidi" w:hAnsiTheme="majorBidi" w:cstheme="majorBidi"/>
          <w:lang w:val="en-US"/>
        </w:rPr>
        <w:t xml:space="preserve">d. It will </w:t>
      </w:r>
      <w:r w:rsidRPr="001C4F50">
        <w:rPr>
          <w:rFonts w:asciiTheme="majorBidi" w:hAnsiTheme="majorBidi" w:cstheme="majorBidi"/>
          <w:lang w:val="en-US"/>
        </w:rPr>
        <w:t xml:space="preserve">be Article 14(5)(c) bis and it would read: </w:t>
      </w:r>
      <w:r w:rsidRPr="00A3051C">
        <w:rPr>
          <w:rFonts w:asciiTheme="majorBidi" w:hAnsiTheme="majorBidi" w:cstheme="majorBidi"/>
          <w:b/>
          <w:bCs/>
          <w:lang w:val="en-US"/>
        </w:rPr>
        <w:t>“To this effect, new</w:t>
      </w:r>
      <w:r w:rsidR="00A3051C" w:rsidRPr="00A3051C">
        <w:rPr>
          <w:rFonts w:asciiTheme="majorBidi" w:hAnsiTheme="majorBidi" w:cstheme="majorBidi"/>
          <w:b/>
          <w:bCs/>
          <w:lang w:val="en-US"/>
        </w:rPr>
        <w:t xml:space="preserve"> </w:t>
      </w:r>
      <w:r w:rsidRPr="00A3051C">
        <w:rPr>
          <w:rFonts w:asciiTheme="majorBidi" w:hAnsiTheme="majorBidi" w:cstheme="majorBidi"/>
          <w:b/>
          <w:bCs/>
          <w:lang w:val="en-US"/>
        </w:rPr>
        <w:t>trade and investment agreements shall be designed, negotiated and concluded to fully respect the State Parties’ human rights obligations under this (Legally Binding Instrument) and its protocols, and related human rights and humanitarian law conventions and instruments, through inter alia:</w:t>
      </w:r>
    </w:p>
    <w:p w:rsidR="001C4F50" w:rsidRPr="00A3051C" w:rsidRDefault="001C4F50" w:rsidP="00492A18">
      <w:pPr>
        <w:jc w:val="both"/>
        <w:rPr>
          <w:rFonts w:asciiTheme="majorBidi" w:hAnsiTheme="majorBidi" w:cstheme="majorBidi"/>
          <w:b/>
          <w:bCs/>
          <w:lang w:val="en-US"/>
        </w:rPr>
      </w:pPr>
      <w:r w:rsidRPr="00A3051C">
        <w:rPr>
          <w:rFonts w:asciiTheme="majorBidi" w:hAnsiTheme="majorBidi" w:cstheme="majorBidi"/>
          <w:b/>
          <w:bCs/>
          <w:lang w:val="en-US"/>
        </w:rPr>
        <w:t>a. Undertaking human rights and sustainability impact assessments prior to signing and ratification of the proposed agreement and periodically throughout their application period, and ensuring these agreements are in accordance with the results of these impact assessments; and</w:t>
      </w:r>
    </w:p>
    <w:p w:rsidR="00515FE1" w:rsidRDefault="001C4F50" w:rsidP="00492A18">
      <w:pPr>
        <w:jc w:val="both"/>
        <w:rPr>
          <w:rFonts w:asciiTheme="majorBidi" w:hAnsiTheme="majorBidi" w:cstheme="majorBidi"/>
          <w:b/>
          <w:bCs/>
          <w:lang w:val="en-US"/>
        </w:rPr>
      </w:pPr>
      <w:r w:rsidRPr="00A3051C">
        <w:rPr>
          <w:rFonts w:asciiTheme="majorBidi" w:hAnsiTheme="majorBidi" w:cstheme="majorBidi"/>
          <w:b/>
          <w:bCs/>
          <w:lang w:val="en-US"/>
        </w:rPr>
        <w:t>b. Ensuring the upholding of human rights in the context of business activities by parties benefiting from trade and investment agreements.”</w:t>
      </w:r>
    </w:p>
    <w:p w:rsidR="00AC41D9" w:rsidRDefault="00AC41D9" w:rsidP="00492A18">
      <w:pPr>
        <w:jc w:val="both"/>
        <w:rPr>
          <w:rFonts w:asciiTheme="majorBidi" w:hAnsiTheme="majorBidi" w:cstheme="majorBidi"/>
          <w:b/>
          <w:bCs/>
          <w:lang w:val="en-US"/>
        </w:rPr>
      </w:pPr>
    </w:p>
    <w:p w:rsidR="00AC41D9" w:rsidRPr="00492A18" w:rsidRDefault="00492A18" w:rsidP="00492A18">
      <w:pPr>
        <w:jc w:val="both"/>
        <w:rPr>
          <w:rFonts w:asciiTheme="majorBidi" w:hAnsiTheme="majorBidi" w:cstheme="majorBidi"/>
          <w:lang w:val="en-US"/>
        </w:rPr>
      </w:pPr>
      <w:r w:rsidRPr="00492A18">
        <w:rPr>
          <w:rFonts w:asciiTheme="majorBidi" w:hAnsiTheme="majorBidi" w:cstheme="majorBidi"/>
          <w:lang w:val="en-US"/>
        </w:rPr>
        <w:t xml:space="preserve">I thank you </w:t>
      </w:r>
    </w:p>
    <w:sectPr w:rsidR="00AC41D9" w:rsidRPr="00492A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D4E" w:rsidRDefault="00935D4E" w:rsidP="00D556DB">
      <w:r>
        <w:separator/>
      </w:r>
    </w:p>
  </w:endnote>
  <w:endnote w:type="continuationSeparator" w:id="0">
    <w:p w:rsidR="00935D4E" w:rsidRDefault="00935D4E" w:rsidP="00D5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20B06040202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D4E" w:rsidRDefault="00935D4E" w:rsidP="00D556DB">
      <w:r>
        <w:separator/>
      </w:r>
    </w:p>
  </w:footnote>
  <w:footnote w:type="continuationSeparator" w:id="0">
    <w:p w:rsidR="00935D4E" w:rsidRDefault="00935D4E" w:rsidP="00D5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777A" w:rsidRPr="006414B8" w:rsidRDefault="00F3777A" w:rsidP="00D41966">
    <w:pPr>
      <w:pStyle w:val="Header"/>
      <w:rPr>
        <w:rFonts w:ascii="Times New Roman" w:hAnsi="Times New Roman"/>
      </w:rPr>
    </w:pPr>
  </w:p>
  <w:p w:rsidR="00F3777A" w:rsidRDefault="00F3777A" w:rsidP="00D41966"/>
  <w:tbl>
    <w:tblPr>
      <w:bidiVisual/>
      <w:tblW w:w="10289" w:type="dxa"/>
      <w:jc w:val="center"/>
      <w:tblLook w:val="04A0" w:firstRow="1" w:lastRow="0" w:firstColumn="1" w:lastColumn="0" w:noHBand="0" w:noVBand="1"/>
    </w:tblPr>
    <w:tblGrid>
      <w:gridCol w:w="3841"/>
      <w:gridCol w:w="1843"/>
      <w:gridCol w:w="4605"/>
    </w:tblGrid>
    <w:tr w:rsidR="00F3777A" w:rsidRPr="008D15F7" w:rsidTr="00D41966">
      <w:trPr>
        <w:trHeight w:val="714"/>
        <w:jc w:val="center"/>
      </w:trPr>
      <w:tc>
        <w:tcPr>
          <w:tcW w:w="3841" w:type="dxa"/>
        </w:tcPr>
        <w:p w:rsidR="00F3777A" w:rsidRPr="008D15F7" w:rsidRDefault="00F3777A" w:rsidP="00D41966">
          <w:pPr>
            <w:tabs>
              <w:tab w:val="center" w:pos="4680"/>
              <w:tab w:val="right" w:pos="9360"/>
            </w:tabs>
            <w:bidi/>
            <w:rPr>
              <w:rFonts w:eastAsiaTheme="minorHAnsi"/>
              <w:b/>
              <w:bCs/>
              <w:sz w:val="16"/>
              <w:szCs w:val="16"/>
              <w:lang w:val="en-US" w:eastAsia="en-US" w:bidi="ar-AE"/>
            </w:rPr>
          </w:pPr>
        </w:p>
        <w:p w:rsidR="00F3777A" w:rsidRPr="008D15F7" w:rsidRDefault="00F3777A" w:rsidP="00D41966">
          <w:pPr>
            <w:tabs>
              <w:tab w:val="center" w:pos="4680"/>
              <w:tab w:val="right" w:pos="9360"/>
            </w:tabs>
            <w:bidi/>
            <w:jc w:val="center"/>
            <w:rPr>
              <w:rFonts w:ascii="Edwardian Script ITC" w:eastAsiaTheme="minorHAnsi" w:hAnsi="Edwardian Script ITC" w:cs="Al-Kharashi Diwani 1"/>
              <w:sz w:val="24"/>
              <w:szCs w:val="24"/>
              <w:rtl/>
              <w:lang w:val="en-US" w:eastAsia="en-US" w:bidi="ar-AE"/>
            </w:rPr>
          </w:pPr>
        </w:p>
        <w:p w:rsidR="00F3777A" w:rsidRPr="008D15F7" w:rsidRDefault="00F3777A" w:rsidP="00D41966">
          <w:pPr>
            <w:tabs>
              <w:tab w:val="center" w:pos="4680"/>
              <w:tab w:val="right" w:pos="9360"/>
            </w:tabs>
            <w:bidi/>
            <w:jc w:val="center"/>
            <w:rPr>
              <w:rFonts w:ascii="Edwardian Script ITC" w:eastAsiaTheme="minorHAnsi" w:hAnsi="Edwardian Script ITC" w:cs="Al-Kharashi Diwani 1"/>
              <w:i/>
              <w:iCs/>
              <w:sz w:val="40"/>
              <w:szCs w:val="40"/>
              <w:rtl/>
              <w:lang w:val="en-US" w:eastAsia="en-US" w:bidi="ar-AE"/>
            </w:rPr>
          </w:pPr>
          <w:r w:rsidRPr="008D15F7">
            <w:rPr>
              <w:rFonts w:ascii="Edwardian Script ITC" w:eastAsiaTheme="minorHAnsi" w:hAnsi="Edwardian Script ITC" w:cs="Al-Kharashi Diwani 1" w:hint="cs"/>
              <w:i/>
              <w:iCs/>
              <w:sz w:val="52"/>
              <w:szCs w:val="52"/>
              <w:rtl/>
              <w:lang w:val="en-US" w:eastAsia="en-US" w:bidi="ar-AE"/>
            </w:rPr>
            <w:t>دولة فلسطين</w:t>
          </w:r>
        </w:p>
        <w:p w:rsidR="00F3777A" w:rsidRPr="008D15F7" w:rsidRDefault="00F3777A" w:rsidP="00D41966">
          <w:pPr>
            <w:tabs>
              <w:tab w:val="center" w:pos="4680"/>
              <w:tab w:val="right" w:pos="9360"/>
            </w:tabs>
            <w:bidi/>
            <w:jc w:val="center"/>
            <w:rPr>
              <w:rFonts w:ascii="Edwardian Script ITC" w:eastAsiaTheme="minorHAnsi" w:hAnsi="Edwardian Script ITC" w:cs="Al-Kharashi Diwani 1"/>
              <w:sz w:val="16"/>
              <w:szCs w:val="16"/>
              <w:rtl/>
              <w:lang w:val="en-US" w:eastAsia="en-US" w:bidi="ar-AE"/>
            </w:rPr>
          </w:pPr>
        </w:p>
        <w:p w:rsidR="00F3777A" w:rsidRPr="008D15F7" w:rsidRDefault="00F3777A" w:rsidP="00D41966">
          <w:pPr>
            <w:tabs>
              <w:tab w:val="center" w:pos="4680"/>
              <w:tab w:val="right" w:pos="9360"/>
            </w:tabs>
            <w:bidi/>
            <w:jc w:val="center"/>
            <w:rPr>
              <w:rFonts w:ascii="Times New Roman" w:eastAsiaTheme="minorHAnsi" w:hAnsi="Times New Roman" w:cs="Al-Kharashi Diwani 1"/>
              <w:sz w:val="32"/>
              <w:szCs w:val="32"/>
              <w:rtl/>
              <w:lang w:val="en-US" w:eastAsia="en-US" w:bidi="ar-AE"/>
            </w:rPr>
          </w:pPr>
          <w:r w:rsidRPr="008D15F7">
            <w:rPr>
              <w:rFonts w:ascii="Edwardian Script ITC" w:eastAsiaTheme="minorHAnsi" w:hAnsi="Edwardian Script ITC" w:cs="Al-Kharashi Diwani 1" w:hint="cs"/>
              <w:sz w:val="32"/>
              <w:szCs w:val="32"/>
              <w:rtl/>
              <w:lang w:val="en-US" w:eastAsia="en-US" w:bidi="ar-AE"/>
            </w:rPr>
            <w:t>البعثة المراقبة الدائمة لدى</w:t>
          </w:r>
          <w:r w:rsidRPr="008D15F7">
            <w:rPr>
              <w:rFonts w:eastAsiaTheme="minorHAnsi" w:cs="Al-Kharashi Diwani 1" w:hint="cs"/>
              <w:sz w:val="32"/>
              <w:szCs w:val="32"/>
              <w:rtl/>
              <w:lang w:val="en-US" w:eastAsia="en-US" w:bidi="ar-AE"/>
            </w:rPr>
            <w:t xml:space="preserve"> الأمم المتحدة </w:t>
          </w:r>
        </w:p>
        <w:p w:rsidR="00F3777A" w:rsidRPr="008D15F7" w:rsidRDefault="00F3777A" w:rsidP="00D41966">
          <w:pPr>
            <w:tabs>
              <w:tab w:val="center" w:pos="4680"/>
              <w:tab w:val="right" w:pos="9360"/>
            </w:tabs>
            <w:bidi/>
            <w:jc w:val="center"/>
            <w:rPr>
              <w:rFonts w:eastAsiaTheme="minorHAnsi" w:cs="Times New Roman"/>
              <w:sz w:val="24"/>
              <w:szCs w:val="24"/>
              <w:rtl/>
              <w:lang w:val="en-US" w:eastAsia="en-US" w:bidi="ar-AE"/>
            </w:rPr>
          </w:pPr>
          <w:r w:rsidRPr="008D15F7">
            <w:rPr>
              <w:rFonts w:eastAsiaTheme="minorHAnsi" w:cs="Al-Kharashi Diwani 1" w:hint="cs"/>
              <w:sz w:val="32"/>
              <w:szCs w:val="32"/>
              <w:rtl/>
              <w:lang w:val="en-US" w:eastAsia="en-US"/>
            </w:rPr>
            <w:t>جنيف</w:t>
          </w:r>
          <w:r w:rsidRPr="008D15F7">
            <w:rPr>
              <w:rFonts w:eastAsiaTheme="minorHAnsi" w:hint="cs"/>
              <w:sz w:val="32"/>
              <w:szCs w:val="32"/>
              <w:rtl/>
              <w:lang w:val="en-US" w:eastAsia="en-US"/>
            </w:rPr>
            <w:t xml:space="preserve"> </w:t>
          </w:r>
        </w:p>
      </w:tc>
      <w:tc>
        <w:tcPr>
          <w:tcW w:w="1843" w:type="dxa"/>
        </w:tcPr>
        <w:p w:rsidR="00F3777A" w:rsidRPr="008D15F7" w:rsidRDefault="00F3777A" w:rsidP="00D41966">
          <w:pPr>
            <w:tabs>
              <w:tab w:val="center" w:pos="4680"/>
              <w:tab w:val="right" w:pos="9360"/>
            </w:tabs>
            <w:bidi/>
            <w:jc w:val="center"/>
            <w:rPr>
              <w:rFonts w:eastAsiaTheme="minorHAnsi"/>
              <w:sz w:val="24"/>
              <w:szCs w:val="24"/>
              <w:rtl/>
              <w:lang w:val="en-US" w:eastAsia="en-US" w:bidi="ar-AE"/>
            </w:rPr>
          </w:pPr>
        </w:p>
        <w:p w:rsidR="00F3777A" w:rsidRPr="008D15F7" w:rsidRDefault="00F3777A" w:rsidP="00D41966">
          <w:pPr>
            <w:tabs>
              <w:tab w:val="center" w:pos="4680"/>
              <w:tab w:val="right" w:pos="9360"/>
            </w:tabs>
            <w:bidi/>
            <w:jc w:val="center"/>
            <w:rPr>
              <w:rFonts w:eastAsiaTheme="minorHAnsi"/>
              <w:sz w:val="24"/>
              <w:szCs w:val="24"/>
              <w:rtl/>
              <w:lang w:val="en-US" w:eastAsia="en-US" w:bidi="ar-AE"/>
            </w:rPr>
          </w:pPr>
          <w:r w:rsidRPr="008D15F7">
            <w:rPr>
              <w:rFonts w:eastAsiaTheme="minorHAnsi"/>
              <w:noProof/>
              <w:sz w:val="24"/>
              <w:szCs w:val="24"/>
              <w:lang w:val="en-US" w:eastAsia="en-US"/>
            </w:rPr>
            <w:drawing>
              <wp:inline distT="0" distB="0" distL="0" distR="0" wp14:anchorId="34C9D57D" wp14:editId="3E0FE025">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rsidR="00F3777A" w:rsidRPr="008D15F7" w:rsidRDefault="00F3777A" w:rsidP="00D41966">
          <w:pPr>
            <w:tabs>
              <w:tab w:val="center" w:pos="4680"/>
              <w:tab w:val="right" w:pos="9360"/>
            </w:tabs>
            <w:bidi/>
            <w:jc w:val="center"/>
            <w:rPr>
              <w:rFonts w:eastAsiaTheme="minorHAnsi"/>
              <w:sz w:val="24"/>
              <w:szCs w:val="24"/>
              <w:rtl/>
              <w:lang w:val="en-US" w:eastAsia="en-US" w:bidi="ar-AE"/>
            </w:rPr>
          </w:pPr>
        </w:p>
      </w:tc>
      <w:tc>
        <w:tcPr>
          <w:tcW w:w="4605" w:type="dxa"/>
        </w:tcPr>
        <w:p w:rsidR="00F3777A" w:rsidRDefault="00F3777A" w:rsidP="00D41966">
          <w:pPr>
            <w:tabs>
              <w:tab w:val="center" w:pos="4680"/>
              <w:tab w:val="right" w:pos="9360"/>
            </w:tabs>
            <w:bidi/>
            <w:spacing w:line="360" w:lineRule="auto"/>
            <w:rPr>
              <w:rFonts w:ascii="Monotype Corsiva" w:eastAsiaTheme="minorHAnsi" w:hAnsi="Monotype Corsiva"/>
              <w:b/>
              <w:bCs/>
              <w:sz w:val="16"/>
              <w:szCs w:val="16"/>
              <w:lang w:val="en-US" w:eastAsia="en-US" w:bidi="ar-AE"/>
            </w:rPr>
          </w:pPr>
        </w:p>
        <w:p w:rsidR="00F3777A" w:rsidRPr="008D15F7" w:rsidRDefault="00F3777A" w:rsidP="00D41966">
          <w:pPr>
            <w:tabs>
              <w:tab w:val="center" w:pos="4680"/>
              <w:tab w:val="right" w:pos="9360"/>
            </w:tabs>
            <w:bidi/>
            <w:spacing w:line="360" w:lineRule="auto"/>
            <w:rPr>
              <w:rFonts w:ascii="Monotype Corsiva" w:eastAsiaTheme="minorHAnsi" w:hAnsi="Monotype Corsiva"/>
              <w:b/>
              <w:bCs/>
              <w:sz w:val="16"/>
              <w:szCs w:val="16"/>
              <w:lang w:val="en-US" w:eastAsia="en-US" w:bidi="ar-AE"/>
            </w:rPr>
          </w:pPr>
        </w:p>
        <w:p w:rsidR="00F3777A" w:rsidRPr="008D15F7" w:rsidRDefault="00F3777A" w:rsidP="00D41966">
          <w:pPr>
            <w:tabs>
              <w:tab w:val="center" w:pos="4680"/>
              <w:tab w:val="right" w:pos="9360"/>
            </w:tabs>
            <w:bidi/>
            <w:spacing w:line="360" w:lineRule="auto"/>
            <w:jc w:val="center"/>
            <w:rPr>
              <w:rFonts w:ascii="Monotype Corsiva" w:eastAsiaTheme="minorHAnsi" w:hAnsi="Monotype Corsiva"/>
              <w:b/>
              <w:bCs/>
              <w:sz w:val="32"/>
              <w:szCs w:val="32"/>
              <w:lang w:val="en-US" w:eastAsia="en-US"/>
            </w:rPr>
          </w:pPr>
          <w:r w:rsidRPr="008D15F7">
            <w:rPr>
              <w:rFonts w:ascii="Monotype Corsiva" w:eastAsiaTheme="minorHAnsi" w:hAnsi="Monotype Corsiva"/>
              <w:b/>
              <w:bCs/>
              <w:sz w:val="32"/>
              <w:szCs w:val="32"/>
              <w:lang w:val="en-US" w:eastAsia="en-US"/>
            </w:rPr>
            <w:t xml:space="preserve">State of Palestine </w:t>
          </w:r>
        </w:p>
        <w:p w:rsidR="00F3777A" w:rsidRPr="008D15F7" w:rsidRDefault="00F3777A" w:rsidP="00D41966">
          <w:pPr>
            <w:tabs>
              <w:tab w:val="center" w:pos="4680"/>
              <w:tab w:val="right" w:pos="9360"/>
            </w:tabs>
            <w:bidi/>
            <w:spacing w:line="360" w:lineRule="auto"/>
            <w:jc w:val="center"/>
            <w:rPr>
              <w:rFonts w:ascii="Monotype Corsiva" w:eastAsiaTheme="minorHAnsi" w:hAnsi="Monotype Corsiva"/>
              <w:b/>
              <w:bCs/>
              <w:sz w:val="8"/>
              <w:szCs w:val="8"/>
              <w:lang w:val="en-US" w:eastAsia="en-US" w:bidi="ar-AE"/>
            </w:rPr>
          </w:pPr>
        </w:p>
        <w:p w:rsidR="00F3777A" w:rsidRPr="008D15F7" w:rsidRDefault="00F3777A" w:rsidP="00D41966">
          <w:pPr>
            <w:tabs>
              <w:tab w:val="center" w:pos="4680"/>
              <w:tab w:val="right" w:pos="9360"/>
            </w:tabs>
            <w:bidi/>
            <w:spacing w:line="360" w:lineRule="auto"/>
            <w:jc w:val="center"/>
            <w:rPr>
              <w:rFonts w:ascii="Monotype Corsiva" w:eastAsiaTheme="minorHAnsi" w:hAnsi="Monotype Corsiva"/>
              <w:sz w:val="24"/>
              <w:szCs w:val="24"/>
              <w:rtl/>
              <w:lang w:val="en-US" w:eastAsia="en-US"/>
            </w:rPr>
          </w:pPr>
          <w:r w:rsidRPr="008D15F7">
            <w:rPr>
              <w:rFonts w:ascii="Monotype Corsiva" w:eastAsiaTheme="minorHAnsi" w:hAnsi="Monotype Corsiva"/>
              <w:sz w:val="24"/>
              <w:szCs w:val="24"/>
              <w:lang w:val="en-US" w:eastAsia="en-US"/>
            </w:rPr>
            <w:t>Permanent Observer Mission to the United Nations</w:t>
          </w:r>
        </w:p>
        <w:p w:rsidR="00F3777A" w:rsidRPr="008D15F7" w:rsidRDefault="00F3777A" w:rsidP="00D41966">
          <w:pPr>
            <w:tabs>
              <w:tab w:val="left" w:pos="205"/>
              <w:tab w:val="left" w:pos="1495"/>
              <w:tab w:val="center" w:pos="1970"/>
              <w:tab w:val="center" w:pos="2360"/>
              <w:tab w:val="center" w:pos="4680"/>
              <w:tab w:val="right" w:pos="9360"/>
            </w:tabs>
            <w:bidi/>
            <w:spacing w:line="360" w:lineRule="auto"/>
            <w:jc w:val="center"/>
            <w:rPr>
              <w:rFonts w:ascii="Times New Roman" w:eastAsiaTheme="minorHAnsi" w:hAnsi="Times New Roman"/>
              <w:sz w:val="24"/>
              <w:szCs w:val="24"/>
              <w:lang w:val="en-US" w:eastAsia="en-US"/>
            </w:rPr>
          </w:pPr>
          <w:r w:rsidRPr="008D15F7">
            <w:rPr>
              <w:rFonts w:ascii="Monotype Corsiva" w:eastAsiaTheme="minorHAnsi" w:hAnsi="Monotype Corsiva"/>
              <w:sz w:val="24"/>
              <w:szCs w:val="24"/>
              <w:lang w:val="en-US" w:eastAsia="en-US"/>
            </w:rPr>
            <w:t>Geneva</w:t>
          </w:r>
        </w:p>
      </w:tc>
    </w:tr>
  </w:tbl>
  <w:p w:rsidR="00F3777A" w:rsidRDefault="00F3777A" w:rsidP="00D41966">
    <w:pPr>
      <w:pStyle w:val="Header"/>
    </w:pPr>
  </w:p>
  <w:p w:rsidR="00E4476D" w:rsidRPr="00E4476D" w:rsidRDefault="00E4476D">
    <w:pPr>
      <w:pStyle w:val="Header"/>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6A"/>
    <w:rsid w:val="000002C7"/>
    <w:rsid w:val="00025544"/>
    <w:rsid w:val="00086DFC"/>
    <w:rsid w:val="000D4286"/>
    <w:rsid w:val="001C4F50"/>
    <w:rsid w:val="001E6AC1"/>
    <w:rsid w:val="002703E6"/>
    <w:rsid w:val="002762FB"/>
    <w:rsid w:val="00276AD2"/>
    <w:rsid w:val="003D6C19"/>
    <w:rsid w:val="003D7842"/>
    <w:rsid w:val="00473C66"/>
    <w:rsid w:val="00492969"/>
    <w:rsid w:val="00492A18"/>
    <w:rsid w:val="004951E7"/>
    <w:rsid w:val="005071DC"/>
    <w:rsid w:val="00515FE1"/>
    <w:rsid w:val="00531326"/>
    <w:rsid w:val="0053630B"/>
    <w:rsid w:val="00594BDF"/>
    <w:rsid w:val="0059667C"/>
    <w:rsid w:val="0061518E"/>
    <w:rsid w:val="006414B8"/>
    <w:rsid w:val="0065166A"/>
    <w:rsid w:val="006E0919"/>
    <w:rsid w:val="006E5EB4"/>
    <w:rsid w:val="00710754"/>
    <w:rsid w:val="0071505A"/>
    <w:rsid w:val="00764701"/>
    <w:rsid w:val="0076588B"/>
    <w:rsid w:val="00781DE9"/>
    <w:rsid w:val="0079469C"/>
    <w:rsid w:val="007A271B"/>
    <w:rsid w:val="00853801"/>
    <w:rsid w:val="00887C3D"/>
    <w:rsid w:val="008D0043"/>
    <w:rsid w:val="008D6BA7"/>
    <w:rsid w:val="009241AD"/>
    <w:rsid w:val="009323D4"/>
    <w:rsid w:val="00935D4E"/>
    <w:rsid w:val="009E09B9"/>
    <w:rsid w:val="009F23A8"/>
    <w:rsid w:val="00A14A8C"/>
    <w:rsid w:val="00A3051C"/>
    <w:rsid w:val="00A4739B"/>
    <w:rsid w:val="00A539DE"/>
    <w:rsid w:val="00A94C73"/>
    <w:rsid w:val="00AC41D9"/>
    <w:rsid w:val="00AF36DA"/>
    <w:rsid w:val="00B238FB"/>
    <w:rsid w:val="00B57AF0"/>
    <w:rsid w:val="00BB4752"/>
    <w:rsid w:val="00BB7ED5"/>
    <w:rsid w:val="00BE3D65"/>
    <w:rsid w:val="00BE78B6"/>
    <w:rsid w:val="00C028E6"/>
    <w:rsid w:val="00C174CD"/>
    <w:rsid w:val="00C744FF"/>
    <w:rsid w:val="00D10308"/>
    <w:rsid w:val="00D37CAE"/>
    <w:rsid w:val="00D4096A"/>
    <w:rsid w:val="00D51D69"/>
    <w:rsid w:val="00D556DB"/>
    <w:rsid w:val="00D930D4"/>
    <w:rsid w:val="00E4476D"/>
    <w:rsid w:val="00E50DFC"/>
    <w:rsid w:val="00E75391"/>
    <w:rsid w:val="00F3777A"/>
    <w:rsid w:val="00F7268E"/>
    <w:rsid w:val="00F80C69"/>
    <w:rsid w:val="00FB19EB"/>
    <w:rsid w:val="00FF78AC"/>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77384629"/>
  <w15:chartTrackingRefBased/>
  <w15:docId w15:val="{04F0F87E-E9FD-8444-865E-CE7499C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DB"/>
    <w:pPr>
      <w:tabs>
        <w:tab w:val="center" w:pos="4513"/>
        <w:tab w:val="right" w:pos="9026"/>
      </w:tabs>
    </w:pPr>
  </w:style>
  <w:style w:type="character" w:customStyle="1" w:styleId="HeaderChar">
    <w:name w:val="Header Char"/>
    <w:basedOn w:val="DefaultParagraphFont"/>
    <w:link w:val="Header"/>
    <w:uiPriority w:val="99"/>
    <w:rsid w:val="00D556DB"/>
  </w:style>
  <w:style w:type="paragraph" w:styleId="Footer">
    <w:name w:val="footer"/>
    <w:basedOn w:val="Normal"/>
    <w:link w:val="FooterChar"/>
    <w:uiPriority w:val="99"/>
    <w:unhideWhenUsed/>
    <w:rsid w:val="00D556DB"/>
    <w:pPr>
      <w:tabs>
        <w:tab w:val="center" w:pos="4513"/>
        <w:tab w:val="right" w:pos="9026"/>
      </w:tabs>
    </w:pPr>
  </w:style>
  <w:style w:type="character" w:customStyle="1" w:styleId="FooterChar">
    <w:name w:val="Footer Char"/>
    <w:basedOn w:val="DefaultParagraphFont"/>
    <w:link w:val="Footer"/>
    <w:uiPriority w:val="99"/>
    <w:rsid w:val="00D556DB"/>
  </w:style>
  <w:style w:type="paragraph" w:customStyle="1" w:styleId="s16">
    <w:name w:val="s16"/>
    <w:basedOn w:val="Normal"/>
    <w:rsid w:val="00D556DB"/>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D556DB"/>
  </w:style>
  <w:style w:type="character" w:customStyle="1" w:styleId="s14">
    <w:name w:val="s14"/>
    <w:basedOn w:val="DefaultParagraphFont"/>
    <w:rsid w:val="00D556DB"/>
  </w:style>
  <w:style w:type="character" w:customStyle="1" w:styleId="apple-converted-space">
    <w:name w:val="apple-converted-space"/>
    <w:basedOn w:val="DefaultParagraphFont"/>
    <w:rsid w:val="00D556DB"/>
  </w:style>
  <w:style w:type="character" w:customStyle="1" w:styleId="s15">
    <w:name w:val="s15"/>
    <w:basedOn w:val="DefaultParagraphFont"/>
    <w:rsid w:val="00D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5BBA45-FF4C-4847-81DA-AD1056E8BAC2}"/>
</file>

<file path=customXml/itemProps2.xml><?xml version="1.0" encoding="utf-8"?>
<ds:datastoreItem xmlns:ds="http://schemas.openxmlformats.org/officeDocument/2006/customXml" ds:itemID="{EB7520D2-E7FE-4390-BDDE-CD06A6BEF859}"/>
</file>

<file path=customXml/itemProps3.xml><?xml version="1.0" encoding="utf-8"?>
<ds:datastoreItem xmlns:ds="http://schemas.openxmlformats.org/officeDocument/2006/customXml" ds:itemID="{B1ECB4BD-13CC-49FF-917B-7C4B8E7A7413}"/>
</file>

<file path=docProps/app.xml><?xml version="1.0" encoding="utf-8"?>
<Properties xmlns="http://schemas.openxmlformats.org/officeDocument/2006/extended-properties" xmlns:vt="http://schemas.openxmlformats.org/officeDocument/2006/docPropsVTypes">
  <Template>Normal</Template>
  <TotalTime>328</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24</cp:revision>
  <dcterms:created xsi:type="dcterms:W3CDTF">2020-10-28T14:09:00Z</dcterms:created>
  <dcterms:modified xsi:type="dcterms:W3CDTF">2020-10-28T14:23:00Z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