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overflowPunct w:val="0"/>
        <w:autoSpaceDE w:val="0"/>
        <w:autoSpaceDN w:val="0"/>
        <w:snapToGrid w:val="0"/>
        <w:spacing w:before="0" w:beforeAutospacing="0" w:after="0" w:afterAutospacing="0" w:line="600" w:lineRule="exact"/>
        <w:ind w:left="0" w:right="0"/>
        <w:jc w:val="center"/>
        <w:textAlignment w:val="bottom"/>
        <w:rPr>
          <w:rFonts w:hint="eastAsia" w:ascii="外交小标宋" w:hAnsi="外交小标宋" w:eastAsia="外交小标宋" w:cs="外交小标宋"/>
          <w:b w:val="0"/>
          <w:kern w:val="0"/>
          <w:sz w:val="36"/>
          <w:szCs w:val="36"/>
        </w:rPr>
      </w:pPr>
      <w:bookmarkStart w:id="0" w:name="_GoBack"/>
      <w:r>
        <w:rPr>
          <w:rFonts w:hint="eastAsia" w:ascii="外交小标宋" w:hAnsi="外交小标宋" w:eastAsia="外交小标宋" w:cs="外交小标宋"/>
          <w:b w:val="0"/>
          <w:snapToGrid/>
          <w:kern w:val="0"/>
          <w:sz w:val="36"/>
          <w:szCs w:val="36"/>
          <w:lang w:val="en-US" w:eastAsia="zh-CN" w:bidi="ar-SA"/>
        </w:rPr>
        <w:t>对第12、13、14条的评论</w:t>
      </w:r>
    </w:p>
    <w:bookmarkEnd w:id="0"/>
    <w:p>
      <w:pPr>
        <w:keepNext w:val="0"/>
        <w:keepLines w:val="0"/>
        <w:widowControl w:val="0"/>
        <w:suppressLineNumbers w:val="0"/>
        <w:overflowPunct w:val="0"/>
        <w:autoSpaceDE w:val="0"/>
        <w:autoSpaceDN w:val="0"/>
        <w:snapToGrid w:val="0"/>
        <w:spacing w:before="0" w:beforeAutospacing="0" w:after="0" w:afterAutospacing="0" w:line="600" w:lineRule="exact"/>
        <w:ind w:left="0" w:right="0"/>
        <w:jc w:val="center"/>
        <w:textAlignment w:val="bottom"/>
        <w:rPr>
          <w:rFonts w:hint="eastAsia" w:ascii="外交小标宋" w:hAnsi="外交小标宋" w:eastAsia="外交小标宋" w:cs="外交小标宋"/>
          <w:b w:val="0"/>
          <w:kern w:val="0"/>
          <w:sz w:val="36"/>
          <w:szCs w:val="36"/>
        </w:rPr>
      </w:pPr>
      <w:r>
        <w:rPr>
          <w:rFonts w:hint="eastAsia" w:ascii="外交小标宋" w:hAnsi="外交小标宋" w:eastAsia="外交小标宋" w:cs="外交小标宋"/>
          <w:b w:val="0"/>
          <w:snapToGrid/>
          <w:kern w:val="0"/>
          <w:sz w:val="36"/>
          <w:szCs w:val="36"/>
          <w:lang w:val="en-US" w:eastAsia="zh-CN" w:bidi="ar-SA"/>
        </w:rPr>
        <w:t xml:space="preserve"> </w:t>
      </w:r>
    </w:p>
    <w:p>
      <w:pPr>
        <w:keepNext w:val="0"/>
        <w:keepLines w:val="0"/>
        <w:widowControl w:val="0"/>
        <w:suppressLineNumbers w:val="0"/>
        <w:overflowPunct w:val="0"/>
        <w:autoSpaceDE w:val="0"/>
        <w:autoSpaceDN w:val="0"/>
        <w:snapToGrid w:val="0"/>
        <w:spacing w:before="0" w:beforeAutospacing="0" w:after="0" w:afterAutospacing="0" w:line="600" w:lineRule="exact"/>
        <w:ind w:left="0" w:right="0" w:firstLine="640" w:firstLineChars="200"/>
        <w:jc w:val="both"/>
        <w:textAlignment w:val="bottom"/>
        <w:rPr>
          <w:rFonts w:hint="eastAsia" w:ascii="外交粗仿宋" w:hAnsi="外交粗仿宋" w:eastAsia="外交粗仿宋" w:cs="外交粗仿宋"/>
          <w:b w:val="0"/>
          <w:sz w:val="32"/>
          <w:szCs w:val="32"/>
        </w:rPr>
      </w:pPr>
      <w:r>
        <w:rPr>
          <w:rFonts w:hint="eastAsia" w:ascii="外交粗仿宋" w:hAnsi="外交粗仿宋" w:eastAsia="外交粗仿宋" w:cs="外交粗仿宋"/>
          <w:b w:val="0"/>
          <w:snapToGrid/>
          <w:kern w:val="0"/>
          <w:sz w:val="32"/>
          <w:szCs w:val="32"/>
          <w:lang w:val="en-US" w:eastAsia="zh-CN" w:bidi="ar-SA"/>
        </w:rPr>
        <w:t>关于第12条，司法协助涉及各国司法主权等重要问题，十分复杂。中方认为，首先，该条应当对民商事司法协助和刑事司法协助进行区分；其次，要把重点集中在发挥现有双、多边条约或安排的作用，作为缔约国间开展司法合作的原则和基础。在民商事判决的承认与执行方面，去年通过的《承认与执行民商事判决公约》可为本法律文书提供重要指引。刑事判决的承认与执行则涉及更深层次的国家主权问题，本法律文书不宜轻易触及，否则将很难得到普遍接受。</w:t>
      </w:r>
    </w:p>
    <w:p>
      <w:pPr>
        <w:keepNext w:val="0"/>
        <w:keepLines w:val="0"/>
        <w:widowControl w:val="0"/>
        <w:suppressLineNumbers w:val="0"/>
        <w:overflowPunct w:val="0"/>
        <w:autoSpaceDE w:val="0"/>
        <w:autoSpaceDN w:val="0"/>
        <w:snapToGrid w:val="0"/>
        <w:spacing w:before="0" w:beforeAutospacing="0" w:after="0" w:afterAutospacing="0" w:line="600" w:lineRule="exact"/>
        <w:ind w:left="0" w:right="0" w:firstLine="640" w:firstLineChars="200"/>
        <w:jc w:val="both"/>
        <w:textAlignment w:val="bottom"/>
        <w:rPr>
          <w:rFonts w:hint="eastAsia" w:ascii="外交粗仿宋" w:hAnsi="外交粗仿宋" w:eastAsia="外交粗仿宋" w:cs="外交粗仿宋"/>
          <w:b w:val="0"/>
          <w:sz w:val="32"/>
          <w:szCs w:val="32"/>
        </w:rPr>
      </w:pPr>
      <w:r>
        <w:rPr>
          <w:rFonts w:hint="eastAsia" w:ascii="外交粗仿宋" w:hAnsi="外交粗仿宋" w:eastAsia="外交粗仿宋" w:cs="外交粗仿宋"/>
          <w:b w:val="0"/>
          <w:snapToGrid/>
          <w:kern w:val="0"/>
          <w:sz w:val="32"/>
          <w:szCs w:val="32"/>
          <w:lang w:val="en-US" w:eastAsia="zh-CN" w:bidi="ar-SA"/>
        </w:rPr>
        <w:t>对于第13条，中方一贯重视国际合作对促进国际人权保护的重要作用。对本条规定的具体合作及援助的内容，特别是要求缔约国进行的捐款，中方认为应在充分尊重缔约国主权的基础上由各国自主决定，且发达国家与发展中国家应承担的责任要有所区别。</w:t>
      </w:r>
    </w:p>
    <w:p>
      <w:pPr>
        <w:keepNext w:val="0"/>
        <w:keepLines w:val="0"/>
        <w:widowControl w:val="0"/>
        <w:suppressLineNumbers w:val="0"/>
        <w:overflowPunct w:val="0"/>
        <w:autoSpaceDE w:val="0"/>
        <w:autoSpaceDN w:val="0"/>
        <w:snapToGrid w:val="0"/>
        <w:spacing w:before="0" w:beforeAutospacing="0" w:after="0" w:afterAutospacing="0" w:line="600" w:lineRule="exact"/>
        <w:ind w:left="0" w:right="0" w:firstLine="642"/>
        <w:jc w:val="both"/>
        <w:textAlignment w:val="bottom"/>
        <w:rPr>
          <w:rFonts w:hint="eastAsia" w:ascii="外交粗仿宋" w:hAnsi="外交粗仿宋" w:eastAsia="外交粗仿宋" w:cs="外交粗仿宋"/>
          <w:b w:val="0"/>
          <w:sz w:val="32"/>
          <w:szCs w:val="32"/>
        </w:rPr>
      </w:pPr>
      <w:r>
        <w:rPr>
          <w:rFonts w:hint="eastAsia" w:ascii="外交粗仿宋" w:hAnsi="外交粗仿宋" w:eastAsia="外交粗仿宋" w:cs="外交粗仿宋"/>
          <w:b w:val="0"/>
          <w:snapToGrid/>
          <w:kern w:val="0"/>
          <w:sz w:val="32"/>
          <w:szCs w:val="32"/>
          <w:lang w:val="en-US" w:eastAsia="zh-CN" w:bidi="ar-SA"/>
        </w:rPr>
        <w:t>关于第14条，中方赞赏法律文书明确要求缔约国恪守主权平等领土完整、不干涉内政等联合国宪章基本原则。对本条涉及的条约义务冲突和条约生效时间先后顺序等复杂的条约法问题，中方认为，应秉持协调促进人权和发展的原则，严格遵守《维也纳条约法公约》，特别是公约第30条有关先后生效条约的效力的规定。原则上，不同条约的效力不应因其内容不同而存在等级高下之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_New_Roman">
    <w:altName w:val="Times New Roman"/>
    <w:panose1 w:val="02020603050405020304"/>
    <w:charset w:val="00"/>
    <w:family w:val="roman"/>
    <w:pitch w:val="default"/>
    <w:sig w:usb0="00000000" w:usb1="00000000" w:usb2="00000008" w:usb3="00000000" w:csb0="400001FF" w:csb1="FFFF0000"/>
  </w:font>
  <w:font w:name="外交粗仿宋">
    <w:altName w:val="仿宋"/>
    <w:panose1 w:val="03000509000000000000"/>
    <w:charset w:val="86"/>
    <w:family w:val="script"/>
    <w:pitch w:val="default"/>
    <w:sig w:usb0="00000000" w:usb1="00000000" w:usb2="00000000" w:usb3="00000000" w:csb0="00040000" w:csb1="00000000"/>
  </w:font>
  <w:font w:name="外交小标宋">
    <w:altName w:val="宋体"/>
    <w:panose1 w:val="03000509000000000000"/>
    <w:charset w:val="86"/>
    <w:family w:val="script"/>
    <w:pitch w:val="default"/>
    <w:sig w:usb0="00000000" w:usb1="00000000" w:usb2="00000000" w:usb3="00000000" w:csb0="00040000" w:csb1="00000000"/>
  </w:font>
  <w:font w:name="外交黑体">
    <w:altName w:val="黑体"/>
    <w:panose1 w:val="03000509000000000000"/>
    <w:charset w:val="86"/>
    <w:family w:val="script"/>
    <w:pitch w:val="default"/>
    <w:sig w:usb0="00000000" w:usb1="00000000" w:usb2="00000000" w:usb3="00000000" w:csb0="00040000" w:csb1="00000000"/>
  </w:font>
  <w:font w:name="CenturionOld">
    <w:altName w:val="Courier New"/>
    <w:panose1 w:val="020B72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83E5E"/>
    <w:rsid w:val="36A83E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snapToGrid w:val="0"/>
      <w:spacing w:line="336" w:lineRule="auto"/>
      <w:jc w:val="both"/>
      <w:textAlignment w:val="bottom"/>
    </w:pPr>
    <w:rPr>
      <w:rFonts w:ascii="Times_New_Roman" w:hAnsi="Times_New_Roman" w:eastAsia="外交粗仿宋"/>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0A0296-9509-4002-8DB4-3DE87275E5BC}"/>
</file>

<file path=customXml/itemProps3.xml><?xml version="1.0" encoding="utf-8"?>
<ds:datastoreItem xmlns:ds="http://schemas.openxmlformats.org/officeDocument/2006/customXml" ds:itemID="{6CC93932-46F5-407B-92F2-169DDE2AF075}"/>
</file>

<file path=customXml/itemProps4.xml><?xml version="1.0" encoding="utf-8"?>
<ds:datastoreItem xmlns:ds="http://schemas.openxmlformats.org/officeDocument/2006/customXml" ds:itemID="{495C28BB-B6FF-4ED3-A094-C541BE8CE44A}"/>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对第12、13、14条的评论</dc:title>
  <dc:creator>wjb</dc:creator>
  <cp:lastModifiedBy>wjb</cp:lastModifiedBy>
  <cp:revision>1</cp:revision>
  <dcterms:created xsi:type="dcterms:W3CDTF">2020-11-03T08:23:00Z</dcterms:created>
  <dcterms:modified xsi:type="dcterms:W3CDTF">2020-11-03T08:23:43Z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entTypeId">
    <vt:lpwstr>0x0101008822B9E06671B54FA89F14538B9B0FEA</vt:lpwstr>
  </property>
</Properties>
</file>