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1814"/>
        <w:gridCol w:w="7655"/>
      </w:tblGrid>
      <w:tr w:rsidR="00906A33" w:rsidRPr="00BA5A9D" w:rsidTr="00B00E2D">
        <w:trPr>
          <w:trHeight w:val="1440"/>
        </w:trPr>
        <w:tc>
          <w:tcPr>
            <w:tcW w:w="1814" w:type="dxa"/>
            <w:tcBorders>
              <w:top w:val="nil"/>
              <w:left w:val="nil"/>
              <w:bottom w:val="nil"/>
              <w:right w:val="nil"/>
            </w:tcBorders>
          </w:tcPr>
          <w:p w:rsidR="00906A33" w:rsidRPr="00BA5A9D" w:rsidRDefault="00906A33" w:rsidP="00B00E2D">
            <w:pPr>
              <w:widowControl w:val="0"/>
              <w:autoSpaceDE w:val="0"/>
              <w:autoSpaceDN w:val="0"/>
              <w:spacing w:after="0"/>
              <w:ind w:right="85"/>
              <w:jc w:val="both"/>
              <w:rPr>
                <w:rFonts w:cs="Arial"/>
                <w:sz w:val="28"/>
                <w:szCs w:val="28"/>
                <w:lang w:eastAsia="en-GB"/>
              </w:rPr>
            </w:pPr>
            <w:r>
              <w:rPr>
                <w:rFonts w:cs="Arial"/>
                <w:noProof/>
                <w:sz w:val="28"/>
                <w:szCs w:val="28"/>
                <w:lang w:eastAsia="en-GB"/>
              </w:rPr>
              <w:drawing>
                <wp:inline distT="0" distB="0" distL="0" distR="0">
                  <wp:extent cx="1009015" cy="673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015" cy="673100"/>
                          </a:xfrm>
                          <a:prstGeom prst="rect">
                            <a:avLst/>
                          </a:prstGeom>
                          <a:noFill/>
                          <a:ln>
                            <a:noFill/>
                          </a:ln>
                        </pic:spPr>
                      </pic:pic>
                    </a:graphicData>
                  </a:graphic>
                </wp:inline>
              </w:drawing>
            </w:r>
          </w:p>
        </w:tc>
        <w:tc>
          <w:tcPr>
            <w:tcW w:w="7655" w:type="dxa"/>
            <w:tcBorders>
              <w:top w:val="nil"/>
              <w:left w:val="nil"/>
              <w:bottom w:val="nil"/>
              <w:right w:val="nil"/>
            </w:tcBorders>
          </w:tcPr>
          <w:p w:rsidR="00906A33" w:rsidRPr="00BA5A9D" w:rsidRDefault="00906A33" w:rsidP="00B00E2D">
            <w:pPr>
              <w:widowControl w:val="0"/>
              <w:autoSpaceDE w:val="0"/>
              <w:autoSpaceDN w:val="0"/>
              <w:spacing w:after="0"/>
              <w:ind w:right="85"/>
              <w:jc w:val="both"/>
              <w:rPr>
                <w:rFonts w:cs="Arial"/>
                <w:sz w:val="28"/>
                <w:szCs w:val="28"/>
                <w:lang w:eastAsia="en-GB"/>
              </w:rPr>
            </w:pPr>
            <w:r w:rsidRPr="00BA5A9D">
              <w:rPr>
                <w:rFonts w:cs="Arial"/>
                <w:sz w:val="28"/>
                <w:szCs w:val="28"/>
                <w:lang w:eastAsia="en-GB"/>
              </w:rPr>
              <w:t>EUROPEAN UNION</w:t>
            </w:r>
          </w:p>
          <w:p w:rsidR="00906A33" w:rsidRPr="00BA5A9D" w:rsidRDefault="00906A33" w:rsidP="00B00E2D">
            <w:pPr>
              <w:widowControl w:val="0"/>
              <w:autoSpaceDE w:val="0"/>
              <w:autoSpaceDN w:val="0"/>
              <w:spacing w:after="0"/>
              <w:ind w:right="85"/>
              <w:rPr>
                <w:rFonts w:cs="Arial"/>
                <w:sz w:val="28"/>
                <w:szCs w:val="28"/>
                <w:lang w:eastAsia="en-GB"/>
              </w:rPr>
            </w:pPr>
            <w:r w:rsidRPr="00BA5A9D">
              <w:rPr>
                <w:rFonts w:cs="Arial"/>
                <w:sz w:val="28"/>
                <w:szCs w:val="28"/>
                <w:lang w:eastAsia="en-GB"/>
              </w:rPr>
              <w:t>Permanent Delegation to the United Nations Office</w:t>
            </w:r>
          </w:p>
          <w:p w:rsidR="00906A33" w:rsidRPr="00BA5A9D" w:rsidRDefault="00906A33" w:rsidP="00B00E2D">
            <w:pPr>
              <w:widowControl w:val="0"/>
              <w:autoSpaceDE w:val="0"/>
              <w:autoSpaceDN w:val="0"/>
              <w:spacing w:after="0"/>
              <w:ind w:right="85"/>
              <w:rPr>
                <w:rFonts w:cs="Arial"/>
                <w:sz w:val="28"/>
                <w:szCs w:val="28"/>
                <w:lang w:eastAsia="en-GB"/>
              </w:rPr>
            </w:pPr>
            <w:r w:rsidRPr="00BA5A9D">
              <w:rPr>
                <w:rFonts w:cs="Arial"/>
                <w:sz w:val="28"/>
                <w:szCs w:val="28"/>
                <w:lang w:eastAsia="en-GB"/>
              </w:rPr>
              <w:t xml:space="preserve">and other international organisations in Geneva </w:t>
            </w:r>
          </w:p>
          <w:p w:rsidR="00906A33" w:rsidRPr="00BA5A9D" w:rsidRDefault="00906A33" w:rsidP="00B00E2D">
            <w:pPr>
              <w:widowControl w:val="0"/>
              <w:autoSpaceDE w:val="0"/>
              <w:autoSpaceDN w:val="0"/>
              <w:spacing w:after="0"/>
              <w:ind w:right="85"/>
              <w:rPr>
                <w:rFonts w:cs="Arial"/>
                <w:sz w:val="28"/>
                <w:szCs w:val="28"/>
                <w:lang w:eastAsia="en-GB"/>
              </w:rPr>
            </w:pPr>
            <w:r w:rsidRPr="00BA5A9D">
              <w:rPr>
                <w:rFonts w:cs="Arial"/>
                <w:sz w:val="28"/>
                <w:szCs w:val="28"/>
                <w:lang w:eastAsia="en-GB"/>
              </w:rPr>
              <w:t xml:space="preserve"> </w:t>
            </w:r>
          </w:p>
        </w:tc>
      </w:tr>
    </w:tbl>
    <w:p w:rsidR="00906A33" w:rsidRPr="00906A33" w:rsidRDefault="00906A33" w:rsidP="00906A33">
      <w:pPr>
        <w:spacing w:before="100" w:beforeAutospacing="1" w:after="100" w:afterAutospacing="1" w:line="360" w:lineRule="auto"/>
        <w:jc w:val="center"/>
        <w:outlineLvl w:val="1"/>
        <w:rPr>
          <w:rFonts w:ascii="Arial" w:eastAsia="Times New Roman" w:hAnsi="Arial" w:cs="Arial"/>
          <w:b/>
          <w:bCs/>
          <w:sz w:val="28"/>
          <w:szCs w:val="28"/>
          <w:lang w:eastAsia="en-GB"/>
        </w:rPr>
      </w:pPr>
      <w:r w:rsidRPr="00906A33">
        <w:rPr>
          <w:rFonts w:ascii="Arial" w:eastAsia="Times New Roman" w:hAnsi="Arial" w:cs="Arial"/>
          <w:b/>
          <w:bCs/>
          <w:sz w:val="28"/>
          <w:szCs w:val="28"/>
          <w:lang w:eastAsia="en-GB"/>
        </w:rPr>
        <w:t>Open-ended intergovernmental working group on transnational corporations and other business enterprises with respect to human rights</w:t>
      </w:r>
    </w:p>
    <w:p w:rsidR="00906A33" w:rsidRPr="00906A33" w:rsidRDefault="00906A33" w:rsidP="00906A33">
      <w:pPr>
        <w:spacing w:line="360" w:lineRule="auto"/>
        <w:jc w:val="center"/>
        <w:rPr>
          <w:rFonts w:ascii="Arial" w:hAnsi="Arial" w:cs="Arial"/>
          <w:b/>
          <w:sz w:val="28"/>
          <w:szCs w:val="28"/>
        </w:rPr>
      </w:pPr>
      <w:proofErr w:type="gramStart"/>
      <w:r w:rsidRPr="00906A33">
        <w:rPr>
          <w:rFonts w:ascii="Arial" w:hAnsi="Arial" w:cs="Arial"/>
          <w:b/>
          <w:sz w:val="28"/>
          <w:szCs w:val="28"/>
        </w:rPr>
        <w:t>6</w:t>
      </w:r>
      <w:r w:rsidRPr="00906A33">
        <w:rPr>
          <w:rFonts w:ascii="Arial" w:hAnsi="Arial" w:cs="Arial"/>
          <w:b/>
          <w:sz w:val="28"/>
          <w:szCs w:val="28"/>
          <w:vertAlign w:val="superscript"/>
        </w:rPr>
        <w:t>th</w:t>
      </w:r>
      <w:proofErr w:type="gramEnd"/>
      <w:r w:rsidRPr="00906A33">
        <w:rPr>
          <w:rFonts w:ascii="Arial" w:hAnsi="Arial" w:cs="Arial"/>
          <w:b/>
          <w:sz w:val="28"/>
          <w:szCs w:val="28"/>
        </w:rPr>
        <w:t xml:space="preserve"> Session</w:t>
      </w:r>
    </w:p>
    <w:p w:rsidR="00906A33" w:rsidRDefault="00906A33" w:rsidP="00906A33">
      <w:pPr>
        <w:jc w:val="center"/>
        <w:rPr>
          <w:rFonts w:ascii="Arial" w:hAnsi="Arial" w:cs="Arial"/>
          <w:b/>
          <w:sz w:val="28"/>
          <w:szCs w:val="28"/>
        </w:rPr>
      </w:pPr>
      <w:r w:rsidRPr="00906A33">
        <w:rPr>
          <w:rFonts w:ascii="Arial" w:hAnsi="Arial" w:cs="Arial"/>
          <w:b/>
          <w:sz w:val="28"/>
          <w:szCs w:val="28"/>
        </w:rPr>
        <w:t>26-30 October 2020</w:t>
      </w:r>
    </w:p>
    <w:p w:rsidR="002537A7" w:rsidRPr="00906A33" w:rsidRDefault="00822DD1" w:rsidP="00906A33">
      <w:pPr>
        <w:jc w:val="center"/>
        <w:rPr>
          <w:rFonts w:ascii="Arial" w:hAnsi="Arial" w:cs="Arial"/>
          <w:b/>
          <w:sz w:val="28"/>
          <w:szCs w:val="28"/>
        </w:rPr>
      </w:pPr>
      <w:r>
        <w:rPr>
          <w:rFonts w:ascii="Arial" w:hAnsi="Arial" w:cs="Arial"/>
          <w:b/>
          <w:sz w:val="28"/>
          <w:szCs w:val="28"/>
        </w:rPr>
        <w:t>EU Request for clarifications</w:t>
      </w:r>
    </w:p>
    <w:p w:rsidR="00EE3148" w:rsidRPr="00906A33" w:rsidRDefault="006E789A" w:rsidP="00EE3148">
      <w:pPr>
        <w:jc w:val="both"/>
        <w:rPr>
          <w:rFonts w:ascii="Arial" w:hAnsi="Arial" w:cs="Arial"/>
          <w:sz w:val="28"/>
          <w:szCs w:val="28"/>
        </w:rPr>
      </w:pPr>
      <w:r w:rsidRPr="00906A33">
        <w:rPr>
          <w:rFonts w:ascii="Arial" w:hAnsi="Arial" w:cs="Arial"/>
          <w:sz w:val="28"/>
          <w:szCs w:val="28"/>
        </w:rPr>
        <w:t xml:space="preserve"> </w:t>
      </w:r>
      <w:r w:rsidR="00903DF4" w:rsidRPr="00906A33">
        <w:rPr>
          <w:rFonts w:ascii="Arial" w:hAnsi="Arial" w:cs="Arial"/>
          <w:sz w:val="28"/>
          <w:szCs w:val="28"/>
        </w:rPr>
        <w:t>(Tuesday, October 27 @ 10 am)</w:t>
      </w:r>
    </w:p>
    <w:p w:rsidR="000059A0" w:rsidRPr="000059A0" w:rsidRDefault="000059A0" w:rsidP="000059A0">
      <w:pPr>
        <w:jc w:val="both"/>
        <w:rPr>
          <w:rFonts w:ascii="Arial" w:hAnsi="Arial" w:cs="Arial"/>
          <w:sz w:val="28"/>
          <w:szCs w:val="28"/>
        </w:rPr>
      </w:pPr>
      <w:r w:rsidRPr="000059A0">
        <w:rPr>
          <w:rFonts w:ascii="Arial" w:hAnsi="Arial" w:cs="Arial"/>
          <w:sz w:val="28"/>
          <w:szCs w:val="28"/>
        </w:rPr>
        <w:t xml:space="preserve">Regarding the Scope part and Rights of </w:t>
      </w:r>
      <w:proofErr w:type="gramStart"/>
      <w:r w:rsidRPr="000059A0">
        <w:rPr>
          <w:rFonts w:ascii="Arial" w:hAnsi="Arial" w:cs="Arial"/>
          <w:sz w:val="28"/>
          <w:szCs w:val="28"/>
        </w:rPr>
        <w:t>victims</w:t>
      </w:r>
      <w:proofErr w:type="gramEnd"/>
      <w:r w:rsidRPr="000059A0">
        <w:rPr>
          <w:rFonts w:ascii="Arial" w:hAnsi="Arial" w:cs="Arial"/>
          <w:sz w:val="28"/>
          <w:szCs w:val="28"/>
        </w:rPr>
        <w:t xml:space="preserve"> parts:</w:t>
      </w:r>
    </w:p>
    <w:p w:rsidR="000059A0" w:rsidRPr="000059A0" w:rsidRDefault="000059A0" w:rsidP="000059A0">
      <w:pPr>
        <w:pStyle w:val="ListParagraph"/>
        <w:numPr>
          <w:ilvl w:val="0"/>
          <w:numId w:val="3"/>
        </w:numPr>
        <w:jc w:val="both"/>
        <w:rPr>
          <w:rFonts w:ascii="Arial" w:hAnsi="Arial" w:cs="Arial"/>
          <w:sz w:val="28"/>
          <w:szCs w:val="28"/>
        </w:rPr>
      </w:pPr>
      <w:r w:rsidRPr="000059A0">
        <w:rPr>
          <w:rFonts w:ascii="Arial" w:hAnsi="Arial" w:cs="Arial"/>
          <w:sz w:val="28"/>
          <w:szCs w:val="28"/>
        </w:rPr>
        <w:t xml:space="preserve">We would appreciate if the Chair can provide some clarification on why Art. </w:t>
      </w:r>
      <w:proofErr w:type="gramStart"/>
      <w:r w:rsidRPr="000059A0">
        <w:rPr>
          <w:rFonts w:ascii="Arial" w:hAnsi="Arial" w:cs="Arial"/>
          <w:sz w:val="28"/>
          <w:szCs w:val="28"/>
        </w:rPr>
        <w:t>3</w:t>
      </w:r>
      <w:proofErr w:type="gramEnd"/>
      <w:r w:rsidRPr="000059A0">
        <w:rPr>
          <w:rFonts w:ascii="Arial" w:hAnsi="Arial" w:cs="Arial"/>
          <w:sz w:val="28"/>
          <w:szCs w:val="28"/>
        </w:rPr>
        <w:t xml:space="preserve"> singles out/refers specifically to ‘’business activities of transnational character’’. </w:t>
      </w:r>
    </w:p>
    <w:p w:rsidR="000059A0" w:rsidRPr="000059A0" w:rsidRDefault="000059A0" w:rsidP="000059A0">
      <w:pPr>
        <w:pStyle w:val="ListParagraph"/>
        <w:jc w:val="both"/>
        <w:rPr>
          <w:rFonts w:ascii="Arial" w:hAnsi="Arial" w:cs="Arial"/>
          <w:sz w:val="28"/>
          <w:szCs w:val="28"/>
        </w:rPr>
      </w:pPr>
    </w:p>
    <w:p w:rsidR="000059A0" w:rsidRPr="000059A0" w:rsidRDefault="000059A0" w:rsidP="000059A0">
      <w:pPr>
        <w:pStyle w:val="ListParagraph"/>
        <w:numPr>
          <w:ilvl w:val="0"/>
          <w:numId w:val="3"/>
        </w:numPr>
        <w:jc w:val="both"/>
        <w:rPr>
          <w:rFonts w:ascii="Arial" w:hAnsi="Arial" w:cs="Arial"/>
          <w:sz w:val="28"/>
          <w:szCs w:val="28"/>
        </w:rPr>
      </w:pPr>
      <w:r w:rsidRPr="000059A0">
        <w:rPr>
          <w:rFonts w:ascii="Arial" w:hAnsi="Arial" w:cs="Arial"/>
          <w:sz w:val="28"/>
          <w:szCs w:val="28"/>
        </w:rPr>
        <w:t xml:space="preserve">Moreover, we would appreciate some clarification on the reasons for and implications of replacing “all business activities” (previous revised draft) by “all business enterprises” in the second revised draft when delineating the scope of the treaty. </w:t>
      </w:r>
    </w:p>
    <w:p w:rsidR="000059A0" w:rsidRPr="000059A0" w:rsidRDefault="000059A0" w:rsidP="000059A0">
      <w:pPr>
        <w:pStyle w:val="ListParagraph"/>
        <w:jc w:val="both"/>
        <w:rPr>
          <w:rFonts w:ascii="Arial" w:hAnsi="Arial" w:cs="Arial"/>
          <w:sz w:val="28"/>
          <w:szCs w:val="28"/>
        </w:rPr>
      </w:pPr>
      <w:r w:rsidRPr="000059A0">
        <w:rPr>
          <w:rFonts w:ascii="Arial" w:hAnsi="Arial" w:cs="Arial"/>
          <w:sz w:val="28"/>
          <w:szCs w:val="28"/>
        </w:rPr>
        <w:t xml:space="preserve"> </w:t>
      </w:r>
    </w:p>
    <w:p w:rsidR="000059A0" w:rsidRPr="000059A0" w:rsidRDefault="000059A0" w:rsidP="000059A0">
      <w:pPr>
        <w:pStyle w:val="ListParagraph"/>
        <w:numPr>
          <w:ilvl w:val="0"/>
          <w:numId w:val="3"/>
        </w:numPr>
        <w:jc w:val="both"/>
        <w:rPr>
          <w:rFonts w:ascii="Arial" w:hAnsi="Arial" w:cs="Arial"/>
          <w:sz w:val="28"/>
          <w:szCs w:val="28"/>
        </w:rPr>
      </w:pPr>
      <w:r w:rsidRPr="000059A0">
        <w:rPr>
          <w:rFonts w:ascii="Arial" w:hAnsi="Arial" w:cs="Arial"/>
          <w:sz w:val="28"/>
          <w:szCs w:val="28"/>
        </w:rPr>
        <w:t>Art. 3.1</w:t>
      </w:r>
    </w:p>
    <w:p w:rsidR="000059A0" w:rsidRPr="000059A0" w:rsidRDefault="000059A0" w:rsidP="000059A0">
      <w:pPr>
        <w:pStyle w:val="ListParagraph"/>
        <w:jc w:val="both"/>
        <w:rPr>
          <w:rFonts w:ascii="Arial" w:hAnsi="Arial" w:cs="Arial"/>
          <w:sz w:val="28"/>
          <w:szCs w:val="28"/>
        </w:rPr>
      </w:pPr>
      <w:r w:rsidRPr="000059A0">
        <w:rPr>
          <w:rFonts w:ascii="Arial" w:hAnsi="Arial" w:cs="Arial"/>
          <w:sz w:val="28"/>
          <w:szCs w:val="28"/>
        </w:rPr>
        <w:t xml:space="preserve">Then, on which consideration is based / </w:t>
      </w:r>
      <w:proofErr w:type="gramStart"/>
      <w:r w:rsidRPr="000059A0">
        <w:rPr>
          <w:rFonts w:ascii="Arial" w:hAnsi="Arial" w:cs="Arial"/>
          <w:sz w:val="28"/>
          <w:szCs w:val="28"/>
        </w:rPr>
        <w:t>To</w:t>
      </w:r>
      <w:proofErr w:type="gramEnd"/>
      <w:r w:rsidRPr="000059A0">
        <w:rPr>
          <w:rFonts w:ascii="Arial" w:hAnsi="Arial" w:cs="Arial"/>
          <w:sz w:val="28"/>
          <w:szCs w:val="28"/>
        </w:rPr>
        <w:t xml:space="preserve"> what refers the mention « Unless stated otherwise” in Art 3.1?</w:t>
      </w:r>
    </w:p>
    <w:p w:rsidR="000059A0" w:rsidRDefault="000059A0" w:rsidP="000059A0">
      <w:pPr>
        <w:pStyle w:val="ListParagraph"/>
        <w:jc w:val="both"/>
        <w:rPr>
          <w:sz w:val="32"/>
          <w:szCs w:val="32"/>
        </w:rPr>
      </w:pPr>
    </w:p>
    <w:p w:rsidR="00701FC1" w:rsidRDefault="00701FC1" w:rsidP="00701FC1">
      <w:pPr>
        <w:pStyle w:val="ListParagraph"/>
        <w:numPr>
          <w:ilvl w:val="0"/>
          <w:numId w:val="5"/>
        </w:numPr>
        <w:jc w:val="both"/>
        <w:rPr>
          <w:rFonts w:ascii="Arial" w:hAnsi="Arial" w:cs="Arial"/>
          <w:sz w:val="28"/>
          <w:szCs w:val="28"/>
        </w:rPr>
      </w:pPr>
      <w:r>
        <w:rPr>
          <w:rFonts w:ascii="Arial" w:hAnsi="Arial" w:cs="Arial"/>
          <w:sz w:val="28"/>
          <w:szCs w:val="28"/>
        </w:rPr>
        <w:t>Art. 4. Rights of victims</w:t>
      </w:r>
    </w:p>
    <w:p w:rsidR="00701FC1" w:rsidRDefault="00701FC1" w:rsidP="00701FC1">
      <w:pPr>
        <w:pStyle w:val="ListParagraph"/>
        <w:jc w:val="both"/>
        <w:rPr>
          <w:rFonts w:ascii="Arial" w:hAnsi="Arial" w:cs="Arial"/>
          <w:sz w:val="28"/>
          <w:szCs w:val="28"/>
        </w:rPr>
      </w:pPr>
      <w:r>
        <w:rPr>
          <w:rFonts w:ascii="Arial" w:hAnsi="Arial" w:cs="Arial"/>
          <w:sz w:val="28"/>
          <w:szCs w:val="28"/>
        </w:rPr>
        <w:t>Regarding Art. 4.2</w:t>
      </w:r>
      <w:proofErr w:type="gramStart"/>
      <w:r>
        <w:rPr>
          <w:rFonts w:ascii="Arial" w:hAnsi="Arial" w:cs="Arial"/>
          <w:sz w:val="28"/>
          <w:szCs w:val="28"/>
        </w:rPr>
        <w:t>.g</w:t>
      </w:r>
      <w:proofErr w:type="gramEnd"/>
      <w:r>
        <w:rPr>
          <w:rFonts w:ascii="Arial" w:hAnsi="Arial" w:cs="Arial"/>
          <w:sz w:val="28"/>
          <w:szCs w:val="28"/>
        </w:rPr>
        <w:t>, should the reference to “diplomatic and consular means” be understood as diplomatic and consular means of the State of nationality of the victim?</w:t>
      </w:r>
    </w:p>
    <w:p w:rsidR="00701FC1" w:rsidRDefault="00701FC1" w:rsidP="00701FC1">
      <w:pPr>
        <w:pStyle w:val="ListParagraph"/>
        <w:jc w:val="both"/>
        <w:rPr>
          <w:rFonts w:ascii="Arial" w:hAnsi="Arial" w:cs="Arial"/>
          <w:sz w:val="28"/>
          <w:szCs w:val="28"/>
        </w:rPr>
      </w:pPr>
    </w:p>
    <w:p w:rsidR="00A1335C" w:rsidRPr="00453981" w:rsidRDefault="00701FC1" w:rsidP="00A1335C">
      <w:pPr>
        <w:pStyle w:val="ListParagraph"/>
        <w:jc w:val="both"/>
        <w:rPr>
          <w:sz w:val="32"/>
          <w:szCs w:val="32"/>
        </w:rPr>
      </w:pPr>
      <w:r>
        <w:rPr>
          <w:rFonts w:ascii="Arial" w:hAnsi="Arial" w:cs="Arial"/>
          <w:sz w:val="28"/>
          <w:szCs w:val="28"/>
        </w:rPr>
        <w:t>The Chair may wish to offer his views on these two points.</w:t>
      </w:r>
      <w:bookmarkStart w:id="0" w:name="_GoBack"/>
      <w:bookmarkEnd w:id="0"/>
    </w:p>
    <w:sectPr w:rsidR="00A1335C" w:rsidRPr="0045398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1E6247A7"/>
    <w:multiLevelType w:val="hybridMultilevel"/>
    <w:tmpl w:val="0AC2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E26B7"/>
    <w:multiLevelType w:val="hybridMultilevel"/>
    <w:tmpl w:val="1946DACA"/>
    <w:lvl w:ilvl="0" w:tplc="FD8C862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1065F"/>
    <w:multiLevelType w:val="hybridMultilevel"/>
    <w:tmpl w:val="BF1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E09B4"/>
    <w:rsid w:val="000059A0"/>
    <w:rsid w:val="00040148"/>
    <w:rsid w:val="00130574"/>
    <w:rsid w:val="00235560"/>
    <w:rsid w:val="002537A7"/>
    <w:rsid w:val="00260959"/>
    <w:rsid w:val="002F4067"/>
    <w:rsid w:val="00453981"/>
    <w:rsid w:val="004855CF"/>
    <w:rsid w:val="004D1466"/>
    <w:rsid w:val="00517779"/>
    <w:rsid w:val="00533C39"/>
    <w:rsid w:val="0055123E"/>
    <w:rsid w:val="00551F3C"/>
    <w:rsid w:val="005A0F15"/>
    <w:rsid w:val="00645377"/>
    <w:rsid w:val="006B4D71"/>
    <w:rsid w:val="006E789A"/>
    <w:rsid w:val="006F11CC"/>
    <w:rsid w:val="00701FC1"/>
    <w:rsid w:val="007B2B85"/>
    <w:rsid w:val="00822DD1"/>
    <w:rsid w:val="00831388"/>
    <w:rsid w:val="00856F81"/>
    <w:rsid w:val="008B53E5"/>
    <w:rsid w:val="00903DF4"/>
    <w:rsid w:val="00906A33"/>
    <w:rsid w:val="009158BD"/>
    <w:rsid w:val="009F18A3"/>
    <w:rsid w:val="009F4481"/>
    <w:rsid w:val="00A1335C"/>
    <w:rsid w:val="00A22777"/>
    <w:rsid w:val="00AB5F9E"/>
    <w:rsid w:val="00B514A6"/>
    <w:rsid w:val="00B87318"/>
    <w:rsid w:val="00BE560F"/>
    <w:rsid w:val="00C30F5F"/>
    <w:rsid w:val="00C85999"/>
    <w:rsid w:val="00DD488C"/>
    <w:rsid w:val="00E058AA"/>
    <w:rsid w:val="00EC1CC8"/>
    <w:rsid w:val="00EE3148"/>
    <w:rsid w:val="00F521A1"/>
    <w:rsid w:val="00F64A88"/>
    <w:rsid w:val="00FA087B"/>
    <w:rsid w:val="00FE09B4"/>
  </w:rsids>
  <m:mathPr>
    <m:mathFont m:val="Cambria Math"/>
    <m:brkBin m:val="before"/>
    <m:brkBinSub m:val="--"/>
    <m:smallFrac m:val="0"/>
    <m:dispDef/>
    <m:lMargin m:val="0"/>
    <m:rMargin m:val="0"/>
    <m:defJc m:val="centerGroup"/>
    <m:wrapIndent m:val="1440"/>
    <m:intLim m:val="subSup"/>
    <m:naryLim m:val="undOvr"/>
  </m:mathPr>
  <w:themeFontLang w:val="en-GB"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D02B"/>
  <w15:docId w15:val="{964C2B1B-005A-4E5F-ADFD-8142B6A0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09B4"/>
    <w:pPr>
      <w:ind w:left="720"/>
      <w:contextualSpacing/>
    </w:pPr>
  </w:style>
  <w:style w:type="paragraph" w:styleId="BalloonText">
    <w:name w:val="Balloon Text"/>
    <w:basedOn w:val="Normal"/>
    <w:link w:val="BalloonTextChar"/>
    <w:uiPriority w:val="99"/>
    <w:semiHidden/>
    <w:unhideWhenUsed/>
    <w:rsid w:val="0090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8194">
      <w:bodyDiv w:val="1"/>
      <w:marLeft w:val="0"/>
      <w:marRight w:val="0"/>
      <w:marTop w:val="0"/>
      <w:marBottom w:val="0"/>
      <w:divBdr>
        <w:top w:val="none" w:sz="0" w:space="0" w:color="auto"/>
        <w:left w:val="none" w:sz="0" w:space="0" w:color="auto"/>
        <w:bottom w:val="none" w:sz="0" w:space="0" w:color="auto"/>
        <w:right w:val="none" w:sz="0" w:space="0" w:color="auto"/>
      </w:divBdr>
    </w:div>
    <w:div w:id="13929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445AA2-6B40-4C27-B247-3106BA680A43}"/>
</file>

<file path=customXml/itemProps2.xml><?xml version="1.0" encoding="utf-8"?>
<ds:datastoreItem xmlns:ds="http://schemas.openxmlformats.org/officeDocument/2006/customXml" ds:itemID="{5982F3AC-EBE9-43AA-92B3-28EA4B44E3A1}"/>
</file>

<file path=customXml/itemProps3.xml><?xml version="1.0" encoding="utf-8"?>
<ds:datastoreItem xmlns:ds="http://schemas.openxmlformats.org/officeDocument/2006/customXml" ds:itemID="{D0266C6C-A6F0-489B-923E-265A58DCA749}"/>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Salvatore (EEAS-GENEVA)</dc:creator>
  <cp:lastModifiedBy>CHOUCQ Nadine (EEAS-GENEVA)</cp:lastModifiedBy>
  <cp:revision>9</cp:revision>
  <cp:lastPrinted>2019-10-15T06:19:00Z</cp:lastPrinted>
  <dcterms:created xsi:type="dcterms:W3CDTF">2020-10-25T07:58:00Z</dcterms:created>
  <dcterms:modified xsi:type="dcterms:W3CDTF">2020-10-26T16:49:00Z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