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04D0" w:rsidRPr="004C1D54" w:rsidRDefault="00D604D0">
      <w:pPr>
        <w:pStyle w:val="s16"/>
        <w:spacing w:before="0" w:beforeAutospacing="0" w:after="0" w:afterAutospacing="0"/>
        <w:jc w:val="center"/>
        <w:rPr>
          <w:rFonts w:asciiTheme="majorBidi" w:hAnsiTheme="majorBidi" w:cstheme="majorBidi"/>
          <w:b/>
          <w:bCs/>
          <w:color w:val="000000"/>
          <w:sz w:val="28"/>
          <w:szCs w:val="28"/>
        </w:rPr>
      </w:pPr>
      <w:r w:rsidRPr="004C1D54">
        <w:rPr>
          <w:rStyle w:val="s13"/>
          <w:rFonts w:asciiTheme="majorBidi" w:hAnsiTheme="majorBidi" w:cstheme="majorBidi"/>
          <w:b/>
          <w:bCs/>
          <w:color w:val="000000"/>
          <w:sz w:val="28"/>
          <w:szCs w:val="28"/>
          <w:u w:val="single"/>
        </w:rPr>
        <w:t>6</w:t>
      </w:r>
      <w:r w:rsidRPr="004C1D54">
        <w:rPr>
          <w:rStyle w:val="s14"/>
          <w:rFonts w:asciiTheme="majorBidi" w:hAnsiTheme="majorBidi" w:cstheme="majorBidi"/>
          <w:b/>
          <w:bCs/>
          <w:color w:val="000000"/>
          <w:sz w:val="28"/>
          <w:szCs w:val="28"/>
          <w:u w:val="single"/>
          <w:vertAlign w:val="superscript"/>
        </w:rPr>
        <w:t>th</w:t>
      </w:r>
      <w:r w:rsidRPr="004C1D54">
        <w:rPr>
          <w:rStyle w:val="apple-converted-space"/>
          <w:rFonts w:asciiTheme="majorBidi" w:hAnsiTheme="majorBidi" w:cstheme="majorBidi"/>
          <w:b/>
          <w:bCs/>
          <w:color w:val="000000"/>
          <w:sz w:val="28"/>
          <w:szCs w:val="28"/>
          <w:u w:val="single"/>
        </w:rPr>
        <w:t> </w:t>
      </w:r>
      <w:r w:rsidRPr="004C1D54">
        <w:rPr>
          <w:rStyle w:val="s13"/>
          <w:rFonts w:asciiTheme="majorBidi" w:hAnsiTheme="majorBidi" w:cstheme="majorBidi"/>
          <w:b/>
          <w:bCs/>
          <w:color w:val="000000"/>
          <w:sz w:val="28"/>
          <w:szCs w:val="28"/>
          <w:u w:val="single"/>
        </w:rPr>
        <w:t>Session of IGWG on TNCs and OBEs with respect to Human Rights</w:t>
      </w:r>
    </w:p>
    <w:p w:rsidR="00D604D0" w:rsidRPr="004C1D54" w:rsidRDefault="00D604D0">
      <w:pPr>
        <w:pStyle w:val="s16"/>
        <w:spacing w:before="0" w:beforeAutospacing="0" w:after="0" w:afterAutospacing="0"/>
        <w:jc w:val="center"/>
        <w:rPr>
          <w:rFonts w:asciiTheme="majorBidi" w:hAnsiTheme="majorBidi" w:cstheme="majorBidi"/>
          <w:b/>
          <w:bCs/>
          <w:color w:val="000000"/>
          <w:sz w:val="28"/>
          <w:szCs w:val="28"/>
          <w:lang w:val="en-US"/>
        </w:rPr>
      </w:pPr>
      <w:r w:rsidRPr="004C1D54">
        <w:rPr>
          <w:rStyle w:val="s15"/>
          <w:rFonts w:asciiTheme="majorBidi" w:hAnsiTheme="majorBidi" w:cstheme="majorBidi"/>
          <w:b/>
          <w:bCs/>
          <w:color w:val="000000"/>
          <w:sz w:val="28"/>
          <w:szCs w:val="28"/>
          <w:u w:val="single"/>
        </w:rPr>
        <w:t>Comments on Articles</w:t>
      </w:r>
      <w:r w:rsidRPr="004C1D54">
        <w:rPr>
          <w:rStyle w:val="apple-converted-space"/>
          <w:rFonts w:asciiTheme="majorBidi" w:hAnsiTheme="majorBidi" w:cstheme="majorBidi"/>
          <w:b/>
          <w:bCs/>
          <w:color w:val="000000"/>
          <w:sz w:val="28"/>
          <w:szCs w:val="28"/>
          <w:u w:val="single"/>
        </w:rPr>
        <w:t> </w:t>
      </w:r>
      <w:r w:rsidRPr="004C1D54">
        <w:rPr>
          <w:rStyle w:val="s15"/>
          <w:rFonts w:asciiTheme="majorBidi" w:hAnsiTheme="majorBidi" w:cstheme="majorBidi"/>
          <w:b/>
          <w:bCs/>
          <w:color w:val="000000"/>
          <w:sz w:val="28"/>
          <w:szCs w:val="28"/>
          <w:u w:val="single"/>
          <w:lang w:val="en-US"/>
        </w:rPr>
        <w:t>3&amp;4</w:t>
      </w:r>
    </w:p>
    <w:p w:rsidR="00D604D0" w:rsidRDefault="00D604D0" w:rsidP="00D217A5">
      <w:pPr>
        <w:rPr>
          <w:rFonts w:ascii="Times New Roman" w:hAnsi="Times New Roman"/>
          <w:lang w:val="en-US"/>
        </w:rPr>
      </w:pPr>
    </w:p>
    <w:p w:rsidR="008D15F7" w:rsidRDefault="008D15F7" w:rsidP="00D217A5">
      <w:pPr>
        <w:rPr>
          <w:rFonts w:ascii="Times New Roman" w:hAnsi="Times New Roman"/>
          <w:lang w:val="en-US"/>
        </w:rPr>
      </w:pPr>
    </w:p>
    <w:p w:rsidR="00855C86" w:rsidRDefault="00AC1199" w:rsidP="00D217A5">
      <w:pPr>
        <w:rPr>
          <w:rFonts w:ascii="Times New Roman" w:hAnsi="Times New Roman"/>
          <w:lang w:val="en-US"/>
        </w:rPr>
      </w:pPr>
      <w:r>
        <w:rPr>
          <w:rFonts w:ascii="Times New Roman" w:hAnsi="Times New Roman"/>
          <w:lang w:val="en-US"/>
        </w:rPr>
        <w:t xml:space="preserve">Thank  you Mr. Chair, </w:t>
      </w:r>
    </w:p>
    <w:p w:rsidR="00297446" w:rsidRDefault="00925AAC" w:rsidP="00D217A5">
      <w:pPr>
        <w:rPr>
          <w:rFonts w:ascii="Times New Roman" w:hAnsi="Times New Roman"/>
          <w:lang w:val="en-US"/>
        </w:rPr>
      </w:pPr>
      <w:r>
        <w:rPr>
          <w:rFonts w:ascii="Times New Roman" w:hAnsi="Times New Roman"/>
          <w:lang w:val="en-US"/>
        </w:rPr>
        <w:t xml:space="preserve"> </w:t>
      </w:r>
    </w:p>
    <w:p w:rsidR="00855C86" w:rsidRDefault="00855C86" w:rsidP="00D217A5">
      <w:pPr>
        <w:rPr>
          <w:rFonts w:ascii="Times New Roman" w:hAnsi="Times New Roman"/>
          <w:lang w:val="en-US"/>
        </w:rPr>
      </w:pPr>
    </w:p>
    <w:p w:rsidR="00D91D48" w:rsidRPr="005241FF" w:rsidRDefault="0046700D" w:rsidP="009F1260">
      <w:pPr>
        <w:jc w:val="both"/>
        <w:rPr>
          <w:rFonts w:ascii="Times New Roman" w:hAnsi="Times New Roman"/>
          <w:b/>
          <w:bCs/>
          <w:lang w:val="en-US"/>
        </w:rPr>
      </w:pPr>
      <w:r w:rsidRPr="005241FF">
        <w:rPr>
          <w:rFonts w:ascii="Times New Roman" w:hAnsi="Times New Roman"/>
          <w:b/>
          <w:bCs/>
          <w:lang w:val="en-US"/>
        </w:rPr>
        <w:t xml:space="preserve">Article 3: </w:t>
      </w:r>
      <w:r w:rsidR="0007079B" w:rsidRPr="005241FF">
        <w:rPr>
          <w:rFonts w:ascii="Times New Roman" w:hAnsi="Times New Roman"/>
          <w:b/>
          <w:bCs/>
          <w:lang w:val="en-US"/>
        </w:rPr>
        <w:t>Scope</w:t>
      </w:r>
    </w:p>
    <w:p w:rsidR="0046700D" w:rsidRDefault="0046700D" w:rsidP="009F1260">
      <w:pPr>
        <w:jc w:val="both"/>
        <w:rPr>
          <w:rFonts w:ascii="Times New Roman" w:hAnsi="Times New Roman"/>
          <w:lang w:val="en-US"/>
        </w:rPr>
      </w:pPr>
    </w:p>
    <w:p w:rsidR="004466AE" w:rsidRPr="00433C2A" w:rsidRDefault="0046700D" w:rsidP="009F1260">
      <w:pPr>
        <w:jc w:val="both"/>
        <w:rPr>
          <w:rFonts w:asciiTheme="majorBidi" w:hAnsiTheme="majorBidi" w:cstheme="majorBidi"/>
          <w:lang w:val="en-US"/>
        </w:rPr>
      </w:pPr>
      <w:r>
        <w:rPr>
          <w:rFonts w:ascii="Times New Roman" w:hAnsi="Times New Roman"/>
          <w:lang w:val="en-US"/>
        </w:rPr>
        <w:t xml:space="preserve">Regarding Article 3 related to the Scope of this treaty we believe that </w:t>
      </w:r>
      <w:r w:rsidR="0000622D">
        <w:rPr>
          <w:rFonts w:ascii="Times New Roman" w:hAnsi="Times New Roman"/>
          <w:lang w:val="en-US"/>
        </w:rPr>
        <w:t>article 3(1) should state that TNCs are of particular focus in the sc</w:t>
      </w:r>
      <w:r w:rsidR="00120D5C">
        <w:rPr>
          <w:rFonts w:ascii="Times New Roman" w:hAnsi="Times New Roman"/>
          <w:lang w:val="en-US"/>
        </w:rPr>
        <w:t xml:space="preserve">ope, particularly as it relates to the need to establish </w:t>
      </w:r>
      <w:r w:rsidR="00EE27C6">
        <w:rPr>
          <w:rFonts w:ascii="Times New Roman" w:hAnsi="Times New Roman"/>
          <w:lang w:val="en-US"/>
        </w:rPr>
        <w:t xml:space="preserve">extraterritorial obligations to </w:t>
      </w:r>
      <w:r w:rsidR="001A14DF">
        <w:rPr>
          <w:rFonts w:ascii="Times New Roman" w:hAnsi="Times New Roman"/>
          <w:lang w:val="en-US"/>
        </w:rPr>
        <w:t>examine</w:t>
      </w:r>
      <w:r w:rsidR="00EE27C6">
        <w:rPr>
          <w:rFonts w:ascii="Times New Roman" w:hAnsi="Times New Roman"/>
          <w:lang w:val="en-US"/>
        </w:rPr>
        <w:t xml:space="preserve"> cases where </w:t>
      </w:r>
      <w:r w:rsidR="004466AE">
        <w:rPr>
          <w:rFonts w:ascii="Times New Roman" w:hAnsi="Times New Roman"/>
          <w:lang w:val="en-US"/>
        </w:rPr>
        <w:t xml:space="preserve">TNCs operate. In this regard article 3(1) should read as follows: </w:t>
      </w:r>
      <w:r w:rsidR="004466AE" w:rsidRPr="004F11F9">
        <w:rPr>
          <w:rFonts w:asciiTheme="majorBidi" w:hAnsiTheme="majorBidi" w:cstheme="majorBidi"/>
          <w:b/>
          <w:bCs/>
        </w:rPr>
        <w:t>“</w:t>
      </w:r>
      <w:r w:rsidR="003615BB" w:rsidRPr="004F11F9">
        <w:rPr>
          <w:rFonts w:asciiTheme="majorBidi" w:hAnsiTheme="majorBidi" w:cstheme="majorBidi"/>
          <w:b/>
          <w:bCs/>
          <w:strike/>
          <w:lang w:val="en-US"/>
        </w:rPr>
        <w:t>Unless stated otherwise</w:t>
      </w:r>
      <w:r w:rsidR="004466AE" w:rsidRPr="00433C2A">
        <w:rPr>
          <w:rFonts w:asciiTheme="majorBidi" w:hAnsiTheme="majorBidi" w:cstheme="majorBidi"/>
          <w:lang w:val="en-US"/>
        </w:rPr>
        <w:t xml:space="preserve"> </w:t>
      </w:r>
      <w:r w:rsidR="004466AE" w:rsidRPr="00433C2A">
        <w:rPr>
          <w:rFonts w:asciiTheme="majorBidi" w:hAnsiTheme="majorBidi" w:cstheme="majorBidi"/>
        </w:rPr>
        <w:t xml:space="preserve"> </w:t>
      </w:r>
      <w:r w:rsidR="004466AE" w:rsidRPr="00433C2A">
        <w:rPr>
          <w:rFonts w:asciiTheme="majorBidi" w:hAnsiTheme="majorBidi" w:cstheme="majorBidi"/>
          <w:lang w:val="en-US"/>
        </w:rPr>
        <w:t>T</w:t>
      </w:r>
      <w:r w:rsidR="004466AE" w:rsidRPr="00433C2A">
        <w:rPr>
          <w:rFonts w:asciiTheme="majorBidi" w:hAnsiTheme="majorBidi" w:cstheme="majorBidi"/>
        </w:rPr>
        <w:t xml:space="preserve">his (Legally Binding Instrument) shall apply to all business enterprises and </w:t>
      </w:r>
      <w:r w:rsidR="004466AE" w:rsidRPr="004F11F9">
        <w:rPr>
          <w:rFonts w:asciiTheme="majorBidi" w:hAnsiTheme="majorBidi" w:cstheme="majorBidi"/>
          <w:b/>
          <w:bCs/>
        </w:rPr>
        <w:t xml:space="preserve">all business activities, with particular focus on transnational corporations </w:t>
      </w:r>
      <w:r w:rsidR="004466AE" w:rsidRPr="00433C2A">
        <w:rPr>
          <w:rFonts w:asciiTheme="majorBidi" w:hAnsiTheme="majorBidi" w:cstheme="majorBidi"/>
        </w:rPr>
        <w:t xml:space="preserve">and other business enterprises </w:t>
      </w:r>
      <w:r w:rsidR="004466AE" w:rsidRPr="004F11F9">
        <w:rPr>
          <w:rFonts w:asciiTheme="majorBidi" w:hAnsiTheme="majorBidi" w:cstheme="majorBidi"/>
          <w:b/>
          <w:bCs/>
        </w:rPr>
        <w:t>in the value chain</w:t>
      </w:r>
      <w:r w:rsidR="004466AE" w:rsidRPr="00433C2A">
        <w:rPr>
          <w:rFonts w:asciiTheme="majorBidi" w:hAnsiTheme="majorBidi" w:cstheme="majorBidi"/>
        </w:rPr>
        <w:t xml:space="preserve"> that undertake business activities of a transnational character.”</w:t>
      </w:r>
    </w:p>
    <w:p w:rsidR="009F79B8" w:rsidRPr="00433C2A" w:rsidRDefault="009F79B8" w:rsidP="009F1260">
      <w:pPr>
        <w:jc w:val="both"/>
        <w:rPr>
          <w:rFonts w:asciiTheme="majorBidi" w:hAnsiTheme="majorBidi" w:cstheme="majorBidi"/>
        </w:rPr>
      </w:pPr>
    </w:p>
    <w:p w:rsidR="000B521C" w:rsidRPr="000B521C" w:rsidRDefault="009F79B8" w:rsidP="009F1260">
      <w:pPr>
        <w:jc w:val="both"/>
        <w:rPr>
          <w:rFonts w:ascii="Times New Roman" w:hAnsi="Times New Roman"/>
        </w:rPr>
      </w:pPr>
      <w:r>
        <w:rPr>
          <w:rFonts w:ascii="Times New Roman" w:hAnsi="Times New Roman"/>
          <w:lang w:val="en-US"/>
        </w:rPr>
        <w:t xml:space="preserve">It is also </w:t>
      </w:r>
      <w:r w:rsidR="000D1602">
        <w:rPr>
          <w:rFonts w:ascii="Times New Roman" w:hAnsi="Times New Roman"/>
          <w:lang w:val="en-US"/>
        </w:rPr>
        <w:t xml:space="preserve">crucial that the scope of this LBI covers the right to self determination as well as international humanitarian law and </w:t>
      </w:r>
      <w:r w:rsidR="005423C5">
        <w:rPr>
          <w:rFonts w:ascii="Times New Roman" w:hAnsi="Times New Roman"/>
          <w:lang w:val="en-US"/>
        </w:rPr>
        <w:t>international criminal law</w:t>
      </w:r>
      <w:r w:rsidR="000B521C" w:rsidRPr="000B521C">
        <w:rPr>
          <w:rFonts w:ascii="Times New Roman" w:hAnsi="Times New Roman"/>
        </w:rPr>
        <w:t xml:space="preserve">. </w:t>
      </w:r>
      <w:r w:rsidR="00E20A6F">
        <w:rPr>
          <w:rFonts w:ascii="Times New Roman" w:hAnsi="Times New Roman"/>
          <w:lang w:val="en-US"/>
        </w:rPr>
        <w:t xml:space="preserve">In this sense we suggest the </w:t>
      </w:r>
      <w:r w:rsidR="005F38AD">
        <w:rPr>
          <w:rFonts w:ascii="Times New Roman" w:hAnsi="Times New Roman"/>
          <w:lang w:val="en-US"/>
        </w:rPr>
        <w:t>that article 3(3) reads as follows: “</w:t>
      </w:r>
      <w:r w:rsidR="000B521C" w:rsidRPr="000B521C">
        <w:rPr>
          <w:rFonts w:ascii="Times New Roman" w:hAnsi="Times New Roman"/>
        </w:rPr>
        <w:t xml:space="preserve">This (Legally Binding Instrument) shall cover all internationally recognized human rights and fundamental freedoms emanating from the Universal Declaration of Human Rights, any core international human rights treaty and fundamental ILO convention to which a State is a party, </w:t>
      </w:r>
      <w:r w:rsidR="000B521C" w:rsidRPr="006719F3">
        <w:rPr>
          <w:rFonts w:ascii="Times New Roman" w:hAnsi="Times New Roman"/>
          <w:b/>
          <w:bCs/>
        </w:rPr>
        <w:t>international humanitarian law, international criminal law</w:t>
      </w:r>
      <w:r w:rsidR="000B521C" w:rsidRPr="000B521C">
        <w:rPr>
          <w:rFonts w:ascii="Times New Roman" w:hAnsi="Times New Roman"/>
        </w:rPr>
        <w:t>, and customary international law.”</w:t>
      </w:r>
    </w:p>
    <w:p w:rsidR="00D217A5" w:rsidRDefault="00D217A5" w:rsidP="009F1260">
      <w:pPr>
        <w:jc w:val="both"/>
        <w:rPr>
          <w:rFonts w:ascii="Times New Roman" w:hAnsi="Times New Roman"/>
        </w:rPr>
      </w:pPr>
    </w:p>
    <w:p w:rsidR="001C3EC1" w:rsidRPr="00DC21EE" w:rsidRDefault="001C3EC1" w:rsidP="009F1260">
      <w:pPr>
        <w:jc w:val="both"/>
        <w:rPr>
          <w:rFonts w:ascii="Times New Roman" w:hAnsi="Times New Roman"/>
          <w:b/>
          <w:bCs/>
        </w:rPr>
      </w:pPr>
      <w:r w:rsidRPr="00DC21EE">
        <w:rPr>
          <w:rFonts w:ascii="Times New Roman" w:hAnsi="Times New Roman"/>
          <w:b/>
          <w:bCs/>
        </w:rPr>
        <w:t>Article 4 – Rights of Victims</w:t>
      </w:r>
    </w:p>
    <w:p w:rsidR="00C36A0F" w:rsidRDefault="00CB71B9" w:rsidP="009F1260">
      <w:pPr>
        <w:jc w:val="both"/>
        <w:rPr>
          <w:rFonts w:ascii="Times New Roman" w:hAnsi="Times New Roman"/>
        </w:rPr>
      </w:pPr>
      <w:r>
        <w:rPr>
          <w:rFonts w:ascii="Times New Roman" w:hAnsi="Times New Roman"/>
          <w:lang w:val="en-US"/>
        </w:rPr>
        <w:t xml:space="preserve">In relation to article 4 we believe </w:t>
      </w:r>
      <w:r w:rsidR="00156F83">
        <w:rPr>
          <w:rFonts w:ascii="Times New Roman" w:hAnsi="Times New Roman"/>
          <w:lang w:val="en-US"/>
        </w:rPr>
        <w:t>it is important</w:t>
      </w:r>
      <w:r>
        <w:rPr>
          <w:rFonts w:ascii="Times New Roman" w:hAnsi="Times New Roman"/>
          <w:lang w:val="en-US"/>
        </w:rPr>
        <w:t xml:space="preserve"> to establish that the rights of victim</w:t>
      </w:r>
      <w:r w:rsidR="00182EA7">
        <w:rPr>
          <w:rFonts w:ascii="Times New Roman" w:hAnsi="Times New Roman"/>
          <w:lang w:val="en-US"/>
        </w:rPr>
        <w:t>s are protected under the LBI</w:t>
      </w:r>
      <w:r w:rsidR="001C3EC1" w:rsidRPr="001C3EC1">
        <w:rPr>
          <w:rFonts w:ascii="Times New Roman" w:hAnsi="Times New Roman"/>
        </w:rPr>
        <w:t xml:space="preserve"> whether they are infringed upon in the context of non-State agents or by State agents. </w:t>
      </w:r>
      <w:r w:rsidR="00F262E9">
        <w:rPr>
          <w:rFonts w:ascii="Times New Roman" w:hAnsi="Times New Roman"/>
          <w:lang w:val="en-US"/>
        </w:rPr>
        <w:t>In this regard  we suggest to reintroduce the word “violations” after abuses in article 4(1)</w:t>
      </w:r>
      <w:r w:rsidR="00772015">
        <w:rPr>
          <w:rFonts w:ascii="Times New Roman" w:hAnsi="Times New Roman"/>
          <w:lang w:val="en-US"/>
        </w:rPr>
        <w:t xml:space="preserve"> so the paragraph would read: </w:t>
      </w:r>
      <w:r w:rsidR="001C3EC1" w:rsidRPr="001C3EC1">
        <w:rPr>
          <w:rFonts w:ascii="Times New Roman" w:hAnsi="Times New Roman"/>
        </w:rPr>
        <w:t xml:space="preserve"> “Victims of human rights abuses and </w:t>
      </w:r>
      <w:r w:rsidR="001C3EC1" w:rsidRPr="00DC21EE">
        <w:rPr>
          <w:rFonts w:ascii="Times New Roman" w:hAnsi="Times New Roman"/>
          <w:b/>
          <w:bCs/>
        </w:rPr>
        <w:t>violations</w:t>
      </w:r>
      <w:r w:rsidR="001C3EC1" w:rsidRPr="001C3EC1">
        <w:rPr>
          <w:rFonts w:ascii="Times New Roman" w:hAnsi="Times New Roman"/>
        </w:rPr>
        <w:t xml:space="preserve"> in the context of business activities shall enjoy all internationally recognized human rights and fundamental freedoms.”</w:t>
      </w:r>
    </w:p>
    <w:p w:rsidR="00C36A0F" w:rsidRPr="00C36A0F" w:rsidRDefault="00C36A0F" w:rsidP="009F1260">
      <w:pPr>
        <w:jc w:val="both"/>
        <w:rPr>
          <w:rFonts w:ascii="Times New Roman" w:hAnsi="Times New Roman"/>
        </w:rPr>
      </w:pPr>
    </w:p>
    <w:p w:rsidR="00A04345" w:rsidRDefault="00C36A0F" w:rsidP="009F1260">
      <w:pPr>
        <w:jc w:val="both"/>
        <w:rPr>
          <w:rFonts w:ascii="Times New Roman" w:hAnsi="Times New Roman"/>
          <w:lang w:val="en-US"/>
        </w:rPr>
      </w:pPr>
      <w:r>
        <w:rPr>
          <w:rFonts w:ascii="Times New Roman" w:hAnsi="Times New Roman"/>
          <w:lang w:val="en-US"/>
        </w:rPr>
        <w:t>Moreover, its regrettable that</w:t>
      </w:r>
      <w:r w:rsidR="000177B5">
        <w:rPr>
          <w:rFonts w:ascii="Times New Roman" w:hAnsi="Times New Roman"/>
          <w:lang w:val="en-US"/>
        </w:rPr>
        <w:t xml:space="preserve"> some important elements related to the rights of victims</w:t>
      </w:r>
      <w:r w:rsidR="00971E40">
        <w:rPr>
          <w:rFonts w:ascii="Times New Roman" w:hAnsi="Times New Roman"/>
          <w:lang w:val="en-US"/>
        </w:rPr>
        <w:t xml:space="preserve"> and their access to justice and effective remedies have been deleted</w:t>
      </w:r>
      <w:r w:rsidR="00250B64">
        <w:rPr>
          <w:rFonts w:ascii="Times New Roman" w:hAnsi="Times New Roman"/>
          <w:lang w:val="en-US"/>
        </w:rPr>
        <w:t xml:space="preserve">. In this regard we suggest </w:t>
      </w:r>
      <w:r w:rsidR="00443FDC">
        <w:rPr>
          <w:rFonts w:ascii="Times New Roman" w:hAnsi="Times New Roman"/>
          <w:lang w:val="en-US"/>
        </w:rPr>
        <w:t xml:space="preserve"> to</w:t>
      </w:r>
      <w:r w:rsidR="001A6F53">
        <w:rPr>
          <w:rFonts w:ascii="Times New Roman" w:hAnsi="Times New Roman"/>
          <w:lang w:val="en-US"/>
        </w:rPr>
        <w:t xml:space="preserve"> have additional language</w:t>
      </w:r>
      <w:r w:rsidR="00A04345">
        <w:rPr>
          <w:rFonts w:ascii="Times New Roman" w:hAnsi="Times New Roman"/>
          <w:lang w:val="en-US"/>
        </w:rPr>
        <w:t xml:space="preserve"> </w:t>
      </w:r>
      <w:r w:rsidR="00545C3E">
        <w:rPr>
          <w:rFonts w:ascii="Times New Roman" w:hAnsi="Times New Roman"/>
          <w:lang w:val="en-US"/>
        </w:rPr>
        <w:t xml:space="preserve">in article 4(2)(c) </w:t>
      </w:r>
      <w:r w:rsidR="006C3249">
        <w:rPr>
          <w:rFonts w:ascii="Times New Roman" w:hAnsi="Times New Roman"/>
          <w:lang w:val="en-US"/>
        </w:rPr>
        <w:t>to clearly reflect</w:t>
      </w:r>
      <w:r w:rsidR="00545C3E">
        <w:rPr>
          <w:rFonts w:ascii="Times New Roman" w:hAnsi="Times New Roman"/>
          <w:lang w:val="en-US"/>
        </w:rPr>
        <w:t xml:space="preserve"> the immediate and long term measure</w:t>
      </w:r>
      <w:r w:rsidR="00505497">
        <w:rPr>
          <w:rFonts w:ascii="Times New Roman" w:hAnsi="Times New Roman"/>
          <w:lang w:val="en-US"/>
        </w:rPr>
        <w:t xml:space="preserve"> which should be taken </w:t>
      </w:r>
      <w:r w:rsidR="002449B4">
        <w:rPr>
          <w:rFonts w:ascii="Times New Roman" w:hAnsi="Times New Roman"/>
          <w:lang w:val="en-US"/>
        </w:rPr>
        <w:t>and the importance for long term monitoring for such remedies. In this regard</w:t>
      </w:r>
      <w:r w:rsidR="00A6238F">
        <w:rPr>
          <w:rFonts w:ascii="Times New Roman" w:hAnsi="Times New Roman"/>
          <w:lang w:val="en-US"/>
        </w:rPr>
        <w:t xml:space="preserve"> we suggest</w:t>
      </w:r>
      <w:r w:rsidR="00906224">
        <w:rPr>
          <w:rFonts w:ascii="Times New Roman" w:hAnsi="Times New Roman"/>
          <w:lang w:val="en-US"/>
        </w:rPr>
        <w:t xml:space="preserve"> that article 4(2) (c) reads as follows: </w:t>
      </w:r>
    </w:p>
    <w:p w:rsidR="001C3EC1" w:rsidRPr="00615FBA" w:rsidRDefault="001C3EC1" w:rsidP="009F1260">
      <w:pPr>
        <w:jc w:val="both"/>
        <w:rPr>
          <w:rFonts w:ascii="Times New Roman" w:hAnsi="Times New Roman"/>
          <w:b/>
          <w:bCs/>
        </w:rPr>
      </w:pPr>
      <w:r w:rsidRPr="001C3EC1">
        <w:rPr>
          <w:rFonts w:ascii="Times New Roman" w:hAnsi="Times New Roman"/>
        </w:rPr>
        <w:t>‘victim</w:t>
      </w:r>
      <w:r w:rsidR="00BB5128">
        <w:rPr>
          <w:rFonts w:ascii="Times New Roman" w:hAnsi="Times New Roman"/>
          <w:lang w:val="en-US"/>
        </w:rPr>
        <w:t>s shall:</w:t>
      </w:r>
      <w:r w:rsidR="00422CBE">
        <w:rPr>
          <w:rFonts w:ascii="Times New Roman" w:hAnsi="Times New Roman"/>
          <w:lang w:val="en-US"/>
        </w:rPr>
        <w:t xml:space="preserve"> </w:t>
      </w:r>
      <w:r w:rsidRPr="001C3EC1">
        <w:rPr>
          <w:rFonts w:ascii="Times New Roman" w:hAnsi="Times New Roman"/>
        </w:rPr>
        <w:t xml:space="preserve">“...be guaranteed the right to </w:t>
      </w:r>
      <w:r w:rsidRPr="00BB5128">
        <w:rPr>
          <w:rFonts w:ascii="Times New Roman" w:hAnsi="Times New Roman"/>
          <w:b/>
          <w:bCs/>
        </w:rPr>
        <w:t xml:space="preserve">fair, </w:t>
      </w:r>
      <w:r w:rsidRPr="001C3EC1">
        <w:rPr>
          <w:rFonts w:ascii="Times New Roman" w:hAnsi="Times New Roman"/>
        </w:rPr>
        <w:t xml:space="preserve">adequate, effective, prompt and non-discriminatory access to justice and effective remedy in accordance with this (Legally Binding Instrument) and international law, such as restitution, compensation, rehabilitation, satisfaction, guarantees of non- repetition, injunction, environmental remediation, ecological restoration, </w:t>
      </w:r>
      <w:r w:rsidRPr="00615FBA">
        <w:rPr>
          <w:rFonts w:ascii="Times New Roman" w:hAnsi="Times New Roman"/>
          <w:b/>
          <w:bCs/>
        </w:rPr>
        <w:t>including covering expenses for relocation of victims, replacement of community facilities, and emergency and long-term health assistance. Victims shall be guaranteed the right for long-term monitoring of such remedies.”</w:t>
      </w:r>
    </w:p>
    <w:p w:rsidR="008C261F" w:rsidRDefault="008C261F" w:rsidP="009F1260">
      <w:pPr>
        <w:jc w:val="both"/>
        <w:rPr>
          <w:rFonts w:ascii="Times New Roman" w:hAnsi="Times New Roman"/>
        </w:rPr>
      </w:pPr>
    </w:p>
    <w:p w:rsidR="00114B2C" w:rsidRPr="001D3527" w:rsidRDefault="00114B2C" w:rsidP="009F1260">
      <w:pPr>
        <w:jc w:val="both"/>
        <w:rPr>
          <w:rFonts w:ascii="Times New Roman" w:hAnsi="Times New Roman"/>
        </w:rPr>
      </w:pPr>
    </w:p>
    <w:p w:rsidR="000B521C" w:rsidRPr="00BB2FF5" w:rsidRDefault="00BB2FF5" w:rsidP="009F1260">
      <w:pPr>
        <w:jc w:val="both"/>
        <w:rPr>
          <w:rFonts w:ascii="Times New Roman" w:hAnsi="Times New Roman"/>
          <w:lang w:val="en-US"/>
        </w:rPr>
      </w:pPr>
      <w:r>
        <w:rPr>
          <w:rFonts w:ascii="Times New Roman" w:hAnsi="Times New Roman"/>
          <w:lang w:val="en-US"/>
        </w:rPr>
        <w:t xml:space="preserve">I thank you </w:t>
      </w:r>
    </w:p>
    <w:sectPr w:rsidR="000B521C" w:rsidRPr="00BB2F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6C21" w:rsidRDefault="00976C21" w:rsidP="008D15F7">
      <w:r>
        <w:separator/>
      </w:r>
    </w:p>
  </w:endnote>
  <w:endnote w:type="continuationSeparator" w:id="0">
    <w:p w:rsidR="00976C21" w:rsidRDefault="00976C21" w:rsidP="008D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4D"/>
    <w:family w:val="script"/>
    <w:pitch w:val="variable"/>
    <w:sig w:usb0="00000003" w:usb1="00000000" w:usb2="00000000" w:usb3="00000000" w:csb0="00000001" w:csb1="00000000"/>
  </w:font>
  <w:font w:name="Al-Kharashi Diwani 1">
    <w:altName w:val="Times New Roman"/>
    <w:panose1 w:val="020B0604020202020204"/>
    <w:charset w:val="B2"/>
    <w:family w:val="auto"/>
    <w:pitch w:val="variable"/>
    <w:sig w:usb0="E0002AFF" w:usb1="C0007843" w:usb2="00000009" w:usb3="00000000" w:csb0="000001FF" w:csb1="00000000"/>
  </w:font>
  <w:font w:name="Monotype Corsiva">
    <w:altName w:val="Brush Script MT"/>
    <w:panose1 w:val="020B06040202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6C21" w:rsidRDefault="00976C21" w:rsidP="008D15F7">
      <w:r>
        <w:separator/>
      </w:r>
    </w:p>
  </w:footnote>
  <w:footnote w:type="continuationSeparator" w:id="0">
    <w:p w:rsidR="00976C21" w:rsidRDefault="00976C21" w:rsidP="008D1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10289" w:type="dxa"/>
      <w:jc w:val="center"/>
      <w:tblLook w:val="04A0" w:firstRow="1" w:lastRow="0" w:firstColumn="1" w:lastColumn="0" w:noHBand="0" w:noVBand="1"/>
    </w:tblPr>
    <w:tblGrid>
      <w:gridCol w:w="3841"/>
      <w:gridCol w:w="1843"/>
      <w:gridCol w:w="4605"/>
    </w:tblGrid>
    <w:tr w:rsidR="008D15F7" w:rsidRPr="008D15F7" w:rsidTr="008D79E6">
      <w:trPr>
        <w:trHeight w:val="714"/>
        <w:jc w:val="center"/>
      </w:trPr>
      <w:tc>
        <w:tcPr>
          <w:tcW w:w="3841" w:type="dxa"/>
        </w:tcPr>
        <w:p w:rsidR="008D15F7" w:rsidRPr="008D15F7" w:rsidRDefault="008D15F7" w:rsidP="008D15F7">
          <w:pPr>
            <w:tabs>
              <w:tab w:val="center" w:pos="4680"/>
              <w:tab w:val="right" w:pos="9360"/>
            </w:tabs>
            <w:bidi/>
            <w:rPr>
              <w:rFonts w:eastAsiaTheme="minorHAnsi"/>
              <w:b/>
              <w:bCs/>
              <w:sz w:val="16"/>
              <w:szCs w:val="16"/>
              <w:lang w:val="en-US" w:eastAsia="en-US" w:bidi="ar-AE"/>
            </w:rPr>
          </w:pPr>
        </w:p>
        <w:p w:rsidR="008D15F7" w:rsidRPr="008D15F7" w:rsidRDefault="008D15F7" w:rsidP="008D15F7">
          <w:pPr>
            <w:tabs>
              <w:tab w:val="center" w:pos="4680"/>
              <w:tab w:val="right" w:pos="9360"/>
            </w:tabs>
            <w:bidi/>
            <w:jc w:val="center"/>
            <w:rPr>
              <w:rFonts w:ascii="Edwardian Script ITC" w:eastAsiaTheme="minorHAnsi" w:hAnsi="Edwardian Script ITC" w:cs="Al-Kharashi Diwani 1"/>
              <w:sz w:val="24"/>
              <w:szCs w:val="24"/>
              <w:rtl/>
              <w:lang w:val="en-US" w:eastAsia="en-US" w:bidi="ar-AE"/>
            </w:rPr>
          </w:pPr>
        </w:p>
        <w:p w:rsidR="008D15F7" w:rsidRPr="008D15F7" w:rsidRDefault="008D15F7" w:rsidP="008D15F7">
          <w:pPr>
            <w:tabs>
              <w:tab w:val="center" w:pos="4680"/>
              <w:tab w:val="right" w:pos="9360"/>
            </w:tabs>
            <w:bidi/>
            <w:jc w:val="center"/>
            <w:rPr>
              <w:rFonts w:ascii="Edwardian Script ITC" w:eastAsiaTheme="minorHAnsi" w:hAnsi="Edwardian Script ITC" w:cs="Al-Kharashi Diwani 1"/>
              <w:i/>
              <w:iCs/>
              <w:sz w:val="40"/>
              <w:szCs w:val="40"/>
              <w:rtl/>
              <w:lang w:val="en-US" w:eastAsia="en-US" w:bidi="ar-AE"/>
            </w:rPr>
          </w:pPr>
          <w:r w:rsidRPr="008D15F7">
            <w:rPr>
              <w:rFonts w:ascii="Edwardian Script ITC" w:eastAsiaTheme="minorHAnsi" w:hAnsi="Edwardian Script ITC" w:cs="Al-Kharashi Diwani 1" w:hint="cs"/>
              <w:i/>
              <w:iCs/>
              <w:sz w:val="52"/>
              <w:szCs w:val="52"/>
              <w:rtl/>
              <w:lang w:val="en-US" w:eastAsia="en-US" w:bidi="ar-AE"/>
            </w:rPr>
            <w:t>دولة فلسطين</w:t>
          </w:r>
        </w:p>
        <w:p w:rsidR="008D15F7" w:rsidRPr="008D15F7" w:rsidRDefault="008D15F7" w:rsidP="008D15F7">
          <w:pPr>
            <w:tabs>
              <w:tab w:val="center" w:pos="4680"/>
              <w:tab w:val="right" w:pos="9360"/>
            </w:tabs>
            <w:bidi/>
            <w:jc w:val="center"/>
            <w:rPr>
              <w:rFonts w:ascii="Edwardian Script ITC" w:eastAsiaTheme="minorHAnsi" w:hAnsi="Edwardian Script ITC" w:cs="Al-Kharashi Diwani 1"/>
              <w:sz w:val="16"/>
              <w:szCs w:val="16"/>
              <w:rtl/>
              <w:lang w:val="en-US" w:eastAsia="en-US" w:bidi="ar-AE"/>
            </w:rPr>
          </w:pPr>
        </w:p>
        <w:p w:rsidR="008D15F7" w:rsidRPr="008D15F7" w:rsidRDefault="008D15F7" w:rsidP="008D15F7">
          <w:pPr>
            <w:tabs>
              <w:tab w:val="center" w:pos="4680"/>
              <w:tab w:val="right" w:pos="9360"/>
            </w:tabs>
            <w:bidi/>
            <w:jc w:val="center"/>
            <w:rPr>
              <w:rFonts w:ascii="Times New Roman" w:eastAsiaTheme="minorHAnsi" w:hAnsi="Times New Roman" w:cs="Al-Kharashi Diwani 1"/>
              <w:sz w:val="32"/>
              <w:szCs w:val="32"/>
              <w:rtl/>
              <w:lang w:val="en-US" w:eastAsia="en-US" w:bidi="ar-AE"/>
            </w:rPr>
          </w:pPr>
          <w:r w:rsidRPr="008D15F7">
            <w:rPr>
              <w:rFonts w:ascii="Edwardian Script ITC" w:eastAsiaTheme="minorHAnsi" w:hAnsi="Edwardian Script ITC" w:cs="Al-Kharashi Diwani 1" w:hint="cs"/>
              <w:sz w:val="32"/>
              <w:szCs w:val="32"/>
              <w:rtl/>
              <w:lang w:val="en-US" w:eastAsia="en-US" w:bidi="ar-AE"/>
            </w:rPr>
            <w:t>البعثة المراقبة الدائمة لدى</w:t>
          </w:r>
          <w:r w:rsidRPr="008D15F7">
            <w:rPr>
              <w:rFonts w:eastAsiaTheme="minorHAnsi" w:cs="Al-Kharashi Diwani 1" w:hint="cs"/>
              <w:sz w:val="32"/>
              <w:szCs w:val="32"/>
              <w:rtl/>
              <w:lang w:val="en-US" w:eastAsia="en-US" w:bidi="ar-AE"/>
            </w:rPr>
            <w:t xml:space="preserve"> الأمم المتحدة </w:t>
          </w:r>
        </w:p>
        <w:p w:rsidR="008D15F7" w:rsidRPr="008D15F7" w:rsidRDefault="008D15F7" w:rsidP="008D15F7">
          <w:pPr>
            <w:tabs>
              <w:tab w:val="center" w:pos="4680"/>
              <w:tab w:val="right" w:pos="9360"/>
            </w:tabs>
            <w:bidi/>
            <w:jc w:val="center"/>
            <w:rPr>
              <w:rFonts w:eastAsiaTheme="minorHAnsi" w:cs="Times New Roman"/>
              <w:sz w:val="24"/>
              <w:szCs w:val="24"/>
              <w:rtl/>
              <w:lang w:val="en-US" w:eastAsia="en-US" w:bidi="ar-AE"/>
            </w:rPr>
          </w:pPr>
          <w:r w:rsidRPr="008D15F7">
            <w:rPr>
              <w:rFonts w:eastAsiaTheme="minorHAnsi" w:cs="Al-Kharashi Diwani 1" w:hint="cs"/>
              <w:sz w:val="32"/>
              <w:szCs w:val="32"/>
              <w:rtl/>
              <w:lang w:val="en-US" w:eastAsia="en-US"/>
            </w:rPr>
            <w:t>جنيف</w:t>
          </w:r>
          <w:r w:rsidRPr="008D15F7">
            <w:rPr>
              <w:rFonts w:eastAsiaTheme="minorHAnsi" w:hint="cs"/>
              <w:sz w:val="32"/>
              <w:szCs w:val="32"/>
              <w:rtl/>
              <w:lang w:val="en-US" w:eastAsia="en-US"/>
            </w:rPr>
            <w:t xml:space="preserve"> </w:t>
          </w:r>
        </w:p>
      </w:tc>
      <w:tc>
        <w:tcPr>
          <w:tcW w:w="1843" w:type="dxa"/>
        </w:tcPr>
        <w:p w:rsidR="008D15F7" w:rsidRPr="008D15F7" w:rsidRDefault="008D15F7" w:rsidP="008D15F7">
          <w:pPr>
            <w:tabs>
              <w:tab w:val="center" w:pos="4680"/>
              <w:tab w:val="right" w:pos="9360"/>
            </w:tabs>
            <w:bidi/>
            <w:jc w:val="center"/>
            <w:rPr>
              <w:rFonts w:eastAsiaTheme="minorHAnsi"/>
              <w:sz w:val="24"/>
              <w:szCs w:val="24"/>
              <w:rtl/>
              <w:lang w:val="en-US" w:eastAsia="en-US" w:bidi="ar-AE"/>
            </w:rPr>
          </w:pPr>
        </w:p>
        <w:p w:rsidR="008D15F7" w:rsidRPr="008D15F7" w:rsidRDefault="008D15F7" w:rsidP="008D15F7">
          <w:pPr>
            <w:tabs>
              <w:tab w:val="center" w:pos="4680"/>
              <w:tab w:val="right" w:pos="9360"/>
            </w:tabs>
            <w:bidi/>
            <w:jc w:val="center"/>
            <w:rPr>
              <w:rFonts w:eastAsiaTheme="minorHAnsi"/>
              <w:sz w:val="24"/>
              <w:szCs w:val="24"/>
              <w:rtl/>
              <w:lang w:val="en-US" w:eastAsia="en-US" w:bidi="ar-AE"/>
            </w:rPr>
          </w:pPr>
          <w:r w:rsidRPr="008D15F7">
            <w:rPr>
              <w:rFonts w:eastAsiaTheme="minorHAnsi"/>
              <w:noProof/>
              <w:sz w:val="24"/>
              <w:szCs w:val="24"/>
              <w:lang w:val="en-US" w:eastAsia="en-US"/>
            </w:rPr>
            <w:drawing>
              <wp:inline distT="0" distB="0" distL="0" distR="0" wp14:anchorId="77725FCD" wp14:editId="79D224E5">
                <wp:extent cx="774700" cy="10922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1092200"/>
                        </a:xfrm>
                        <a:prstGeom prst="rect">
                          <a:avLst/>
                        </a:prstGeom>
                        <a:noFill/>
                        <a:ln>
                          <a:noFill/>
                        </a:ln>
                      </pic:spPr>
                    </pic:pic>
                  </a:graphicData>
                </a:graphic>
              </wp:inline>
            </w:drawing>
          </w:r>
        </w:p>
        <w:p w:rsidR="008D15F7" w:rsidRPr="008D15F7" w:rsidRDefault="008D15F7" w:rsidP="008D15F7">
          <w:pPr>
            <w:tabs>
              <w:tab w:val="center" w:pos="4680"/>
              <w:tab w:val="right" w:pos="9360"/>
            </w:tabs>
            <w:bidi/>
            <w:jc w:val="center"/>
            <w:rPr>
              <w:rFonts w:eastAsiaTheme="minorHAnsi"/>
              <w:sz w:val="24"/>
              <w:szCs w:val="24"/>
              <w:rtl/>
              <w:lang w:val="en-US" w:eastAsia="en-US" w:bidi="ar-AE"/>
            </w:rPr>
          </w:pPr>
        </w:p>
      </w:tc>
      <w:tc>
        <w:tcPr>
          <w:tcW w:w="4605" w:type="dxa"/>
        </w:tcPr>
        <w:p w:rsidR="008D15F7" w:rsidRPr="008D15F7" w:rsidRDefault="008D15F7" w:rsidP="008D15F7">
          <w:pPr>
            <w:tabs>
              <w:tab w:val="center" w:pos="4680"/>
              <w:tab w:val="right" w:pos="9360"/>
            </w:tabs>
            <w:bidi/>
            <w:spacing w:line="276" w:lineRule="auto"/>
            <w:jc w:val="center"/>
            <w:rPr>
              <w:rFonts w:ascii="Arial" w:eastAsiaTheme="minorHAnsi" w:hAnsi="Arial"/>
              <w:b/>
              <w:bCs/>
              <w:sz w:val="26"/>
              <w:szCs w:val="26"/>
              <w:rtl/>
              <w:lang w:val="en-US" w:eastAsia="en-US"/>
            </w:rPr>
          </w:pPr>
        </w:p>
        <w:p w:rsidR="008D15F7" w:rsidRPr="008D15F7" w:rsidRDefault="008D15F7" w:rsidP="008D15F7">
          <w:pPr>
            <w:tabs>
              <w:tab w:val="center" w:pos="4680"/>
              <w:tab w:val="right" w:pos="9360"/>
            </w:tabs>
            <w:bidi/>
            <w:spacing w:line="360" w:lineRule="auto"/>
            <w:jc w:val="center"/>
            <w:rPr>
              <w:rFonts w:ascii="Monotype Corsiva" w:eastAsiaTheme="minorHAnsi" w:hAnsi="Monotype Corsiva"/>
              <w:b/>
              <w:bCs/>
              <w:sz w:val="16"/>
              <w:szCs w:val="16"/>
              <w:lang w:val="en-US" w:eastAsia="en-US" w:bidi="ar-AE"/>
            </w:rPr>
          </w:pPr>
        </w:p>
        <w:p w:rsidR="008D15F7" w:rsidRPr="008D15F7" w:rsidRDefault="008D15F7" w:rsidP="008D15F7">
          <w:pPr>
            <w:tabs>
              <w:tab w:val="center" w:pos="4680"/>
              <w:tab w:val="right" w:pos="9360"/>
            </w:tabs>
            <w:bidi/>
            <w:spacing w:line="360" w:lineRule="auto"/>
            <w:jc w:val="center"/>
            <w:rPr>
              <w:rFonts w:ascii="Monotype Corsiva" w:eastAsiaTheme="minorHAnsi" w:hAnsi="Monotype Corsiva"/>
              <w:b/>
              <w:bCs/>
              <w:sz w:val="32"/>
              <w:szCs w:val="32"/>
              <w:lang w:val="en-US" w:eastAsia="en-US"/>
            </w:rPr>
          </w:pPr>
          <w:r w:rsidRPr="008D15F7">
            <w:rPr>
              <w:rFonts w:ascii="Monotype Corsiva" w:eastAsiaTheme="minorHAnsi" w:hAnsi="Monotype Corsiva"/>
              <w:b/>
              <w:bCs/>
              <w:sz w:val="32"/>
              <w:szCs w:val="32"/>
              <w:lang w:val="en-US" w:eastAsia="en-US"/>
            </w:rPr>
            <w:t xml:space="preserve">State of Palestine </w:t>
          </w:r>
        </w:p>
        <w:p w:rsidR="008D15F7" w:rsidRPr="008D15F7" w:rsidRDefault="008D15F7" w:rsidP="008D15F7">
          <w:pPr>
            <w:tabs>
              <w:tab w:val="center" w:pos="4680"/>
              <w:tab w:val="right" w:pos="9360"/>
            </w:tabs>
            <w:bidi/>
            <w:spacing w:line="360" w:lineRule="auto"/>
            <w:jc w:val="center"/>
            <w:rPr>
              <w:rFonts w:ascii="Monotype Corsiva" w:eastAsiaTheme="minorHAnsi" w:hAnsi="Monotype Corsiva"/>
              <w:b/>
              <w:bCs/>
              <w:sz w:val="8"/>
              <w:szCs w:val="8"/>
              <w:lang w:val="en-US" w:eastAsia="en-US" w:bidi="ar-AE"/>
            </w:rPr>
          </w:pPr>
        </w:p>
        <w:p w:rsidR="008D15F7" w:rsidRPr="008D15F7" w:rsidRDefault="008D15F7" w:rsidP="008D15F7">
          <w:pPr>
            <w:tabs>
              <w:tab w:val="center" w:pos="4680"/>
              <w:tab w:val="right" w:pos="9360"/>
            </w:tabs>
            <w:bidi/>
            <w:spacing w:line="360" w:lineRule="auto"/>
            <w:jc w:val="center"/>
            <w:rPr>
              <w:rFonts w:ascii="Monotype Corsiva" w:eastAsiaTheme="minorHAnsi" w:hAnsi="Monotype Corsiva"/>
              <w:sz w:val="24"/>
              <w:szCs w:val="24"/>
              <w:rtl/>
              <w:lang w:val="en-US" w:eastAsia="en-US"/>
            </w:rPr>
          </w:pPr>
          <w:r w:rsidRPr="008D15F7">
            <w:rPr>
              <w:rFonts w:ascii="Monotype Corsiva" w:eastAsiaTheme="minorHAnsi" w:hAnsi="Monotype Corsiva"/>
              <w:sz w:val="24"/>
              <w:szCs w:val="24"/>
              <w:lang w:val="en-US" w:eastAsia="en-US"/>
            </w:rPr>
            <w:t>Permanent Observer Mission to the United Nations</w:t>
          </w:r>
        </w:p>
        <w:p w:rsidR="008D15F7" w:rsidRPr="008D15F7" w:rsidRDefault="008D15F7" w:rsidP="008D15F7">
          <w:pPr>
            <w:tabs>
              <w:tab w:val="left" w:pos="205"/>
              <w:tab w:val="left" w:pos="1495"/>
              <w:tab w:val="center" w:pos="1970"/>
              <w:tab w:val="center" w:pos="2360"/>
              <w:tab w:val="center" w:pos="4680"/>
              <w:tab w:val="right" w:pos="9360"/>
            </w:tabs>
            <w:bidi/>
            <w:spacing w:line="360" w:lineRule="auto"/>
            <w:jc w:val="center"/>
            <w:rPr>
              <w:rFonts w:ascii="Times New Roman" w:eastAsiaTheme="minorHAnsi" w:hAnsi="Times New Roman"/>
              <w:sz w:val="24"/>
              <w:szCs w:val="24"/>
              <w:lang w:val="en-US" w:eastAsia="en-US"/>
            </w:rPr>
          </w:pPr>
          <w:r w:rsidRPr="008D15F7">
            <w:rPr>
              <w:rFonts w:ascii="Monotype Corsiva" w:eastAsiaTheme="minorHAnsi" w:hAnsi="Monotype Corsiva"/>
              <w:sz w:val="24"/>
              <w:szCs w:val="24"/>
              <w:lang w:val="en-US" w:eastAsia="en-US"/>
            </w:rPr>
            <w:t>Geneva</w:t>
          </w:r>
        </w:p>
      </w:tc>
    </w:tr>
  </w:tbl>
  <w:p w:rsidR="008D15F7" w:rsidRPr="008D15F7" w:rsidRDefault="008D15F7" w:rsidP="008D15F7">
    <w:pPr>
      <w:tabs>
        <w:tab w:val="center" w:pos="4680"/>
        <w:tab w:val="right" w:pos="9360"/>
      </w:tabs>
      <w:rPr>
        <w:rFonts w:eastAsiaTheme="minorHAnsi"/>
        <w:sz w:val="24"/>
        <w:szCs w:val="24"/>
        <w:lang w:val="en-US" w:eastAsia="en-US"/>
      </w:rPr>
    </w:pPr>
  </w:p>
  <w:p w:rsidR="008D15F7" w:rsidRDefault="008D1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A5"/>
    <w:rsid w:val="00001216"/>
    <w:rsid w:val="0000622D"/>
    <w:rsid w:val="000177B5"/>
    <w:rsid w:val="0007079B"/>
    <w:rsid w:val="00073139"/>
    <w:rsid w:val="000B521C"/>
    <w:rsid w:val="000D1602"/>
    <w:rsid w:val="00114B2C"/>
    <w:rsid w:val="00120D5C"/>
    <w:rsid w:val="00156F83"/>
    <w:rsid w:val="00182EA7"/>
    <w:rsid w:val="001A14DF"/>
    <w:rsid w:val="001A6F53"/>
    <w:rsid w:val="001C3EC1"/>
    <w:rsid w:val="001D3527"/>
    <w:rsid w:val="002449B4"/>
    <w:rsid w:val="00250B64"/>
    <w:rsid w:val="00297446"/>
    <w:rsid w:val="002C5E8B"/>
    <w:rsid w:val="003046DD"/>
    <w:rsid w:val="003615BB"/>
    <w:rsid w:val="003B230D"/>
    <w:rsid w:val="003B3FE6"/>
    <w:rsid w:val="004111A3"/>
    <w:rsid w:val="00422CBE"/>
    <w:rsid w:val="00433C2A"/>
    <w:rsid w:val="00443FDC"/>
    <w:rsid w:val="004466AE"/>
    <w:rsid w:val="0046700D"/>
    <w:rsid w:val="004C1D54"/>
    <w:rsid w:val="004F11F9"/>
    <w:rsid w:val="00505497"/>
    <w:rsid w:val="005241FF"/>
    <w:rsid w:val="005423C5"/>
    <w:rsid w:val="00545C3E"/>
    <w:rsid w:val="00573A00"/>
    <w:rsid w:val="005F38AD"/>
    <w:rsid w:val="00615FBA"/>
    <w:rsid w:val="006719F3"/>
    <w:rsid w:val="00680724"/>
    <w:rsid w:val="006C3249"/>
    <w:rsid w:val="006D30A5"/>
    <w:rsid w:val="006E5742"/>
    <w:rsid w:val="00764BA9"/>
    <w:rsid w:val="00772015"/>
    <w:rsid w:val="00855C86"/>
    <w:rsid w:val="00880FC1"/>
    <w:rsid w:val="008812D7"/>
    <w:rsid w:val="008851E7"/>
    <w:rsid w:val="008C261F"/>
    <w:rsid w:val="008D15F7"/>
    <w:rsid w:val="00906224"/>
    <w:rsid w:val="00925AAC"/>
    <w:rsid w:val="00971E40"/>
    <w:rsid w:val="00976C21"/>
    <w:rsid w:val="009841DB"/>
    <w:rsid w:val="009D300D"/>
    <w:rsid w:val="009F1260"/>
    <w:rsid w:val="009F79B8"/>
    <w:rsid w:val="00A04345"/>
    <w:rsid w:val="00A6238F"/>
    <w:rsid w:val="00AC1199"/>
    <w:rsid w:val="00BB2FF5"/>
    <w:rsid w:val="00BB5128"/>
    <w:rsid w:val="00BB5E42"/>
    <w:rsid w:val="00C36A0F"/>
    <w:rsid w:val="00C52E86"/>
    <w:rsid w:val="00CB71B9"/>
    <w:rsid w:val="00CC7AF3"/>
    <w:rsid w:val="00CF2F68"/>
    <w:rsid w:val="00D13489"/>
    <w:rsid w:val="00D217A5"/>
    <w:rsid w:val="00D604D0"/>
    <w:rsid w:val="00D91D48"/>
    <w:rsid w:val="00DA6755"/>
    <w:rsid w:val="00DC21EE"/>
    <w:rsid w:val="00DC4BF2"/>
    <w:rsid w:val="00E20A6F"/>
    <w:rsid w:val="00E26550"/>
    <w:rsid w:val="00E454A0"/>
    <w:rsid w:val="00EA67B4"/>
    <w:rsid w:val="00EB05F1"/>
    <w:rsid w:val="00EE27C6"/>
    <w:rsid w:val="00F262E9"/>
    <w:rsid w:val="00FA19A8"/>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decimalSymbol w:val="."/>
  <w:listSeparator w:val=","/>
  <w14:docId w14:val="42A2C5B8"/>
  <w15:chartTrackingRefBased/>
  <w15:docId w15:val="{96A222D4-C976-5046-B8A4-9A55AC33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6">
    <w:name w:val="s16"/>
    <w:basedOn w:val="Normal"/>
    <w:rsid w:val="00D604D0"/>
    <w:pPr>
      <w:spacing w:before="100" w:beforeAutospacing="1" w:after="100" w:afterAutospacing="1"/>
    </w:pPr>
    <w:rPr>
      <w:rFonts w:ascii="Times New Roman" w:hAnsi="Times New Roman" w:cs="Times New Roman"/>
      <w:sz w:val="24"/>
      <w:szCs w:val="24"/>
    </w:rPr>
  </w:style>
  <w:style w:type="character" w:customStyle="1" w:styleId="s13">
    <w:name w:val="s13"/>
    <w:basedOn w:val="DefaultParagraphFont"/>
    <w:rsid w:val="00D604D0"/>
  </w:style>
  <w:style w:type="character" w:customStyle="1" w:styleId="s14">
    <w:name w:val="s14"/>
    <w:basedOn w:val="DefaultParagraphFont"/>
    <w:rsid w:val="00D604D0"/>
  </w:style>
  <w:style w:type="character" w:customStyle="1" w:styleId="apple-converted-space">
    <w:name w:val="apple-converted-space"/>
    <w:basedOn w:val="DefaultParagraphFont"/>
    <w:rsid w:val="00D604D0"/>
  </w:style>
  <w:style w:type="character" w:customStyle="1" w:styleId="s15">
    <w:name w:val="s15"/>
    <w:basedOn w:val="DefaultParagraphFont"/>
    <w:rsid w:val="00D604D0"/>
  </w:style>
  <w:style w:type="paragraph" w:styleId="Header">
    <w:name w:val="header"/>
    <w:basedOn w:val="Normal"/>
    <w:link w:val="HeaderChar"/>
    <w:uiPriority w:val="99"/>
    <w:unhideWhenUsed/>
    <w:rsid w:val="008D15F7"/>
    <w:pPr>
      <w:tabs>
        <w:tab w:val="center" w:pos="4513"/>
        <w:tab w:val="right" w:pos="9026"/>
      </w:tabs>
    </w:pPr>
  </w:style>
  <w:style w:type="character" w:customStyle="1" w:styleId="HeaderChar">
    <w:name w:val="Header Char"/>
    <w:basedOn w:val="DefaultParagraphFont"/>
    <w:link w:val="Header"/>
    <w:uiPriority w:val="99"/>
    <w:rsid w:val="008D15F7"/>
  </w:style>
  <w:style w:type="paragraph" w:styleId="Footer">
    <w:name w:val="footer"/>
    <w:basedOn w:val="Normal"/>
    <w:link w:val="FooterChar"/>
    <w:uiPriority w:val="99"/>
    <w:unhideWhenUsed/>
    <w:rsid w:val="008D15F7"/>
    <w:pPr>
      <w:tabs>
        <w:tab w:val="center" w:pos="4513"/>
        <w:tab w:val="right" w:pos="9026"/>
      </w:tabs>
    </w:pPr>
  </w:style>
  <w:style w:type="character" w:customStyle="1" w:styleId="FooterChar">
    <w:name w:val="Footer Char"/>
    <w:basedOn w:val="DefaultParagraphFont"/>
    <w:link w:val="Footer"/>
    <w:uiPriority w:val="99"/>
    <w:rsid w:val="008D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AD498D-CE05-4DC9-94FE-9CE91BA3DCB3}"/>
</file>

<file path=customXml/itemProps2.xml><?xml version="1.0" encoding="utf-8"?>
<ds:datastoreItem xmlns:ds="http://schemas.openxmlformats.org/officeDocument/2006/customXml" ds:itemID="{9706E391-E312-41DA-A3B8-546CC404F2D1}"/>
</file>

<file path=customXml/itemProps3.xml><?xml version="1.0" encoding="utf-8"?>
<ds:datastoreItem xmlns:ds="http://schemas.openxmlformats.org/officeDocument/2006/customXml" ds:itemID="{ACC50C75-4799-4FBC-AE2F-CE95AE4D2086}"/>
</file>

<file path=docProps/app.xml><?xml version="1.0" encoding="utf-8"?>
<Properties xmlns="http://schemas.openxmlformats.org/officeDocument/2006/extended-properties" xmlns:vt="http://schemas.openxmlformats.org/officeDocument/2006/docPropsVTypes">
  <Template>Normal</Template>
  <TotalTime>90</TotalTime>
  <Pages>1</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 asfour</dc:creator>
  <cp:keywords/>
  <dc:description/>
  <cp:lastModifiedBy>Dima asfour</cp:lastModifiedBy>
  <cp:revision>55</cp:revision>
  <dcterms:created xsi:type="dcterms:W3CDTF">2020-10-26T15:17:00Z</dcterms:created>
  <dcterms:modified xsi:type="dcterms:W3CDTF">2020-10-26T16:39:00Z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