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C3" w:rsidRDefault="00B533C3" w:rsidP="00B533C3">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Articles 5, 6 &amp; 7</w:t>
      </w:r>
    </w:p>
    <w:p w:rsidR="00B533C3" w:rsidRDefault="00B533C3" w:rsidP="00B533C3">
      <w:pPr>
        <w:pStyle w:val="Default"/>
        <w:jc w:val="both"/>
        <w:rPr>
          <w:rFonts w:asciiTheme="minorHAnsi" w:hAnsiTheme="minorHAnsi" w:cstheme="minorHAnsi"/>
          <w:b/>
          <w:bCs/>
          <w:color w:val="auto"/>
          <w:sz w:val="22"/>
          <w:szCs w:val="22"/>
        </w:rPr>
      </w:pPr>
    </w:p>
    <w:p w:rsidR="00B533C3" w:rsidRDefault="00B533C3" w:rsidP="00B533C3">
      <w:pPr>
        <w:pStyle w:val="Default"/>
        <w:jc w:val="both"/>
        <w:rPr>
          <w:rFonts w:asciiTheme="minorHAnsi" w:hAnsiTheme="minorHAnsi" w:cstheme="minorHAnsi"/>
          <w:b/>
          <w:bCs/>
          <w:color w:val="auto"/>
          <w:sz w:val="22"/>
          <w:szCs w:val="22"/>
        </w:rPr>
      </w:pPr>
      <w:r>
        <w:rPr>
          <w:rFonts w:asciiTheme="minorHAnsi" w:hAnsiTheme="minorHAnsi" w:cstheme="minorHAnsi"/>
          <w:bCs/>
          <w:color w:val="auto"/>
          <w:sz w:val="22"/>
          <w:szCs w:val="22"/>
        </w:rPr>
        <w:t xml:space="preserve">Thank you, Chairperson. I speak on behalf of the over 200 million members of the global trade union organisations: ITUC, BWI, EI, </w:t>
      </w:r>
      <w:proofErr w:type="spellStart"/>
      <w:r>
        <w:rPr>
          <w:rFonts w:asciiTheme="minorHAnsi" w:hAnsiTheme="minorHAnsi" w:cstheme="minorHAnsi"/>
          <w:bCs/>
          <w:color w:val="auto"/>
          <w:sz w:val="22"/>
          <w:szCs w:val="22"/>
        </w:rPr>
        <w:t>IndustriAll</w:t>
      </w:r>
      <w:proofErr w:type="spellEnd"/>
      <w:r>
        <w:rPr>
          <w:rFonts w:asciiTheme="minorHAnsi" w:hAnsiTheme="minorHAnsi" w:cstheme="minorHAnsi"/>
          <w:bCs/>
          <w:color w:val="auto"/>
          <w:sz w:val="22"/>
          <w:szCs w:val="22"/>
        </w:rPr>
        <w:t>, ITF, IUF, PSI, and UNI.</w:t>
      </w:r>
    </w:p>
    <w:p w:rsidR="00B533C3" w:rsidRDefault="00B533C3" w:rsidP="00B533C3">
      <w:pPr>
        <w:pStyle w:val="Default"/>
        <w:jc w:val="both"/>
        <w:rPr>
          <w:rFonts w:asciiTheme="minorHAnsi" w:hAnsiTheme="minorHAnsi" w:cstheme="minorHAnsi"/>
          <w:b/>
          <w:bCs/>
          <w:color w:val="auto"/>
          <w:sz w:val="22"/>
          <w:szCs w:val="22"/>
        </w:rPr>
      </w:pPr>
    </w:p>
    <w:p w:rsidR="00B533C3" w:rsidRPr="004448B4" w:rsidRDefault="00B533C3" w:rsidP="00B533C3">
      <w:pPr>
        <w:pStyle w:val="Default"/>
        <w:jc w:val="both"/>
        <w:rPr>
          <w:rFonts w:asciiTheme="minorHAnsi" w:hAnsiTheme="minorHAnsi" w:cstheme="minorHAnsi"/>
          <w:color w:val="auto"/>
          <w:sz w:val="22"/>
          <w:szCs w:val="22"/>
        </w:rPr>
      </w:pPr>
      <w:r w:rsidRPr="004448B4">
        <w:rPr>
          <w:rFonts w:asciiTheme="minorHAnsi" w:hAnsiTheme="minorHAnsi" w:cstheme="minorHAnsi"/>
          <w:b/>
          <w:i/>
          <w:color w:val="auto"/>
          <w:sz w:val="22"/>
          <w:szCs w:val="22"/>
        </w:rPr>
        <w:t>Article 5 on Protection of Victims</w:t>
      </w:r>
      <w:r w:rsidRPr="004448B4">
        <w:rPr>
          <w:rFonts w:asciiTheme="minorHAnsi" w:hAnsiTheme="minorHAnsi" w:cstheme="minorHAnsi"/>
          <w:color w:val="auto"/>
          <w:sz w:val="22"/>
          <w:szCs w:val="22"/>
        </w:rPr>
        <w:t xml:space="preserve"> is a new Article incorporating elements previously captured in </w:t>
      </w:r>
      <w:r>
        <w:rPr>
          <w:rFonts w:asciiTheme="minorHAnsi" w:hAnsiTheme="minorHAnsi" w:cstheme="minorHAnsi"/>
          <w:color w:val="auto"/>
          <w:sz w:val="22"/>
          <w:szCs w:val="22"/>
        </w:rPr>
        <w:t>art.</w:t>
      </w:r>
      <w:r w:rsidRPr="004448B4">
        <w:rPr>
          <w:rFonts w:asciiTheme="minorHAnsi" w:hAnsiTheme="minorHAnsi" w:cstheme="minorHAnsi"/>
          <w:color w:val="auto"/>
          <w:sz w:val="22"/>
          <w:szCs w:val="22"/>
        </w:rPr>
        <w:t xml:space="preserve"> 4 relating to State obligations to protect the rights of victims. While we welcome the obligation on States to </w:t>
      </w:r>
      <w:r w:rsidRPr="004448B4">
        <w:rPr>
          <w:rFonts w:asciiTheme="minorHAnsi" w:hAnsiTheme="minorHAnsi" w:cstheme="minorHAnsi"/>
          <w:i/>
          <w:color w:val="auto"/>
          <w:sz w:val="22"/>
          <w:szCs w:val="22"/>
        </w:rPr>
        <w:t>guarantee a safe and enabling environment for human and environmental rights defenders</w:t>
      </w:r>
      <w:r w:rsidRPr="004448B4">
        <w:rPr>
          <w:rFonts w:asciiTheme="minorHAnsi" w:hAnsiTheme="minorHAnsi" w:cstheme="minorHAnsi"/>
          <w:color w:val="auto"/>
          <w:sz w:val="22"/>
          <w:szCs w:val="22"/>
        </w:rPr>
        <w:t xml:space="preserve">, it remains important to specifically refer to trade unionists as human rights defenders given the enormous risk of threats and retaliation in practice. </w:t>
      </w:r>
    </w:p>
    <w:p w:rsidR="00B533C3" w:rsidRPr="004448B4" w:rsidRDefault="00B533C3" w:rsidP="00B533C3">
      <w:pPr>
        <w:pStyle w:val="Default"/>
        <w:jc w:val="both"/>
        <w:rPr>
          <w:rFonts w:asciiTheme="minorHAnsi" w:hAnsiTheme="minorHAnsi" w:cstheme="minorHAnsi"/>
          <w:color w:val="auto"/>
          <w:sz w:val="22"/>
          <w:szCs w:val="22"/>
        </w:rPr>
      </w:pPr>
    </w:p>
    <w:p w:rsidR="00B533C3" w:rsidRDefault="00B533C3" w:rsidP="00B533C3">
      <w:pPr>
        <w:pStyle w:val="Default"/>
        <w:jc w:val="both"/>
        <w:rPr>
          <w:rFonts w:asciiTheme="minorHAnsi" w:hAnsiTheme="minorHAnsi" w:cstheme="minorHAnsi"/>
          <w:color w:val="auto"/>
          <w:sz w:val="22"/>
          <w:szCs w:val="22"/>
        </w:rPr>
      </w:pPr>
      <w:r w:rsidRPr="004448B4">
        <w:rPr>
          <w:rFonts w:asciiTheme="minorHAnsi" w:hAnsiTheme="minorHAnsi" w:cstheme="minorHAnsi"/>
          <w:b/>
          <w:i/>
          <w:color w:val="auto"/>
          <w:sz w:val="22"/>
          <w:szCs w:val="22"/>
        </w:rPr>
        <w:t>Article 6 on Prevention</w:t>
      </w:r>
      <w:r w:rsidRPr="004448B4">
        <w:rPr>
          <w:rFonts w:asciiTheme="minorHAnsi" w:hAnsiTheme="minorHAnsi" w:cstheme="minorHAnsi"/>
          <w:i/>
          <w:color w:val="auto"/>
          <w:sz w:val="22"/>
          <w:szCs w:val="22"/>
        </w:rPr>
        <w:t xml:space="preserve"> </w:t>
      </w:r>
      <w:r w:rsidRPr="004448B4">
        <w:rPr>
          <w:rFonts w:asciiTheme="minorHAnsi" w:hAnsiTheme="minorHAnsi" w:cstheme="minorHAnsi"/>
          <w:color w:val="auto"/>
          <w:sz w:val="22"/>
          <w:szCs w:val="22"/>
        </w:rPr>
        <w:t xml:space="preserve">firmly embeds the requirement of States Parties to take </w:t>
      </w:r>
      <w:r w:rsidRPr="004448B4">
        <w:rPr>
          <w:rFonts w:asciiTheme="minorHAnsi" w:hAnsiTheme="minorHAnsi" w:cstheme="minorHAnsi"/>
          <w:i/>
          <w:color w:val="auto"/>
          <w:sz w:val="22"/>
          <w:szCs w:val="22"/>
          <w:shd w:val="clear" w:color="auto" w:fill="FFFFFF"/>
        </w:rPr>
        <w:t>all necessary legal and policy measures</w:t>
      </w:r>
      <w:r w:rsidRPr="004448B4">
        <w:rPr>
          <w:rFonts w:asciiTheme="minorHAnsi" w:hAnsiTheme="minorHAnsi" w:cstheme="minorHAnsi"/>
          <w:color w:val="auto"/>
          <w:sz w:val="22"/>
          <w:szCs w:val="22"/>
          <w:shd w:val="clear" w:color="auto" w:fill="FFFFFF"/>
        </w:rPr>
        <w:t xml:space="preserve"> to ensure that business enterprises </w:t>
      </w:r>
      <w:r w:rsidRPr="004448B4">
        <w:rPr>
          <w:rFonts w:asciiTheme="minorHAnsi" w:hAnsiTheme="minorHAnsi" w:cstheme="minorHAnsi"/>
          <w:color w:val="auto"/>
          <w:sz w:val="22"/>
          <w:szCs w:val="22"/>
        </w:rPr>
        <w:t xml:space="preserve">respect </w:t>
      </w:r>
      <w:r w:rsidRPr="004448B4">
        <w:rPr>
          <w:rFonts w:asciiTheme="minorHAnsi" w:hAnsiTheme="minorHAnsi" w:cstheme="minorHAnsi"/>
          <w:i/>
          <w:color w:val="auto"/>
          <w:sz w:val="22"/>
          <w:szCs w:val="22"/>
        </w:rPr>
        <w:t>all internationally recognized human rights and prevent and mitigate human rights abuses throughout their operations</w:t>
      </w:r>
      <w:r w:rsidRPr="004448B4">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6(1)). While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6(2) brings the focus of prevention back to mandatory human rights due diligence legislation, it is clear that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6(1) sets expectations of States to </w:t>
      </w:r>
      <w:r>
        <w:rPr>
          <w:rFonts w:asciiTheme="minorHAnsi" w:hAnsiTheme="minorHAnsi" w:cstheme="minorHAnsi"/>
          <w:color w:val="auto"/>
          <w:sz w:val="22"/>
          <w:szCs w:val="22"/>
        </w:rPr>
        <w:t>go beyond this measure in line with the UNGPs</w:t>
      </w:r>
      <w:r w:rsidRPr="004448B4">
        <w:rPr>
          <w:rFonts w:asciiTheme="minorHAnsi" w:hAnsiTheme="minorHAnsi" w:cstheme="minorHAnsi"/>
          <w:color w:val="auto"/>
          <w:sz w:val="22"/>
          <w:szCs w:val="22"/>
        </w:rPr>
        <w:t xml:space="preserve">. </w:t>
      </w:r>
    </w:p>
    <w:p w:rsidR="00B533C3" w:rsidRDefault="00B533C3" w:rsidP="00B533C3">
      <w:pPr>
        <w:pStyle w:val="Default"/>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 xml:space="preserve">Amendments of note include the requirement for national </w:t>
      </w:r>
      <w:r>
        <w:rPr>
          <w:rFonts w:asciiTheme="minorHAnsi" w:hAnsiTheme="minorHAnsi" w:cstheme="minorHAnsi"/>
          <w:color w:val="auto"/>
          <w:sz w:val="22"/>
          <w:szCs w:val="22"/>
        </w:rPr>
        <w:t>human rights due diligence</w:t>
      </w:r>
      <w:r w:rsidRPr="004448B4">
        <w:rPr>
          <w:rFonts w:asciiTheme="minorHAnsi" w:hAnsiTheme="minorHAnsi" w:cstheme="minorHAnsi"/>
          <w:color w:val="auto"/>
          <w:sz w:val="22"/>
          <w:szCs w:val="22"/>
        </w:rPr>
        <w:t xml:space="preserve"> legislation to oblige business enterprises to </w:t>
      </w:r>
      <w:r w:rsidRPr="004448B4">
        <w:rPr>
          <w:rFonts w:asciiTheme="minorHAnsi" w:hAnsiTheme="minorHAnsi" w:cstheme="minorHAnsi"/>
          <w:i/>
          <w:color w:val="auto"/>
          <w:sz w:val="22"/>
          <w:szCs w:val="22"/>
        </w:rPr>
        <w:t>integrate a gender perspective</w:t>
      </w:r>
      <w:r w:rsidRPr="004448B4">
        <w:rPr>
          <w:rFonts w:asciiTheme="minorHAnsi" w:hAnsiTheme="minorHAnsi" w:cstheme="minorHAnsi"/>
          <w:color w:val="auto"/>
          <w:sz w:val="22"/>
          <w:szCs w:val="22"/>
        </w:rPr>
        <w:t xml:space="preserve">, in consultation with potentially impacted women and women´s organizations, in all stages of HRDD. </w:t>
      </w:r>
      <w:r>
        <w:rPr>
          <w:rFonts w:asciiTheme="minorHAnsi" w:hAnsiTheme="minorHAnsi" w:cstheme="minorHAnsi"/>
          <w:color w:val="auto"/>
          <w:sz w:val="22"/>
          <w:szCs w:val="22"/>
        </w:rPr>
        <w:t xml:space="preserve">We also welcome </w:t>
      </w:r>
      <w:r w:rsidRPr="004448B4">
        <w:rPr>
          <w:rFonts w:asciiTheme="minorHAnsi" w:hAnsiTheme="minorHAnsi" w:cstheme="minorHAnsi"/>
          <w:color w:val="auto"/>
          <w:sz w:val="22"/>
          <w:szCs w:val="22"/>
        </w:rPr>
        <w:t>the reference to the need to ensure that consultations with indigenous peoples are undertaken in accordance with the internationally agreed standards of free, prior and informed consent.</w:t>
      </w:r>
      <w:r>
        <w:rPr>
          <w:rFonts w:asciiTheme="minorHAnsi" w:hAnsiTheme="minorHAnsi" w:cstheme="minorHAnsi"/>
          <w:color w:val="auto"/>
          <w:sz w:val="22"/>
          <w:szCs w:val="22"/>
        </w:rPr>
        <w:t xml:space="preserve"> </w:t>
      </w:r>
    </w:p>
    <w:p w:rsidR="00B533C3" w:rsidRDefault="00B533C3" w:rsidP="00B533C3">
      <w:pPr>
        <w:pStyle w:val="Default"/>
        <w:jc w:val="both"/>
        <w:rPr>
          <w:rFonts w:asciiTheme="minorHAnsi" w:hAnsiTheme="minorHAnsi" w:cstheme="minorHAnsi"/>
          <w:color w:val="auto"/>
          <w:sz w:val="22"/>
          <w:szCs w:val="22"/>
        </w:rPr>
      </w:pPr>
    </w:p>
    <w:p w:rsidR="00B533C3" w:rsidRPr="004448B4" w:rsidRDefault="00B533C3" w:rsidP="00B533C3">
      <w:pPr>
        <w:pStyle w:val="Default"/>
        <w:jc w:val="both"/>
        <w:rPr>
          <w:rFonts w:asciiTheme="minorHAnsi" w:hAnsiTheme="minorHAnsi" w:cstheme="minorHAnsi"/>
          <w:color w:val="auto"/>
          <w:sz w:val="22"/>
          <w:szCs w:val="22"/>
          <w:shd w:val="clear" w:color="auto" w:fill="FFFFFF"/>
        </w:rPr>
      </w:pPr>
      <w:r w:rsidRPr="004448B4">
        <w:rPr>
          <w:rFonts w:asciiTheme="minorHAnsi" w:hAnsiTheme="minorHAnsi" w:cstheme="minorHAnsi"/>
          <w:color w:val="auto"/>
          <w:sz w:val="22"/>
          <w:szCs w:val="22"/>
        </w:rPr>
        <w:t xml:space="preserve">In relation to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6(3)(c) on the need to consult relevant stakeholders, we believe that there should be an express provision that </w:t>
      </w:r>
      <w:r>
        <w:rPr>
          <w:rFonts w:asciiTheme="minorHAnsi" w:hAnsiTheme="minorHAnsi" w:cstheme="minorHAnsi"/>
          <w:color w:val="auto"/>
          <w:sz w:val="22"/>
          <w:szCs w:val="22"/>
        </w:rPr>
        <w:t>human rights due diligence</w:t>
      </w:r>
      <w:r w:rsidRPr="004448B4">
        <w:rPr>
          <w:rFonts w:asciiTheme="minorHAnsi" w:hAnsiTheme="minorHAnsi" w:cstheme="minorHAnsi"/>
          <w:color w:val="auto"/>
          <w:sz w:val="22"/>
          <w:szCs w:val="22"/>
        </w:rPr>
        <w:t xml:space="preserve"> </w:t>
      </w:r>
      <w:r w:rsidRPr="004448B4">
        <w:rPr>
          <w:rFonts w:asciiTheme="minorHAnsi" w:hAnsiTheme="minorHAnsi" w:cstheme="minorHAnsi"/>
          <w:bCs/>
          <w:color w:val="auto"/>
          <w:sz w:val="22"/>
          <w:szCs w:val="22"/>
        </w:rPr>
        <w:t>should be informed by meaningful engagement with trade unions</w:t>
      </w:r>
      <w:r w:rsidRPr="004448B4">
        <w:rPr>
          <w:rFonts w:asciiTheme="minorHAnsi" w:hAnsiTheme="minorHAnsi" w:cstheme="minorHAnsi"/>
          <w:b/>
          <w:bCs/>
          <w:color w:val="auto"/>
          <w:sz w:val="22"/>
          <w:szCs w:val="22"/>
        </w:rPr>
        <w:t xml:space="preserve">. </w:t>
      </w:r>
      <w:r w:rsidRPr="004448B4">
        <w:rPr>
          <w:rFonts w:asciiTheme="minorHAnsi" w:hAnsiTheme="minorHAnsi" w:cstheme="minorHAnsi"/>
          <w:color w:val="auto"/>
          <w:sz w:val="22"/>
          <w:szCs w:val="22"/>
        </w:rPr>
        <w:t xml:space="preserve">It should also be recognised that consultation is a right in itself in many labour-related instruments. We welcome </w:t>
      </w:r>
      <w:r w:rsidRPr="004448B4">
        <w:rPr>
          <w:rFonts w:asciiTheme="minorHAnsi" w:hAnsiTheme="minorHAnsi" w:cstheme="minorHAnsi"/>
          <w:color w:val="auto"/>
          <w:sz w:val="22"/>
          <w:szCs w:val="22"/>
          <w:lang w:val="en-IE"/>
        </w:rPr>
        <w:t xml:space="preserve">the new language in </w:t>
      </w:r>
      <w:r>
        <w:rPr>
          <w:rFonts w:asciiTheme="minorHAnsi" w:hAnsiTheme="minorHAnsi" w:cstheme="minorHAnsi"/>
          <w:color w:val="auto"/>
          <w:sz w:val="22"/>
          <w:szCs w:val="22"/>
          <w:lang w:val="en-IE"/>
        </w:rPr>
        <w:t>a</w:t>
      </w:r>
      <w:r w:rsidRPr="004448B4">
        <w:rPr>
          <w:rFonts w:asciiTheme="minorHAnsi" w:hAnsiTheme="minorHAnsi" w:cstheme="minorHAnsi"/>
          <w:color w:val="auto"/>
          <w:sz w:val="22"/>
          <w:szCs w:val="22"/>
          <w:lang w:val="en-IE"/>
        </w:rPr>
        <w:t xml:space="preserve">rt. 6(6) clarifying that business enterprises may be held liable for failing to </w:t>
      </w:r>
      <w:r w:rsidRPr="004448B4">
        <w:rPr>
          <w:rFonts w:asciiTheme="minorHAnsi" w:hAnsiTheme="minorHAnsi" w:cstheme="minorHAnsi"/>
          <w:color w:val="auto"/>
          <w:sz w:val="22"/>
          <w:szCs w:val="22"/>
          <w:shd w:val="clear" w:color="auto" w:fill="FFFFFF"/>
        </w:rPr>
        <w:t xml:space="preserve">conduct </w:t>
      </w:r>
      <w:r>
        <w:rPr>
          <w:rFonts w:asciiTheme="minorHAnsi" w:hAnsiTheme="minorHAnsi" w:cstheme="minorHAnsi"/>
          <w:color w:val="auto"/>
          <w:sz w:val="22"/>
          <w:szCs w:val="22"/>
          <w:shd w:val="clear" w:color="auto" w:fill="FFFFFF"/>
        </w:rPr>
        <w:t>mandatory human rights due diligence</w:t>
      </w:r>
      <w:r w:rsidRPr="004448B4">
        <w:rPr>
          <w:rFonts w:asciiTheme="minorHAnsi" w:hAnsiTheme="minorHAnsi" w:cstheme="minorHAnsi"/>
          <w:color w:val="auto"/>
          <w:sz w:val="22"/>
          <w:szCs w:val="22"/>
          <w:shd w:val="clear" w:color="auto" w:fill="FFFFFF"/>
        </w:rPr>
        <w:t xml:space="preserve"> in line with the </w:t>
      </w:r>
      <w:r>
        <w:rPr>
          <w:rFonts w:asciiTheme="minorHAnsi" w:hAnsiTheme="minorHAnsi" w:cstheme="minorHAnsi"/>
          <w:color w:val="auto"/>
          <w:sz w:val="22"/>
          <w:szCs w:val="22"/>
          <w:shd w:val="clear" w:color="auto" w:fill="FFFFFF"/>
        </w:rPr>
        <w:t>article</w:t>
      </w:r>
      <w:r w:rsidRPr="004448B4">
        <w:rPr>
          <w:rFonts w:asciiTheme="minorHAnsi" w:hAnsiTheme="minorHAnsi" w:cstheme="minorHAnsi"/>
          <w:color w:val="auto"/>
          <w:sz w:val="22"/>
          <w:szCs w:val="22"/>
          <w:shd w:val="clear" w:color="auto" w:fill="FFFFFF"/>
        </w:rPr>
        <w:t xml:space="preserve">. However, there needs to be </w:t>
      </w:r>
      <w:r>
        <w:rPr>
          <w:rFonts w:asciiTheme="minorHAnsi" w:hAnsiTheme="minorHAnsi" w:cstheme="minorHAnsi"/>
          <w:color w:val="auto"/>
          <w:sz w:val="22"/>
          <w:szCs w:val="22"/>
          <w:shd w:val="clear" w:color="auto" w:fill="FFFFFF"/>
        </w:rPr>
        <w:t>further</w:t>
      </w:r>
      <w:r w:rsidRPr="004448B4">
        <w:rPr>
          <w:rFonts w:asciiTheme="minorHAnsi" w:hAnsiTheme="minorHAnsi" w:cstheme="minorHAnsi"/>
          <w:color w:val="auto"/>
          <w:sz w:val="22"/>
          <w:szCs w:val="22"/>
          <w:shd w:val="clear" w:color="auto" w:fill="FFFFFF"/>
        </w:rPr>
        <w:t xml:space="preserve"> clarity on the relationship between this </w:t>
      </w:r>
      <w:r>
        <w:rPr>
          <w:rFonts w:asciiTheme="minorHAnsi" w:hAnsiTheme="minorHAnsi" w:cstheme="minorHAnsi"/>
          <w:color w:val="auto"/>
          <w:sz w:val="22"/>
          <w:szCs w:val="22"/>
          <w:shd w:val="clear" w:color="auto" w:fill="FFFFFF"/>
        </w:rPr>
        <w:t>a</w:t>
      </w:r>
      <w:r w:rsidRPr="004448B4">
        <w:rPr>
          <w:rFonts w:asciiTheme="minorHAnsi" w:hAnsiTheme="minorHAnsi" w:cstheme="minorHAnsi"/>
          <w:color w:val="auto"/>
          <w:sz w:val="22"/>
          <w:szCs w:val="22"/>
          <w:shd w:val="clear" w:color="auto" w:fill="FFFFFF"/>
        </w:rPr>
        <w:t xml:space="preserve">rticle and </w:t>
      </w:r>
      <w:r>
        <w:rPr>
          <w:rFonts w:asciiTheme="minorHAnsi" w:hAnsiTheme="minorHAnsi" w:cstheme="minorHAnsi"/>
          <w:color w:val="auto"/>
          <w:sz w:val="22"/>
          <w:szCs w:val="22"/>
          <w:shd w:val="clear" w:color="auto" w:fill="FFFFFF"/>
        </w:rPr>
        <w:t>a</w:t>
      </w:r>
      <w:r w:rsidRPr="004448B4">
        <w:rPr>
          <w:rFonts w:asciiTheme="minorHAnsi" w:hAnsiTheme="minorHAnsi" w:cstheme="minorHAnsi"/>
          <w:color w:val="auto"/>
          <w:sz w:val="22"/>
          <w:szCs w:val="22"/>
          <w:shd w:val="clear" w:color="auto" w:fill="FFFFFF"/>
        </w:rPr>
        <w:t>rt</w:t>
      </w:r>
      <w:r>
        <w:rPr>
          <w:rFonts w:asciiTheme="minorHAnsi" w:hAnsiTheme="minorHAnsi" w:cstheme="minorHAnsi"/>
          <w:color w:val="auto"/>
          <w:sz w:val="22"/>
          <w:szCs w:val="22"/>
          <w:shd w:val="clear" w:color="auto" w:fill="FFFFFF"/>
        </w:rPr>
        <w:t>.</w:t>
      </w:r>
      <w:r w:rsidRPr="004448B4">
        <w:rPr>
          <w:rFonts w:asciiTheme="minorHAnsi" w:hAnsiTheme="minorHAnsi" w:cstheme="minorHAnsi"/>
          <w:color w:val="auto"/>
          <w:sz w:val="22"/>
          <w:szCs w:val="22"/>
          <w:shd w:val="clear" w:color="auto" w:fill="FFFFFF"/>
        </w:rPr>
        <w:t xml:space="preserve"> 8 on Liability</w:t>
      </w:r>
      <w:r>
        <w:rPr>
          <w:rFonts w:asciiTheme="minorHAnsi" w:hAnsiTheme="minorHAnsi" w:cstheme="minorHAnsi"/>
          <w:color w:val="auto"/>
          <w:sz w:val="22"/>
          <w:szCs w:val="22"/>
          <w:shd w:val="clear" w:color="auto" w:fill="FFFFFF"/>
        </w:rPr>
        <w:t xml:space="preserve"> (see below)</w:t>
      </w:r>
      <w:r w:rsidRPr="004448B4">
        <w:rPr>
          <w:rFonts w:asciiTheme="minorHAnsi" w:hAnsiTheme="minorHAnsi" w:cstheme="minorHAnsi"/>
          <w:color w:val="auto"/>
          <w:sz w:val="22"/>
          <w:szCs w:val="22"/>
          <w:shd w:val="clear" w:color="auto" w:fill="FFFFFF"/>
        </w:rPr>
        <w:t xml:space="preserve">. </w:t>
      </w:r>
    </w:p>
    <w:p w:rsidR="00B533C3" w:rsidRPr="004448B4" w:rsidRDefault="00B533C3" w:rsidP="00B533C3">
      <w:pPr>
        <w:pStyle w:val="Default"/>
        <w:jc w:val="both"/>
        <w:rPr>
          <w:rFonts w:asciiTheme="minorHAnsi" w:hAnsiTheme="minorHAnsi" w:cstheme="minorHAnsi"/>
          <w:color w:val="auto"/>
          <w:sz w:val="22"/>
          <w:szCs w:val="22"/>
          <w:shd w:val="clear" w:color="auto" w:fill="FFFFFF"/>
        </w:rPr>
      </w:pPr>
    </w:p>
    <w:p w:rsidR="00B533C3" w:rsidRPr="004448B4" w:rsidRDefault="00B533C3" w:rsidP="00B533C3">
      <w:pPr>
        <w:pStyle w:val="Default"/>
        <w:jc w:val="both"/>
        <w:rPr>
          <w:rFonts w:asciiTheme="minorHAnsi" w:hAnsiTheme="minorHAnsi" w:cstheme="minorHAnsi"/>
          <w:color w:val="auto"/>
          <w:sz w:val="22"/>
          <w:szCs w:val="22"/>
          <w:shd w:val="clear" w:color="auto" w:fill="FFFFFF"/>
        </w:rPr>
      </w:pPr>
      <w:r w:rsidRPr="004448B4">
        <w:rPr>
          <w:rFonts w:asciiTheme="minorHAnsi" w:hAnsiTheme="minorHAnsi" w:cstheme="minorHAnsi"/>
          <w:b/>
          <w:i/>
          <w:color w:val="auto"/>
          <w:sz w:val="22"/>
          <w:szCs w:val="22"/>
          <w:shd w:val="clear" w:color="auto" w:fill="FFFFFF"/>
        </w:rPr>
        <w:t>Article 7 on Access to Remedy</w:t>
      </w:r>
      <w:r w:rsidRPr="004448B4">
        <w:rPr>
          <w:rFonts w:asciiTheme="minorHAnsi" w:hAnsiTheme="minorHAnsi" w:cstheme="minorHAnsi"/>
          <w:color w:val="auto"/>
          <w:sz w:val="22"/>
          <w:szCs w:val="22"/>
          <w:shd w:val="clear" w:color="auto" w:fill="FFFFFF"/>
        </w:rPr>
        <w:t xml:space="preserve"> strengthens the previous corresponding provisions in the Revised Draft by, among other things, expressly stipulating that</w:t>
      </w:r>
      <w:r w:rsidRPr="004448B4">
        <w:rPr>
          <w:rFonts w:asciiTheme="minorHAnsi" w:hAnsiTheme="minorHAnsi" w:cstheme="minorHAnsi"/>
          <w:color w:val="auto"/>
          <w:sz w:val="22"/>
          <w:szCs w:val="22"/>
        </w:rPr>
        <w:t xml:space="preserve"> the doctrine of </w:t>
      </w:r>
      <w:r w:rsidRPr="004448B4">
        <w:rPr>
          <w:rFonts w:asciiTheme="minorHAnsi" w:hAnsiTheme="minorHAnsi" w:cstheme="minorHAnsi"/>
          <w:i/>
          <w:iCs/>
          <w:color w:val="auto"/>
          <w:sz w:val="22"/>
          <w:szCs w:val="22"/>
        </w:rPr>
        <w:t xml:space="preserve">forum non </w:t>
      </w:r>
      <w:proofErr w:type="spellStart"/>
      <w:r w:rsidRPr="004448B4">
        <w:rPr>
          <w:rFonts w:asciiTheme="minorHAnsi" w:hAnsiTheme="minorHAnsi" w:cstheme="minorHAnsi"/>
          <w:i/>
          <w:iCs/>
          <w:color w:val="auto"/>
          <w:sz w:val="22"/>
          <w:szCs w:val="22"/>
        </w:rPr>
        <w:t>conveniens</w:t>
      </w:r>
      <w:proofErr w:type="spellEnd"/>
      <w:r w:rsidRPr="004448B4">
        <w:rPr>
          <w:rFonts w:asciiTheme="minorHAnsi" w:hAnsiTheme="minorHAnsi" w:cstheme="minorHAnsi"/>
          <w:i/>
          <w:iCs/>
          <w:color w:val="auto"/>
          <w:sz w:val="22"/>
          <w:szCs w:val="22"/>
        </w:rPr>
        <w:t xml:space="preserve"> </w:t>
      </w:r>
      <w:r w:rsidRPr="004448B4">
        <w:rPr>
          <w:rFonts w:asciiTheme="minorHAnsi" w:hAnsiTheme="minorHAnsi" w:cstheme="minorHAnsi"/>
          <w:color w:val="auto"/>
          <w:sz w:val="22"/>
          <w:szCs w:val="22"/>
        </w:rPr>
        <w:t xml:space="preserve">is not used by courts to dismiss legitimate judicial proceedings brought by victims. The present draft also ensures that the “reversal of the burden of proof” in favour of victims is done in accordance with ‘rule of law requirements’ and no longer leaves this up to the discretion of courts. We also cautiously welcome the empowerment of State-based non-judicial mechanisms in </w:t>
      </w:r>
      <w:r>
        <w:rPr>
          <w:rFonts w:asciiTheme="minorHAnsi" w:hAnsiTheme="minorHAnsi" w:cstheme="minorHAnsi"/>
          <w:color w:val="auto"/>
          <w:sz w:val="22"/>
          <w:szCs w:val="22"/>
        </w:rPr>
        <w:t>art.</w:t>
      </w:r>
      <w:r w:rsidRPr="004448B4">
        <w:rPr>
          <w:rFonts w:asciiTheme="minorHAnsi" w:hAnsiTheme="minorHAnsi" w:cstheme="minorHAnsi"/>
          <w:color w:val="auto"/>
          <w:sz w:val="22"/>
          <w:szCs w:val="22"/>
        </w:rPr>
        <w:t xml:space="preserve"> 7(1). </w:t>
      </w:r>
      <w:r w:rsidRPr="004448B4">
        <w:rPr>
          <w:rFonts w:asciiTheme="minorHAnsi" w:hAnsiTheme="minorHAnsi" w:cstheme="minorHAnsi"/>
          <w:color w:val="auto"/>
          <w:sz w:val="22"/>
          <w:szCs w:val="22"/>
          <w:shd w:val="clear" w:color="auto" w:fill="FFFFFF"/>
        </w:rPr>
        <w:t xml:space="preserve"> </w:t>
      </w:r>
    </w:p>
    <w:p w:rsidR="00B533C3" w:rsidRDefault="00B533C3" w:rsidP="00B533C3">
      <w:pPr>
        <w:pStyle w:val="Default"/>
        <w:jc w:val="both"/>
        <w:rPr>
          <w:rFonts w:asciiTheme="minorHAnsi" w:hAnsiTheme="minorHAnsi" w:cstheme="minorHAnsi"/>
          <w:b/>
          <w:bCs/>
          <w:color w:val="auto"/>
          <w:sz w:val="22"/>
          <w:szCs w:val="22"/>
        </w:rPr>
      </w:pPr>
    </w:p>
    <w:p w:rsidR="00B533C3" w:rsidRPr="00E74157" w:rsidRDefault="00B533C3" w:rsidP="00B533C3">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Thank you. </w:t>
      </w:r>
    </w:p>
    <w:p w:rsidR="00996318" w:rsidRDefault="00B533C3">
      <w:bookmarkStart w:id="0" w:name="_GoBack"/>
      <w:bookmarkEnd w:id="0"/>
    </w:p>
    <w:sectPr w:rsidR="0099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C3"/>
    <w:rsid w:val="00396DA8"/>
    <w:rsid w:val="00685E1D"/>
    <w:rsid w:val="008730CD"/>
    <w:rsid w:val="009062AE"/>
    <w:rsid w:val="00A81442"/>
    <w:rsid w:val="00B533C3"/>
    <w:rsid w:val="00CA5E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D474E-50AC-418A-BE44-C8006819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3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A4D9BF-194A-4970-800A-CC10362F108B}"/>
</file>

<file path=customXml/itemProps2.xml><?xml version="1.0" encoding="utf-8"?>
<ds:datastoreItem xmlns:ds="http://schemas.openxmlformats.org/officeDocument/2006/customXml" ds:itemID="{3D79B469-0805-413B-83E5-8C5EED121385}"/>
</file>

<file path=customXml/itemProps3.xml><?xml version="1.0" encoding="utf-8"?>
<ds:datastoreItem xmlns:ds="http://schemas.openxmlformats.org/officeDocument/2006/customXml" ds:itemID="{2F95BFE8-5628-42C1-896D-BEAE2B45A24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2020-10-23T21:56:00Z</dcterms:created>
  <dcterms:modified xsi:type="dcterms:W3CDTF">2020-10-23T21:57:00Z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