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document.xml" ContentType="application/vnd.openxmlformats-officedocument.wordprocessingml.document.main+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val="0"/>
        <w:suppressLineNumbers w:val="0"/>
        <w:overflowPunct w:val="0"/>
        <w:autoSpaceDE w:val="0"/>
        <w:autoSpaceDN w:val="0"/>
        <w:snapToGrid w:val="0"/>
        <w:spacing w:before="0" w:beforeAutospacing="0" w:after="0" w:afterAutospacing="0" w:line="336" w:lineRule="auto"/>
        <w:ind w:left="0" w:right="0"/>
        <w:jc w:val="center"/>
        <w:textAlignment w:val="bottom"/>
        <w:rPr>
          <w:rFonts w:hint="eastAsia" w:ascii="外交粗仿宋" w:hAnsi="外交粗仿宋" w:eastAsia="外交粗仿宋" w:cs="外交粗仿宋"/>
          <w:b/>
          <w:kern w:val="2"/>
          <w:sz w:val="32"/>
          <w:szCs w:val="32"/>
        </w:rPr>
      </w:pPr>
      <w:bookmarkStart w:id="0" w:name="_GoBack"/>
      <w:r>
        <w:rPr>
          <w:rFonts w:hint="eastAsia" w:ascii="外交粗仿宋" w:hAnsi="外交粗仿宋" w:eastAsia="外交粗仿宋" w:cs="外交粗仿宋"/>
          <w:b/>
          <w:snapToGrid/>
          <w:kern w:val="2"/>
          <w:sz w:val="32"/>
          <w:szCs w:val="32"/>
          <w:lang w:val="en-US" w:eastAsia="zh-CN" w:bidi="ar-SA"/>
        </w:rPr>
        <w:t>对第5、6、7条的评论</w:t>
      </w:r>
    </w:p>
    <w:bookmarkEnd w:id="0"/>
    <w:p>
      <w:pPr>
        <w:keepNext w:val="0"/>
        <w:keepLines w:val="0"/>
        <w:widowControl w:val="0"/>
        <w:suppressLineNumbers w:val="0"/>
        <w:overflowPunct w:val="0"/>
        <w:autoSpaceDE w:val="0"/>
        <w:autoSpaceDN w:val="0"/>
        <w:snapToGrid w:val="0"/>
        <w:spacing w:before="0" w:beforeAutospacing="0" w:after="0" w:afterAutospacing="0" w:line="336" w:lineRule="auto"/>
        <w:ind w:left="0" w:right="0"/>
        <w:jc w:val="center"/>
        <w:textAlignment w:val="bottom"/>
        <w:rPr>
          <w:rFonts w:hint="eastAsia" w:ascii="外交粗仿宋" w:hAnsi="外交粗仿宋" w:eastAsia="外交粗仿宋" w:cs="外交粗仿宋"/>
          <w:b/>
          <w:kern w:val="2"/>
          <w:sz w:val="32"/>
          <w:szCs w:val="32"/>
        </w:rPr>
      </w:pPr>
      <w:r>
        <w:rPr>
          <w:rFonts w:hint="eastAsia" w:ascii="外交粗仿宋" w:hAnsi="外交粗仿宋" w:eastAsia="外交粗仿宋" w:cs="外交粗仿宋"/>
          <w:b/>
          <w:snapToGrid/>
          <w:kern w:val="2"/>
          <w:sz w:val="32"/>
          <w:szCs w:val="32"/>
          <w:lang w:val="en-US" w:eastAsia="zh-CN" w:bidi="ar-SA"/>
        </w:rPr>
        <w:t xml:space="preserve"> </w:t>
      </w:r>
    </w:p>
    <w:p>
      <w:pPr>
        <w:keepNext w:val="0"/>
        <w:keepLines w:val="0"/>
        <w:widowControl w:val="0"/>
        <w:suppressLineNumbers w:val="0"/>
        <w:overflowPunct w:val="0"/>
        <w:autoSpaceDE w:val="0"/>
        <w:autoSpaceDN/>
        <w:snapToGrid w:val="0"/>
        <w:spacing w:before="0" w:beforeAutospacing="0" w:after="0" w:afterAutospacing="0" w:line="336" w:lineRule="auto"/>
        <w:ind w:left="0" w:leftChars="0" w:right="0" w:rightChars="0" w:firstLine="643" w:firstLineChars="200"/>
        <w:jc w:val="both"/>
        <w:textAlignment w:val="bottom"/>
        <w:rPr>
          <w:rFonts w:hint="eastAsia" w:ascii="外交粗仿宋" w:hAnsi="外交粗仿宋" w:eastAsia="外交粗仿宋" w:cs="外交粗仿宋"/>
          <w:b/>
          <w:kern w:val="2"/>
          <w:sz w:val="32"/>
          <w:szCs w:val="32"/>
        </w:rPr>
      </w:pPr>
      <w:r>
        <w:rPr>
          <w:rFonts w:hint="eastAsia" w:ascii="外交粗仿宋" w:hAnsi="外交粗仿宋" w:eastAsia="外交粗仿宋" w:cs="外交粗仿宋"/>
          <w:b/>
          <w:snapToGrid/>
          <w:kern w:val="2"/>
          <w:sz w:val="32"/>
          <w:szCs w:val="32"/>
          <w:lang w:val="en-US" w:eastAsia="zh-CN" w:bidi="ar-SA"/>
        </w:rPr>
        <w:t>对第5条，中国代表团主要有以下意见：</w:t>
      </w:r>
    </w:p>
    <w:p>
      <w:pPr>
        <w:keepNext w:val="0"/>
        <w:keepLines w:val="0"/>
        <w:widowControl w:val="0"/>
        <w:suppressLineNumbers w:val="0"/>
        <w:overflowPunct w:val="0"/>
        <w:autoSpaceDE w:val="0"/>
        <w:autoSpaceDN/>
        <w:snapToGrid w:val="0"/>
        <w:spacing w:before="0" w:beforeAutospacing="0" w:after="0" w:afterAutospacing="0" w:line="336" w:lineRule="auto"/>
        <w:ind w:left="0" w:leftChars="0" w:right="0" w:rightChars="0" w:firstLine="640" w:firstLineChars="200"/>
        <w:jc w:val="both"/>
        <w:textAlignment w:val="bottom"/>
        <w:rPr>
          <w:rFonts w:hint="eastAsia" w:ascii="外交粗仿宋" w:hAnsi="外交粗仿宋" w:eastAsia="外交粗仿宋" w:cs="外交粗仿宋"/>
          <w:b w:val="0"/>
          <w:kern w:val="2"/>
          <w:sz w:val="32"/>
          <w:szCs w:val="32"/>
        </w:rPr>
      </w:pPr>
      <w:r>
        <w:rPr>
          <w:rFonts w:hint="eastAsia" w:ascii="外交粗仿宋" w:hAnsi="外交粗仿宋" w:eastAsia="外交粗仿宋" w:cs="外交粗仿宋"/>
          <w:b w:val="0"/>
          <w:snapToGrid/>
          <w:kern w:val="2"/>
          <w:sz w:val="32"/>
          <w:szCs w:val="32"/>
          <w:lang w:val="en-US" w:eastAsia="zh-CN" w:bidi="ar-SA"/>
        </w:rPr>
        <w:t>第5条在着眼保护受害者的同时，要注意三点：一是体现灵活度和对各国国内法的尊重，不给缔约国施加新的人权义务；二是区分民事案件和刑事案件；三是避免把一些国际社会尚无共识的权利上升为人权。</w:t>
      </w:r>
    </w:p>
    <w:p>
      <w:pPr>
        <w:keepNext w:val="0"/>
        <w:keepLines w:val="0"/>
        <w:widowControl w:val="0"/>
        <w:suppressLineNumbers w:val="0"/>
        <w:overflowPunct w:val="0"/>
        <w:autoSpaceDE w:val="0"/>
        <w:autoSpaceDN/>
        <w:snapToGrid w:val="0"/>
        <w:spacing w:before="0" w:beforeAutospacing="0" w:after="0" w:afterAutospacing="0" w:line="336" w:lineRule="auto"/>
        <w:ind w:left="0" w:leftChars="0" w:right="0" w:rightChars="0" w:firstLine="640" w:firstLineChars="200"/>
        <w:jc w:val="both"/>
        <w:textAlignment w:val="bottom"/>
        <w:rPr>
          <w:rFonts w:hint="eastAsia" w:ascii="外交粗仿宋" w:hAnsi="外交粗仿宋" w:eastAsia="外交粗仿宋" w:cs="外交粗仿宋"/>
          <w:b w:val="0"/>
          <w:kern w:val="2"/>
          <w:sz w:val="32"/>
          <w:szCs w:val="32"/>
        </w:rPr>
      </w:pPr>
      <w:r>
        <w:rPr>
          <w:rFonts w:hint="eastAsia" w:ascii="外交粗仿宋" w:hAnsi="外交粗仿宋" w:eastAsia="外交粗仿宋" w:cs="外交粗仿宋"/>
          <w:b w:val="0"/>
          <w:snapToGrid/>
          <w:kern w:val="2"/>
          <w:sz w:val="32"/>
          <w:szCs w:val="32"/>
          <w:lang w:val="en-US" w:eastAsia="zh-CN" w:bidi="ar-SA"/>
        </w:rPr>
        <w:t>第1款要求缔约国对受害者及其代表、家属、证人的承担保护义务。中方认为这种保护义务应基于各国国内法的规定。一般情况下，各国国内法无法主动保护尚未寻求公力救济的受害者，因此难以满足该条要求缔约国在诉前保护受害者及其代表、家属、证人的规定。</w:t>
      </w:r>
    </w:p>
    <w:p>
      <w:pPr>
        <w:keepNext w:val="0"/>
        <w:keepLines w:val="0"/>
        <w:widowControl w:val="0"/>
        <w:suppressLineNumbers w:val="0"/>
        <w:overflowPunct w:val="0"/>
        <w:autoSpaceDE w:val="0"/>
        <w:autoSpaceDN/>
        <w:snapToGrid w:val="0"/>
        <w:spacing w:before="0" w:beforeAutospacing="0" w:after="0" w:afterAutospacing="0" w:line="336" w:lineRule="auto"/>
        <w:ind w:left="0" w:leftChars="0" w:right="0" w:rightChars="0" w:firstLine="640" w:firstLineChars="200"/>
        <w:jc w:val="both"/>
        <w:textAlignment w:val="bottom"/>
        <w:rPr>
          <w:rFonts w:hint="eastAsia" w:ascii="外交粗仿宋" w:hAnsi="外交粗仿宋" w:eastAsia="外交粗仿宋" w:cs="外交粗仿宋"/>
          <w:b w:val="0"/>
          <w:kern w:val="2"/>
          <w:sz w:val="32"/>
          <w:szCs w:val="32"/>
        </w:rPr>
      </w:pPr>
      <w:r>
        <w:rPr>
          <w:rFonts w:hint="eastAsia" w:ascii="外交粗仿宋" w:hAnsi="外交粗仿宋" w:eastAsia="外交粗仿宋" w:cs="外交粗仿宋"/>
          <w:b w:val="0"/>
          <w:snapToGrid/>
          <w:kern w:val="2"/>
          <w:sz w:val="32"/>
          <w:szCs w:val="32"/>
          <w:lang w:val="en-US" w:eastAsia="zh-CN" w:bidi="ar-SA"/>
        </w:rPr>
        <w:t>第2款没有必要单独提及“环境”。正如中方在对第1条的评论中指出的，环境权不是一项独立的人权。法律文书要区分环境保护义务和人权保护义务：因跨国公司未能提供安全、适当的劳动健康环境条件而对劳工或其他受害人人身或精神造成损害的，纳入人权保护范畴；因跨国公司行为对外部环境造成损害需要进行环境恢复的，赢纳入环境保护范畴而非人权保护范畴。此外，该款目前仅规定缔约国对人权组织的保护义务，却未规定人权组织应负的义务，例如尊重法律，透明等。为体现公平性和权利义务的统一，建议对人权组织的义务做出相应的规定。</w:t>
      </w:r>
    </w:p>
    <w:p>
      <w:pPr>
        <w:keepNext w:val="0"/>
        <w:keepLines w:val="0"/>
        <w:widowControl w:val="0"/>
        <w:suppressLineNumbers w:val="0"/>
        <w:overflowPunct w:val="0"/>
        <w:autoSpaceDE w:val="0"/>
        <w:autoSpaceDN/>
        <w:snapToGrid w:val="0"/>
        <w:spacing w:before="0" w:beforeAutospacing="0" w:after="0" w:afterAutospacing="0" w:line="336" w:lineRule="auto"/>
        <w:ind w:left="0" w:leftChars="0" w:right="0" w:rightChars="0" w:firstLine="640" w:firstLineChars="200"/>
        <w:jc w:val="both"/>
        <w:textAlignment w:val="bottom"/>
        <w:rPr>
          <w:rFonts w:hint="eastAsia" w:ascii="外交粗仿宋" w:hAnsi="外交粗仿宋" w:eastAsia="外交粗仿宋" w:cs="外交粗仿宋"/>
          <w:b w:val="0"/>
          <w:kern w:val="2"/>
          <w:sz w:val="32"/>
          <w:szCs w:val="32"/>
        </w:rPr>
      </w:pPr>
      <w:r>
        <w:rPr>
          <w:rFonts w:hint="eastAsia" w:ascii="外交粗仿宋" w:hAnsi="外交粗仿宋" w:eastAsia="外交粗仿宋" w:cs="外交粗仿宋"/>
          <w:b w:val="0"/>
          <w:snapToGrid/>
          <w:kern w:val="2"/>
          <w:sz w:val="32"/>
          <w:szCs w:val="32"/>
          <w:lang w:val="en-US" w:eastAsia="zh-CN" w:bidi="ar-SA"/>
        </w:rPr>
        <w:t>第3款未区分刑事和民事案件，对于民事案件，国家一般不负有调查义务。该款中使用的“采取行动”一词含义模糊，中方希望澄清是何种行动。</w:t>
      </w:r>
    </w:p>
    <w:p>
      <w:pPr>
        <w:keepNext w:val="0"/>
        <w:keepLines w:val="0"/>
        <w:widowControl w:val="0"/>
        <w:suppressLineNumbers w:val="0"/>
        <w:overflowPunct w:val="0"/>
        <w:autoSpaceDE w:val="0"/>
        <w:autoSpaceDN/>
        <w:snapToGrid w:val="0"/>
        <w:spacing w:before="0" w:beforeAutospacing="0" w:after="0" w:afterAutospacing="0" w:line="336" w:lineRule="auto"/>
        <w:ind w:left="0" w:leftChars="0" w:right="0" w:rightChars="0" w:firstLine="643" w:firstLineChars="200"/>
        <w:jc w:val="both"/>
        <w:textAlignment w:val="bottom"/>
        <w:rPr>
          <w:rFonts w:hint="eastAsia" w:ascii="外交粗仿宋" w:hAnsi="外交粗仿宋" w:eastAsia="外交粗仿宋" w:cs="外交粗仿宋"/>
          <w:b/>
          <w:kern w:val="2"/>
          <w:sz w:val="32"/>
          <w:szCs w:val="32"/>
        </w:rPr>
      </w:pPr>
      <w:r>
        <w:rPr>
          <w:rFonts w:hint="eastAsia" w:ascii="外交粗仿宋" w:hAnsi="外交粗仿宋" w:eastAsia="外交粗仿宋" w:cs="外交粗仿宋"/>
          <w:b/>
          <w:snapToGrid/>
          <w:kern w:val="2"/>
          <w:sz w:val="32"/>
          <w:szCs w:val="32"/>
          <w:lang w:val="en-US" w:eastAsia="zh-CN" w:bidi="ar-SA"/>
        </w:rPr>
        <w:t>对第6条，中国代表团主要有以下意见：</w:t>
      </w:r>
    </w:p>
    <w:p>
      <w:pPr>
        <w:keepNext w:val="0"/>
        <w:keepLines w:val="0"/>
        <w:widowControl w:val="0"/>
        <w:suppressLineNumbers w:val="0"/>
        <w:overflowPunct w:val="0"/>
        <w:autoSpaceDE w:val="0"/>
        <w:autoSpaceDN/>
        <w:snapToGrid w:val="0"/>
        <w:spacing w:before="0" w:beforeAutospacing="0" w:after="0" w:afterAutospacing="0" w:line="336" w:lineRule="auto"/>
        <w:ind w:left="0" w:leftChars="0" w:right="0" w:rightChars="0" w:firstLine="640" w:firstLineChars="200"/>
        <w:jc w:val="both"/>
        <w:textAlignment w:val="bottom"/>
        <w:rPr>
          <w:rFonts w:hint="eastAsia" w:ascii="外交粗仿宋" w:hAnsi="外交粗仿宋" w:eastAsia="外交粗仿宋" w:cs="外交粗仿宋"/>
          <w:b w:val="0"/>
          <w:kern w:val="2"/>
          <w:sz w:val="32"/>
          <w:szCs w:val="32"/>
        </w:rPr>
      </w:pPr>
      <w:r>
        <w:rPr>
          <w:rFonts w:hint="eastAsia" w:ascii="外交粗仿宋" w:hAnsi="外交粗仿宋" w:eastAsia="外交粗仿宋" w:cs="外交粗仿宋"/>
          <w:b w:val="0"/>
          <w:snapToGrid/>
          <w:kern w:val="2"/>
          <w:sz w:val="32"/>
          <w:szCs w:val="32"/>
          <w:lang w:val="en-US" w:eastAsia="zh-CN" w:bidi="ar-SA"/>
        </w:rPr>
        <w:t>“预防”条款对企业尽责义务的规定应当充分参考《联合国工商业和人权指导原则》，不对企业在尽责义务方面提出过高的要求，不给企业增加不成比例的负担，不为国家创设新的人权义务，特别是要避免违背公司法人责任独立原则，要求企业为其商业伙伴侵犯人权行为承担尽责义务。</w:t>
      </w:r>
    </w:p>
    <w:p>
      <w:pPr>
        <w:keepNext w:val="0"/>
        <w:keepLines w:val="0"/>
        <w:widowControl w:val="0"/>
        <w:suppressLineNumbers w:val="0"/>
        <w:overflowPunct w:val="0"/>
        <w:autoSpaceDE w:val="0"/>
        <w:autoSpaceDN/>
        <w:snapToGrid w:val="0"/>
        <w:spacing w:before="0" w:beforeAutospacing="0" w:after="0" w:afterAutospacing="0" w:line="336" w:lineRule="auto"/>
        <w:ind w:left="0" w:leftChars="0" w:right="0" w:rightChars="0" w:firstLine="640" w:firstLineChars="200"/>
        <w:jc w:val="both"/>
        <w:textAlignment w:val="bottom"/>
        <w:rPr>
          <w:rFonts w:hint="eastAsia" w:ascii="外交粗仿宋" w:hAnsi="外交粗仿宋" w:eastAsia="外交粗仿宋" w:cs="外交粗仿宋"/>
          <w:b w:val="0"/>
          <w:kern w:val="2"/>
          <w:sz w:val="32"/>
          <w:szCs w:val="32"/>
        </w:rPr>
      </w:pPr>
      <w:r>
        <w:rPr>
          <w:rFonts w:hint="eastAsia" w:ascii="外交粗仿宋" w:hAnsi="外交粗仿宋" w:eastAsia="外交粗仿宋" w:cs="外交粗仿宋"/>
          <w:b w:val="0"/>
          <w:snapToGrid/>
          <w:kern w:val="2"/>
          <w:sz w:val="32"/>
          <w:szCs w:val="32"/>
          <w:lang w:val="en-US" w:eastAsia="zh-CN" w:bidi="ar-SA"/>
        </w:rPr>
        <w:t>第1款将缔约国应予规范的工商企业的范围扩大至“在其控制下从事跨国经营活动的工商企业”。中方认为，“控制”一词的具体含义需要澄清，目前这种模糊的措辞可能导致要求企业监督其商业伙伴的侵犯人权行为，并使其受到东道国和母国的双重监管。这将给企业的正常生产经营带来沉重负担和很大不确定性。</w:t>
      </w:r>
    </w:p>
    <w:p>
      <w:pPr>
        <w:keepNext w:val="0"/>
        <w:keepLines w:val="0"/>
        <w:widowControl w:val="0"/>
        <w:suppressLineNumbers w:val="0"/>
        <w:overflowPunct w:val="0"/>
        <w:autoSpaceDE w:val="0"/>
        <w:autoSpaceDN/>
        <w:snapToGrid w:val="0"/>
        <w:spacing w:before="0" w:beforeAutospacing="0" w:after="0" w:afterAutospacing="0" w:line="336" w:lineRule="auto"/>
        <w:ind w:left="0" w:leftChars="0" w:right="0" w:rightChars="0" w:firstLine="640" w:firstLineChars="200"/>
        <w:jc w:val="both"/>
        <w:textAlignment w:val="bottom"/>
        <w:rPr>
          <w:rFonts w:hint="eastAsia" w:ascii="外交粗仿宋" w:hAnsi="外交粗仿宋" w:eastAsia="外交粗仿宋" w:cs="外交粗仿宋"/>
          <w:b w:val="0"/>
          <w:kern w:val="2"/>
          <w:sz w:val="32"/>
          <w:szCs w:val="32"/>
        </w:rPr>
      </w:pPr>
      <w:r>
        <w:rPr>
          <w:rFonts w:hint="eastAsia" w:ascii="外交粗仿宋" w:hAnsi="外交粗仿宋" w:eastAsia="外交粗仿宋" w:cs="外交粗仿宋"/>
          <w:b w:val="0"/>
          <w:snapToGrid/>
          <w:kern w:val="2"/>
          <w:sz w:val="32"/>
          <w:szCs w:val="32"/>
          <w:lang w:val="en-US" w:eastAsia="zh-CN" w:bidi="ar-SA"/>
        </w:rPr>
        <w:t>第3款e项要求企业披露的信息范围过宽，特别是要求披露“有关集团结构和供应商的信息”，对非上市公司来说要求过高。中方认为，信息披露的重点应为本企业的情况，并充分考虑不同企业在这方面不同的现实条件。</w:t>
      </w:r>
    </w:p>
    <w:p>
      <w:pPr>
        <w:keepNext w:val="0"/>
        <w:keepLines w:val="0"/>
        <w:widowControl w:val="0"/>
        <w:suppressLineNumbers w:val="0"/>
        <w:overflowPunct w:val="0"/>
        <w:autoSpaceDE w:val="0"/>
        <w:autoSpaceDN/>
        <w:snapToGrid w:val="0"/>
        <w:spacing w:before="0" w:beforeAutospacing="0" w:after="0" w:afterAutospacing="0" w:line="336" w:lineRule="auto"/>
        <w:ind w:left="0" w:leftChars="0" w:right="0" w:rightChars="0" w:firstLine="640" w:firstLineChars="200"/>
        <w:jc w:val="both"/>
        <w:textAlignment w:val="bottom"/>
        <w:rPr>
          <w:rFonts w:hint="eastAsia" w:ascii="外交粗仿宋" w:hAnsi="外交粗仿宋" w:eastAsia="外交粗仿宋" w:cs="外交粗仿宋"/>
          <w:b w:val="0"/>
          <w:kern w:val="2"/>
          <w:sz w:val="32"/>
          <w:szCs w:val="32"/>
        </w:rPr>
      </w:pPr>
      <w:r>
        <w:rPr>
          <w:rFonts w:hint="eastAsia" w:ascii="外交粗仿宋" w:hAnsi="外交粗仿宋" w:eastAsia="外交粗仿宋" w:cs="外交粗仿宋"/>
          <w:b w:val="0"/>
          <w:snapToGrid/>
          <w:kern w:val="2"/>
          <w:sz w:val="32"/>
          <w:szCs w:val="32"/>
          <w:lang w:val="en-US" w:eastAsia="zh-CN" w:bidi="ar-SA"/>
        </w:rPr>
        <w:t>第4款删去了“避免给企业造成不必要的额外负担”等表述，中方对此感到困惑。中方认为，在要求企业履行尽责义务的同时，确保不给企业造成不必要的额外负担是保护企业合法权益、实现发展权的重要前提。</w:t>
      </w:r>
    </w:p>
    <w:p>
      <w:pPr>
        <w:keepNext w:val="0"/>
        <w:keepLines w:val="0"/>
        <w:widowControl w:val="0"/>
        <w:suppressLineNumbers w:val="0"/>
        <w:overflowPunct w:val="0"/>
        <w:autoSpaceDE w:val="0"/>
        <w:autoSpaceDN/>
        <w:snapToGrid w:val="0"/>
        <w:spacing w:before="0" w:beforeAutospacing="0" w:after="0" w:afterAutospacing="0" w:line="336" w:lineRule="auto"/>
        <w:ind w:left="0" w:leftChars="0" w:right="0" w:rightChars="0" w:firstLine="643" w:firstLineChars="200"/>
        <w:jc w:val="both"/>
        <w:textAlignment w:val="bottom"/>
        <w:rPr>
          <w:rFonts w:hint="eastAsia" w:ascii="外交粗仿宋" w:hAnsi="外交粗仿宋" w:eastAsia="外交粗仿宋" w:cs="外交粗仿宋"/>
          <w:b/>
          <w:kern w:val="2"/>
          <w:sz w:val="32"/>
          <w:szCs w:val="32"/>
        </w:rPr>
      </w:pPr>
      <w:r>
        <w:rPr>
          <w:rFonts w:hint="eastAsia" w:ascii="外交粗仿宋" w:hAnsi="外交粗仿宋" w:eastAsia="外交粗仿宋" w:cs="外交粗仿宋"/>
          <w:b/>
          <w:snapToGrid/>
          <w:kern w:val="2"/>
          <w:sz w:val="32"/>
          <w:szCs w:val="32"/>
          <w:lang w:val="en-US" w:eastAsia="zh-CN" w:bidi="ar-SA"/>
        </w:rPr>
        <w:t>对第7条，中国代表团主要有以下意见：</w:t>
      </w:r>
    </w:p>
    <w:p>
      <w:pPr>
        <w:keepNext w:val="0"/>
        <w:keepLines w:val="0"/>
        <w:widowControl w:val="0"/>
        <w:suppressLineNumbers w:val="0"/>
        <w:overflowPunct w:val="0"/>
        <w:autoSpaceDE w:val="0"/>
        <w:autoSpaceDN/>
        <w:snapToGrid w:val="0"/>
        <w:spacing w:before="0" w:beforeAutospacing="0" w:after="0" w:afterAutospacing="0" w:line="336" w:lineRule="auto"/>
        <w:ind w:left="0" w:leftChars="0" w:right="0" w:rightChars="0" w:firstLine="640" w:firstLineChars="200"/>
        <w:jc w:val="both"/>
        <w:textAlignment w:val="bottom"/>
        <w:rPr>
          <w:rFonts w:hint="eastAsia" w:ascii="Times New Roman" w:hAnsi="Times New Roman" w:eastAsia="外交粗仿宋" w:cs="Times New Roman"/>
          <w:b w:val="0"/>
          <w:kern w:val="2"/>
          <w:sz w:val="32"/>
          <w:szCs w:val="32"/>
        </w:rPr>
      </w:pPr>
      <w:r>
        <w:rPr>
          <w:rFonts w:hint="default" w:ascii="Times New Roman" w:hAnsi="Times New Roman" w:eastAsia="外交粗仿宋" w:cs="Times New Roman"/>
          <w:b w:val="0"/>
          <w:snapToGrid/>
          <w:kern w:val="2"/>
          <w:sz w:val="32"/>
          <w:szCs w:val="32"/>
          <w:lang w:val="en-US" w:eastAsia="zh-CN" w:bidi="ar-SA"/>
        </w:rPr>
        <w:t>“</w:t>
      </w:r>
      <w:r>
        <w:rPr>
          <w:rFonts w:hint="eastAsia" w:ascii="Times New Roman" w:hAnsi="Times New Roman" w:eastAsia="外交粗仿宋" w:cs="Times New Roman"/>
          <w:b w:val="0"/>
          <w:snapToGrid/>
          <w:kern w:val="2"/>
          <w:sz w:val="32"/>
          <w:szCs w:val="32"/>
          <w:lang w:val="en-US" w:eastAsia="zh-CN" w:bidi="ar-SA"/>
        </w:rPr>
        <w:t>获得补救</w:t>
      </w:r>
      <w:r>
        <w:rPr>
          <w:rFonts w:hint="default" w:ascii="Times New Roman" w:hAnsi="Times New Roman" w:eastAsia="外交粗仿宋" w:cs="Times New Roman"/>
          <w:b w:val="0"/>
          <w:snapToGrid/>
          <w:kern w:val="2"/>
          <w:sz w:val="32"/>
          <w:szCs w:val="32"/>
          <w:lang w:val="en-US" w:eastAsia="zh-CN" w:bidi="ar-SA"/>
        </w:rPr>
        <w:t>”</w:t>
      </w:r>
      <w:r>
        <w:rPr>
          <w:rFonts w:hint="eastAsia" w:ascii="外交粗仿宋" w:hAnsi="外交粗仿宋" w:eastAsia="外交粗仿宋" w:cs="外交粗仿宋"/>
          <w:b w:val="0"/>
          <w:snapToGrid/>
          <w:kern w:val="2"/>
          <w:sz w:val="32"/>
          <w:szCs w:val="32"/>
          <w:lang w:val="en-US" w:eastAsia="zh-CN" w:bidi="ar-SA"/>
        </w:rPr>
        <w:t>属于程序规则。从各国国内法看，诉讼程序的一个基本原则是程序规则依法院地法确定。由于各国的诉讼程序各不相同，很多体现了本国国情，想用一个条款予以统一很不现实。</w:t>
      </w:r>
      <w:r>
        <w:rPr>
          <w:rFonts w:hint="eastAsia" w:ascii="Times New Roman" w:hAnsi="Times New Roman" w:eastAsia="外交粗仿宋" w:cs="Times New Roman"/>
          <w:b w:val="0"/>
          <w:snapToGrid/>
          <w:kern w:val="2"/>
          <w:sz w:val="32"/>
          <w:szCs w:val="32"/>
          <w:lang w:val="en-US" w:eastAsia="zh-CN" w:bidi="ar-SA"/>
        </w:rPr>
        <w:t>目前的案文有的是简单重复各国国内法的程序保障规定，有的则过于激进，如第</w:t>
      </w:r>
      <w:r>
        <w:rPr>
          <w:rFonts w:hint="default" w:ascii="Times New Roman" w:hAnsi="Times New Roman" w:eastAsia="外交粗仿宋" w:cs="Times New Roman"/>
          <w:b w:val="0"/>
          <w:snapToGrid/>
          <w:kern w:val="2"/>
          <w:sz w:val="32"/>
          <w:szCs w:val="32"/>
          <w:lang w:val="en-US" w:eastAsia="zh-CN" w:bidi="ar-SA"/>
        </w:rPr>
        <w:t>5</w:t>
      </w:r>
      <w:r>
        <w:rPr>
          <w:rFonts w:hint="eastAsia" w:ascii="外交粗仿宋" w:hAnsi="外交粗仿宋" w:eastAsia="外交粗仿宋" w:cs="外交粗仿宋"/>
          <w:b w:val="0"/>
          <w:snapToGrid/>
          <w:kern w:val="2"/>
          <w:sz w:val="32"/>
          <w:szCs w:val="32"/>
          <w:lang w:val="en-US" w:eastAsia="zh-CN" w:bidi="ar-SA"/>
        </w:rPr>
        <w:t>款剥夺缔约国适用“不方便法院”原则的权利，第6款要求的举证责任倒置，第7款要求的承担判决或裁决等，</w:t>
      </w:r>
      <w:r>
        <w:rPr>
          <w:rFonts w:hint="eastAsia" w:ascii="Times New Roman" w:hAnsi="Times New Roman" w:eastAsia="外交粗仿宋" w:cs="Times New Roman"/>
          <w:b w:val="0"/>
          <w:snapToGrid/>
          <w:kern w:val="2"/>
          <w:sz w:val="32"/>
          <w:szCs w:val="32"/>
          <w:lang w:val="en-US" w:eastAsia="zh-CN" w:bidi="ar-SA"/>
        </w:rPr>
        <w:t>与很多国家的国内法正面冲突，很难得到普遍接受。</w:t>
      </w:r>
    </w:p>
    <w:p>
      <w:pPr>
        <w:keepNext w:val="0"/>
        <w:keepLines w:val="0"/>
        <w:widowControl w:val="0"/>
        <w:suppressLineNumbers w:val="0"/>
        <w:overflowPunct w:val="0"/>
        <w:autoSpaceDE w:val="0"/>
        <w:autoSpaceDN/>
        <w:snapToGrid w:val="0"/>
        <w:spacing w:before="0" w:beforeAutospacing="0" w:after="0" w:afterAutospacing="0" w:line="336" w:lineRule="auto"/>
        <w:ind w:left="0" w:leftChars="0" w:right="0" w:rightChars="0" w:firstLine="640" w:firstLineChars="200"/>
        <w:jc w:val="both"/>
        <w:textAlignment w:val="bottom"/>
        <w:rPr>
          <w:rFonts w:hint="eastAsia" w:ascii="Times New Roman" w:hAnsi="Times New Roman" w:eastAsia="外交粗仿宋" w:cs="Times New Roman"/>
          <w:b w:val="0"/>
          <w:kern w:val="2"/>
          <w:sz w:val="32"/>
          <w:szCs w:val="32"/>
        </w:rPr>
      </w:pPr>
      <w:r>
        <w:rPr>
          <w:rFonts w:hint="eastAsia" w:ascii="外交粗仿宋" w:hAnsi="外交粗仿宋" w:eastAsia="外交粗仿宋" w:cs="外交粗仿宋"/>
          <w:b w:val="0"/>
          <w:snapToGrid/>
          <w:kern w:val="2"/>
          <w:sz w:val="32"/>
          <w:szCs w:val="32"/>
          <w:lang w:val="en-US" w:eastAsia="zh-CN" w:bidi="ar-SA"/>
        </w:rPr>
        <w:t>我们建议本条仅重申国家确保受害者“获得补救”的一般义务，不对具体的诉讼程序做出详细规定，而是由各国依据本国国内法和相关国际法处理</w:t>
      </w:r>
      <w:r>
        <w:rPr>
          <w:rFonts w:hint="eastAsia" w:ascii="Times New Roman" w:hAnsi="Times New Roman" w:eastAsia="外交粗仿宋" w:cs="Times New Roman"/>
          <w:b w:val="0"/>
          <w:snapToGrid/>
          <w:kern w:val="2"/>
          <w:sz w:val="32"/>
          <w:szCs w:val="32"/>
          <w:lang w:val="en-US" w:eastAsia="zh-CN" w:bidi="ar-SA"/>
        </w:rPr>
        <w:t>。</w:t>
      </w:r>
    </w:p>
    <w:p>
      <w:pPr>
        <w:keepNext w:val="0"/>
        <w:keepLines w:val="0"/>
        <w:widowControl w:val="0"/>
        <w:suppressLineNumbers w:val="0"/>
        <w:overflowPunct w:val="0"/>
        <w:autoSpaceDE w:val="0"/>
        <w:autoSpaceDN w:val="0"/>
        <w:snapToGrid w:val="0"/>
        <w:spacing w:before="0" w:beforeAutospacing="0" w:after="0" w:afterAutospacing="0" w:line="336" w:lineRule="auto"/>
        <w:ind w:left="0" w:right="0"/>
        <w:jc w:val="both"/>
        <w:textAlignment w:val="bottom"/>
        <w:rPr>
          <w:rFonts w:hint="eastAsia" w:ascii="外交粗仿宋" w:hAnsi="外交粗仿宋" w:eastAsia="外交粗仿宋" w:cs="外交粗仿宋"/>
          <w:b w:val="0"/>
          <w:sz w:val="32"/>
          <w:szCs w:val="32"/>
        </w:rPr>
      </w:pPr>
      <w:r>
        <w:rPr>
          <w:rFonts w:hint="eastAsia" w:ascii="外交粗仿宋" w:hAnsi="外交粗仿宋" w:eastAsia="外交粗仿宋" w:cs="外交粗仿宋"/>
          <w:b w:val="0"/>
          <w:snapToGrid/>
          <w:kern w:val="0"/>
          <w:sz w:val="32"/>
          <w:szCs w:val="32"/>
          <w:lang w:val="en-US" w:eastAsia="zh-CN" w:bidi="ar-SA"/>
        </w:rPr>
        <w:t xml:space="preserve">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Times_New_Roman">
    <w:altName w:val="Times New Roman"/>
    <w:panose1 w:val="02020603050405020304"/>
    <w:charset w:val="00"/>
    <w:family w:val="roman"/>
    <w:pitch w:val="default"/>
    <w:sig w:usb0="00000000" w:usb1="00000000" w:usb2="00000008" w:usb3="00000000" w:csb0="400001FF" w:csb1="FFFF0000"/>
  </w:font>
  <w:font w:name="外交粗仿宋">
    <w:altName w:val="仿宋"/>
    <w:panose1 w:val="03000509000000000000"/>
    <w:charset w:val="86"/>
    <w:family w:val="script"/>
    <w:pitch w:val="default"/>
    <w:sig w:usb0="00000000" w:usb1="00000000" w:usb2="00000000" w:usb3="00000000" w:csb0="00040000" w:csb1="00000000"/>
  </w:font>
  <w:font w:name="外交小标宋">
    <w:altName w:val="宋体"/>
    <w:panose1 w:val="03000509000000000000"/>
    <w:charset w:val="86"/>
    <w:family w:val="script"/>
    <w:pitch w:val="default"/>
    <w:sig w:usb0="00000000" w:usb1="00000000" w:usb2="00000000" w:usb3="00000000" w:csb0="00040000" w:csb1="00000000"/>
  </w:font>
  <w:font w:name="外交黑体">
    <w:altName w:val="黑体"/>
    <w:panose1 w:val="03000509000000000000"/>
    <w:charset w:val="86"/>
    <w:family w:val="script"/>
    <w:pitch w:val="default"/>
    <w:sig w:usb0="00000000" w:usb1="00000000" w:usb2="00000000" w:usb3="00000000" w:csb0="00040000" w:csb1="00000000"/>
  </w:font>
  <w:font w:name="CenturionOld">
    <w:altName w:val="Courier New"/>
    <w:panose1 w:val="020B7200000000000000"/>
    <w:charset w:val="00"/>
    <w:family w:val="swiss"/>
    <w:pitch w:val="default"/>
    <w:sig w:usb0="00000000" w:usb1="00000000" w:usb2="00000000" w:usb3="00000000" w:csb0="0000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BD56967"/>
    <w:rsid w:val="0BD56967"/>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overflowPunct w:val="0"/>
      <w:autoSpaceDE w:val="0"/>
      <w:autoSpaceDN w:val="0"/>
      <w:snapToGrid w:val="0"/>
      <w:spacing w:line="336" w:lineRule="auto"/>
      <w:jc w:val="both"/>
      <w:textAlignment w:val="bottom"/>
    </w:pPr>
    <w:rPr>
      <w:rFonts w:ascii="Times_New_Roman" w:hAnsi="Times_New_Roman" w:eastAsia="外交粗仿宋"/>
      <w:sz w:val="32"/>
      <w:szCs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4.xml"/><Relationship Id="rId3" Type="http://schemas.openxmlformats.org/officeDocument/2006/relationships/theme" Target="theme/theme1.xml"/><Relationship Id="rId7"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2.xml"/><Relationship Id="rId5" Type="http://schemas.openxmlformats.org/officeDocument/2006/relationships/fontTable" Target="fontTable.xml"/><Relationship Id="rId4"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F2E8A54-4176-455B-9E39-302AEFA7EC3A}"/>
</file>

<file path=customXml/itemProps3.xml><?xml version="1.0" encoding="utf-8"?>
<ds:datastoreItem xmlns:ds="http://schemas.openxmlformats.org/officeDocument/2006/customXml" ds:itemID="{50A92BCD-EB08-4C85-A11B-17CF81B12511}"/>
</file>

<file path=customXml/itemProps4.xml><?xml version="1.0" encoding="utf-8"?>
<ds:datastoreItem xmlns:ds="http://schemas.openxmlformats.org/officeDocument/2006/customXml" ds:itemID="{3CAF026D-B3AC-4C0D-9515-4A346230050F}"/>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Office_10.8.0.6058_F1E327BC-269C-435d-A152-05C5408002CA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对第5、6、7条的评论</dc:title>
  <dc:creator>wjb</dc:creator>
  <cp:lastModifiedBy>wjb</cp:lastModifiedBy>
  <cp:revision>1</cp:revision>
  <dcterms:created xsi:type="dcterms:W3CDTF">2020-11-03T08:22:00Z</dcterms:created>
  <dcterms:modified xsi:type="dcterms:W3CDTF">2020-11-03T08:22:35Z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y fmtid="{D5CDD505-2E9C-101B-9397-08002B2CF9AE}" pid="3" name="ContentTypeId">
    <vt:lpwstr>0x0101008822B9E06671B54FA89F14538B9B0FEA</vt:lpwstr>
  </property>
</Properties>
</file>