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0F" w:rsidRPr="003A480F" w:rsidRDefault="003A480F" w:rsidP="003A480F">
      <w:pPr>
        <w:spacing w:line="240" w:lineRule="auto"/>
        <w:jc w:val="center"/>
        <w:rPr>
          <w:rFonts w:ascii="Times New Roman" w:eastAsia="Times New Roman" w:hAnsi="Times New Roman" w:cs="Times New Roman"/>
          <w:sz w:val="24"/>
          <w:szCs w:val="24"/>
        </w:rPr>
      </w:pPr>
      <w:bookmarkStart w:id="0" w:name="_GoBack"/>
      <w:bookmarkEnd w:id="0"/>
      <w:r w:rsidRPr="003A480F">
        <w:rPr>
          <w:rFonts w:ascii="Calibri" w:eastAsia="Times New Roman" w:hAnsi="Calibri" w:cs="Calibri"/>
          <w:color w:val="000000"/>
          <w:sz w:val="24"/>
          <w:szCs w:val="24"/>
        </w:rPr>
        <w:t>Open-ended intergovernmental working group on transnational corporations and other business enterprises with respect to human rights</w:t>
      </w:r>
    </w:p>
    <w:p w:rsidR="003A480F" w:rsidRPr="003A480F" w:rsidRDefault="003A480F" w:rsidP="003A480F">
      <w:pPr>
        <w:spacing w:line="240" w:lineRule="auto"/>
        <w:jc w:val="center"/>
        <w:rPr>
          <w:rFonts w:ascii="Times New Roman" w:eastAsia="Times New Roman" w:hAnsi="Times New Roman" w:cs="Times New Roman"/>
          <w:sz w:val="24"/>
          <w:szCs w:val="24"/>
        </w:rPr>
      </w:pPr>
      <w:r w:rsidRPr="003A480F">
        <w:rPr>
          <w:rFonts w:ascii="Calibri" w:eastAsia="Times New Roman" w:hAnsi="Calibri" w:cs="Calibri"/>
          <w:i/>
          <w:iCs/>
          <w:color w:val="000000"/>
          <w:sz w:val="24"/>
          <w:szCs w:val="24"/>
        </w:rPr>
        <w:t>Sixth session (26-30 October 2020)</w:t>
      </w:r>
    </w:p>
    <w:p w:rsidR="003A480F" w:rsidRPr="003A480F" w:rsidRDefault="003A480F" w:rsidP="003A480F">
      <w:pPr>
        <w:spacing w:line="240" w:lineRule="auto"/>
        <w:jc w:val="center"/>
        <w:rPr>
          <w:rFonts w:ascii="Times New Roman" w:eastAsia="Times New Roman" w:hAnsi="Times New Roman" w:cs="Times New Roman"/>
          <w:sz w:val="24"/>
          <w:szCs w:val="24"/>
        </w:rPr>
      </w:pPr>
      <w:r w:rsidRPr="003A480F">
        <w:rPr>
          <w:rFonts w:ascii="Calibri" w:eastAsia="Times New Roman" w:hAnsi="Calibri" w:cs="Calibri"/>
          <w:i/>
          <w:iCs/>
          <w:color w:val="000000"/>
          <w:sz w:val="24"/>
          <w:szCs w:val="24"/>
        </w:rPr>
        <w:t>Item 4: Article 9. Adjudicative jurisdiction, Article 10. Statute of limitations, Article 11. Applicable law</w:t>
      </w:r>
    </w:p>
    <w:p w:rsidR="003A480F" w:rsidRPr="003A480F" w:rsidRDefault="003A480F" w:rsidP="003A480F">
      <w:pPr>
        <w:spacing w:after="0" w:line="240" w:lineRule="auto"/>
        <w:rPr>
          <w:rFonts w:ascii="Times New Roman" w:eastAsia="Times New Roman" w:hAnsi="Times New Roman" w:cs="Times New Roman"/>
          <w:sz w:val="24"/>
          <w:szCs w:val="24"/>
        </w:rPr>
      </w:pPr>
      <w:r w:rsidRPr="003A480F">
        <w:rPr>
          <w:rFonts w:ascii="Calibri" w:eastAsia="Times New Roman" w:hAnsi="Calibri" w:cs="Calibri"/>
          <w:b/>
          <w:bCs/>
          <w:color w:val="000000"/>
          <w:sz w:val="24"/>
          <w:szCs w:val="24"/>
        </w:rPr>
        <w:t>WEDNESDAY 28 OCTOBER</w:t>
      </w:r>
    </w:p>
    <w:p w:rsidR="003A480F" w:rsidRPr="003A480F" w:rsidRDefault="003A480F" w:rsidP="003A480F">
      <w:pPr>
        <w:spacing w:after="0" w:line="240" w:lineRule="auto"/>
        <w:rPr>
          <w:rFonts w:ascii="Times New Roman" w:eastAsia="Times New Roman" w:hAnsi="Times New Roman" w:cs="Times New Roman"/>
          <w:sz w:val="24"/>
          <w:szCs w:val="24"/>
        </w:rPr>
      </w:pPr>
      <w:r w:rsidRPr="003A480F">
        <w:rPr>
          <w:rFonts w:ascii="Calibri" w:eastAsia="Times New Roman" w:hAnsi="Calibri" w:cs="Calibri"/>
          <w:b/>
          <w:bCs/>
          <w:color w:val="000000"/>
          <w:sz w:val="24"/>
          <w:szCs w:val="24"/>
        </w:rPr>
        <w:t>AFTERNOON: Article 9. Adjudicative jurisdiction, Article 10. Statute of limitations, Article 11. Applicable law</w:t>
      </w:r>
    </w:p>
    <w:p w:rsidR="003A480F" w:rsidRPr="003A480F" w:rsidRDefault="003A480F" w:rsidP="003A480F">
      <w:pPr>
        <w:spacing w:after="0" w:line="240" w:lineRule="auto"/>
        <w:rPr>
          <w:rFonts w:ascii="Times New Roman" w:eastAsia="Times New Roman" w:hAnsi="Times New Roman" w:cs="Times New Roman"/>
          <w:sz w:val="24"/>
          <w:szCs w:val="24"/>
        </w:rPr>
      </w:pPr>
    </w:p>
    <w:p w:rsidR="003A480F" w:rsidRPr="003A480F" w:rsidRDefault="003A480F" w:rsidP="003A480F">
      <w:pPr>
        <w:spacing w:after="0" w:line="240" w:lineRule="auto"/>
        <w:rPr>
          <w:rFonts w:ascii="Times New Roman" w:eastAsia="Times New Roman" w:hAnsi="Times New Roman" w:cs="Times New Roman"/>
          <w:sz w:val="24"/>
          <w:szCs w:val="24"/>
        </w:rPr>
      </w:pPr>
      <w:r w:rsidRPr="003A480F">
        <w:rPr>
          <w:rFonts w:ascii="Calibri" w:eastAsia="Times New Roman" w:hAnsi="Calibri" w:cs="Calibri"/>
          <w:b/>
          <w:bCs/>
          <w:color w:val="000000"/>
          <w:sz w:val="24"/>
          <w:szCs w:val="24"/>
        </w:rPr>
        <w:t>NGO WITH ECOSOC STATUS REGISTERING AND DELIVERING THE STATEMENT: Ayushi Kalyan, FIAN</w:t>
      </w:r>
      <w:r>
        <w:rPr>
          <w:rFonts w:ascii="Calibri" w:eastAsia="Times New Roman" w:hAnsi="Calibri" w:cs="Calibri"/>
          <w:b/>
          <w:bCs/>
          <w:color w:val="000000"/>
          <w:sz w:val="24"/>
          <w:szCs w:val="24"/>
        </w:rPr>
        <w:t xml:space="preserve"> Interna</w:t>
      </w:r>
      <w:r w:rsidR="00765975">
        <w:rPr>
          <w:rFonts w:ascii="Calibri" w:eastAsia="Times New Roman" w:hAnsi="Calibri" w:cs="Calibri"/>
          <w:b/>
          <w:bCs/>
          <w:color w:val="000000"/>
          <w:sz w:val="24"/>
          <w:szCs w:val="24"/>
        </w:rPr>
        <w:t>tional for the Feminists for a</w:t>
      </w:r>
      <w:r>
        <w:rPr>
          <w:rFonts w:ascii="Calibri" w:eastAsia="Times New Roman" w:hAnsi="Calibri" w:cs="Calibri"/>
          <w:b/>
          <w:bCs/>
          <w:color w:val="000000"/>
          <w:sz w:val="24"/>
          <w:szCs w:val="24"/>
        </w:rPr>
        <w:t xml:space="preserve"> Binding Treaty </w:t>
      </w:r>
    </w:p>
    <w:p w:rsidR="004652B8" w:rsidRDefault="004652B8" w:rsidP="003A480F">
      <w:pPr>
        <w:spacing w:line="240" w:lineRule="auto"/>
        <w:rPr>
          <w:rFonts w:ascii="Times New Roman" w:eastAsia="Times New Roman" w:hAnsi="Times New Roman" w:cs="Times New Roman"/>
          <w:sz w:val="24"/>
          <w:szCs w:val="24"/>
        </w:rPr>
      </w:pPr>
    </w:p>
    <w:p w:rsidR="003A480F" w:rsidRPr="003A480F" w:rsidRDefault="003A480F" w:rsidP="003A480F">
      <w:pPr>
        <w:spacing w:line="240" w:lineRule="auto"/>
        <w:rPr>
          <w:rFonts w:ascii="Times New Roman" w:eastAsia="Times New Roman" w:hAnsi="Times New Roman" w:cs="Times New Roman"/>
          <w:sz w:val="24"/>
          <w:szCs w:val="24"/>
        </w:rPr>
      </w:pPr>
      <w:r w:rsidRPr="003A480F">
        <w:rPr>
          <w:rFonts w:ascii="Calibri" w:eastAsia="Times New Roman" w:hAnsi="Calibri" w:cs="Calibri"/>
          <w:color w:val="000000"/>
          <w:sz w:val="24"/>
          <w:szCs w:val="24"/>
        </w:rPr>
        <w:t>Thank you Mister Chairperson. I speak on behalf of the Feminists for a Binding Treaty.</w:t>
      </w:r>
    </w:p>
    <w:p w:rsidR="003A480F" w:rsidRPr="003A480F" w:rsidRDefault="003A480F" w:rsidP="003A480F">
      <w:pPr>
        <w:spacing w:line="240" w:lineRule="auto"/>
        <w:rPr>
          <w:rFonts w:ascii="Times New Roman" w:eastAsia="Times New Roman" w:hAnsi="Times New Roman" w:cs="Times New Roman"/>
          <w:sz w:val="24"/>
          <w:szCs w:val="24"/>
        </w:rPr>
      </w:pPr>
      <w:r w:rsidRPr="003A480F">
        <w:rPr>
          <w:rFonts w:ascii="Calibri" w:eastAsia="Times New Roman" w:hAnsi="Calibri" w:cs="Calibri"/>
          <w:b/>
          <w:bCs/>
          <w:color w:val="000000"/>
          <w:sz w:val="24"/>
          <w:szCs w:val="24"/>
        </w:rPr>
        <w:t>Firstly, regarding Article 9 on adjudicative jurisdiction,</w:t>
      </w:r>
      <w:r w:rsidRPr="003A480F">
        <w:rPr>
          <w:rFonts w:ascii="Calibri" w:eastAsia="Times New Roman" w:hAnsi="Calibri" w:cs="Calibri"/>
          <w:color w:val="000000"/>
          <w:sz w:val="24"/>
          <w:szCs w:val="24"/>
        </w:rPr>
        <w:t xml:space="preserve"> we strongly welcome the inclusion of the obligation of forum </w:t>
      </w:r>
      <w:proofErr w:type="gramStart"/>
      <w:r w:rsidRPr="003A480F">
        <w:rPr>
          <w:rFonts w:ascii="Calibri" w:eastAsia="Times New Roman" w:hAnsi="Calibri" w:cs="Calibri"/>
          <w:color w:val="000000"/>
          <w:sz w:val="24"/>
          <w:szCs w:val="24"/>
        </w:rPr>
        <w:t xml:space="preserve">non </w:t>
      </w:r>
      <w:proofErr w:type="spellStart"/>
      <w:r w:rsidRPr="003A480F">
        <w:rPr>
          <w:rFonts w:ascii="Calibri" w:eastAsia="Times New Roman" w:hAnsi="Calibri" w:cs="Calibri"/>
          <w:color w:val="000000"/>
          <w:sz w:val="24"/>
          <w:szCs w:val="24"/>
        </w:rPr>
        <w:t>conveniens</w:t>
      </w:r>
      <w:proofErr w:type="spellEnd"/>
      <w:proofErr w:type="gramEnd"/>
      <w:r w:rsidRPr="003A480F">
        <w:rPr>
          <w:rFonts w:ascii="Calibri" w:eastAsia="Times New Roman" w:hAnsi="Calibri" w:cs="Calibri"/>
          <w:color w:val="000000"/>
          <w:sz w:val="24"/>
          <w:szCs w:val="24"/>
        </w:rPr>
        <w:t xml:space="preserve"> in article 9.3 and of forum </w:t>
      </w:r>
      <w:proofErr w:type="spellStart"/>
      <w:r w:rsidRPr="003A480F">
        <w:rPr>
          <w:rFonts w:ascii="Calibri" w:eastAsia="Times New Roman" w:hAnsi="Calibri" w:cs="Calibri"/>
          <w:color w:val="000000"/>
          <w:sz w:val="24"/>
          <w:szCs w:val="24"/>
        </w:rPr>
        <w:t>necessitatis</w:t>
      </w:r>
      <w:proofErr w:type="spellEnd"/>
      <w:r w:rsidRPr="003A480F">
        <w:rPr>
          <w:rFonts w:ascii="Calibri" w:eastAsia="Times New Roman" w:hAnsi="Calibri" w:cs="Calibri"/>
          <w:color w:val="000000"/>
          <w:sz w:val="24"/>
          <w:szCs w:val="24"/>
        </w:rPr>
        <w:t xml:space="preserve"> in article 9.5. We also welcome the inclusion in art. 9.4 </w:t>
      </w:r>
      <w:proofErr w:type="gramStart"/>
      <w:r w:rsidRPr="003A480F">
        <w:rPr>
          <w:rFonts w:ascii="Calibri" w:eastAsia="Times New Roman" w:hAnsi="Calibri" w:cs="Calibri"/>
          <w:color w:val="000000"/>
          <w:sz w:val="24"/>
          <w:szCs w:val="24"/>
        </w:rPr>
        <w:t>of</w:t>
      </w:r>
      <w:proofErr w:type="gramEnd"/>
      <w:r w:rsidRPr="003A480F">
        <w:rPr>
          <w:rFonts w:ascii="Calibri" w:eastAsia="Times New Roman" w:hAnsi="Calibri" w:cs="Calibri"/>
          <w:color w:val="000000"/>
          <w:sz w:val="24"/>
          <w:szCs w:val="24"/>
        </w:rPr>
        <w:t xml:space="preserve"> the possibility for State parties’ courts to reunite claims that are closely connected. In order to reduce barriers to </w:t>
      </w:r>
      <w:r w:rsidR="004652B8" w:rsidRPr="003A480F">
        <w:rPr>
          <w:rFonts w:ascii="Calibri" w:eastAsia="Times New Roman" w:hAnsi="Calibri" w:cs="Calibri"/>
          <w:color w:val="000000"/>
          <w:sz w:val="24"/>
          <w:szCs w:val="24"/>
        </w:rPr>
        <w:t>resources, mobility</w:t>
      </w:r>
      <w:r w:rsidRPr="003A480F">
        <w:rPr>
          <w:rFonts w:ascii="Calibri" w:eastAsia="Times New Roman" w:hAnsi="Calibri" w:cs="Calibri"/>
          <w:color w:val="000000"/>
          <w:sz w:val="24"/>
          <w:szCs w:val="24"/>
        </w:rPr>
        <w:t xml:space="preserve"> and language in regards to access to justice for victims, we suggest adding in article 9.1 that jurisdiction may vest in the courts of the State where a victim is domiciled.  This would read as “</w:t>
      </w:r>
      <w:r w:rsidRPr="003A480F">
        <w:rPr>
          <w:rFonts w:ascii="Calibri" w:eastAsia="Times New Roman" w:hAnsi="Calibri" w:cs="Calibri"/>
          <w:i/>
          <w:iCs/>
          <w:color w:val="000000"/>
          <w:sz w:val="24"/>
          <w:szCs w:val="24"/>
        </w:rPr>
        <w:t>d. the victim is domiciled”</w:t>
      </w:r>
      <w:r w:rsidRPr="003A480F">
        <w:rPr>
          <w:rFonts w:ascii="Calibri" w:eastAsia="Times New Roman" w:hAnsi="Calibri" w:cs="Calibri"/>
          <w:color w:val="000000"/>
          <w:sz w:val="24"/>
          <w:szCs w:val="24"/>
        </w:rPr>
        <w:t>:</w:t>
      </w:r>
    </w:p>
    <w:p w:rsidR="003A480F" w:rsidRPr="003A480F" w:rsidRDefault="003A480F" w:rsidP="003A480F">
      <w:pPr>
        <w:spacing w:line="240" w:lineRule="auto"/>
        <w:rPr>
          <w:rFonts w:ascii="Times New Roman" w:eastAsia="Times New Roman" w:hAnsi="Times New Roman" w:cs="Times New Roman"/>
          <w:sz w:val="24"/>
          <w:szCs w:val="24"/>
        </w:rPr>
      </w:pPr>
      <w:r w:rsidRPr="003A480F">
        <w:rPr>
          <w:rFonts w:ascii="Calibri" w:eastAsia="Times New Roman" w:hAnsi="Calibri" w:cs="Calibri"/>
          <w:b/>
          <w:bCs/>
          <w:color w:val="000000"/>
          <w:sz w:val="24"/>
          <w:szCs w:val="24"/>
        </w:rPr>
        <w:t xml:space="preserve">Secondly, on article 10 statute of limitations, </w:t>
      </w:r>
      <w:r w:rsidRPr="003A480F">
        <w:rPr>
          <w:rFonts w:ascii="Calibri" w:eastAsia="Times New Roman" w:hAnsi="Calibri" w:cs="Calibri"/>
          <w:color w:val="000000"/>
          <w:sz w:val="24"/>
          <w:szCs w:val="24"/>
        </w:rPr>
        <w:t xml:space="preserve">we support the revised text in art 10(1) on the statute of limitations and the removal of ‘human rights law and international humanitarian law’ therein. We find it imperative that statutes of limitation do not prevent prosecution and punishment of the most serious crimes of concern to the international community as laid out in international law more broadly. We suggest statute of limitations should not apply either to the list of international crimes we suggest reintroducing in article 8.9. This means adding at the end of Article 10 paragraph 1 after the terms </w:t>
      </w:r>
      <w:r w:rsidRPr="003A480F">
        <w:rPr>
          <w:rFonts w:ascii="Calibri" w:eastAsia="Times New Roman" w:hAnsi="Calibri" w:cs="Calibri"/>
          <w:i/>
          <w:iCs/>
          <w:color w:val="000000"/>
          <w:sz w:val="24"/>
          <w:szCs w:val="24"/>
        </w:rPr>
        <w:t>“as a whole”</w:t>
      </w:r>
      <w:r w:rsidRPr="003A480F">
        <w:rPr>
          <w:rFonts w:ascii="Calibri" w:eastAsia="Times New Roman" w:hAnsi="Calibri" w:cs="Calibri"/>
          <w:color w:val="000000"/>
          <w:sz w:val="24"/>
          <w:szCs w:val="24"/>
        </w:rPr>
        <w:t xml:space="preserve">, </w:t>
      </w:r>
      <w:r w:rsidRPr="003A480F">
        <w:rPr>
          <w:rFonts w:ascii="Calibri" w:eastAsia="Times New Roman" w:hAnsi="Calibri" w:cs="Calibri"/>
          <w:i/>
          <w:iCs/>
          <w:color w:val="000000"/>
          <w:sz w:val="24"/>
          <w:szCs w:val="24"/>
        </w:rPr>
        <w:t>“and at the very least the crimes listed in article 8.9”.</w:t>
      </w:r>
    </w:p>
    <w:p w:rsidR="003A480F" w:rsidRPr="003A480F" w:rsidRDefault="003A480F" w:rsidP="003A480F">
      <w:pPr>
        <w:spacing w:after="0" w:line="240" w:lineRule="auto"/>
        <w:rPr>
          <w:rFonts w:ascii="Times New Roman" w:eastAsia="Times New Roman" w:hAnsi="Times New Roman" w:cs="Times New Roman"/>
          <w:sz w:val="24"/>
          <w:szCs w:val="24"/>
        </w:rPr>
      </w:pPr>
    </w:p>
    <w:p w:rsidR="003A480F" w:rsidRPr="003A480F" w:rsidRDefault="003A480F" w:rsidP="003A480F">
      <w:pPr>
        <w:spacing w:after="0" w:line="240" w:lineRule="auto"/>
        <w:jc w:val="both"/>
        <w:rPr>
          <w:rFonts w:ascii="Times New Roman" w:eastAsia="Times New Roman" w:hAnsi="Times New Roman" w:cs="Times New Roman"/>
          <w:sz w:val="24"/>
          <w:szCs w:val="24"/>
        </w:rPr>
      </w:pPr>
      <w:r w:rsidRPr="003A480F">
        <w:rPr>
          <w:rFonts w:ascii="Calibri" w:eastAsia="Times New Roman" w:hAnsi="Calibri" w:cs="Calibri"/>
          <w:color w:val="000000"/>
          <w:sz w:val="24"/>
          <w:szCs w:val="24"/>
        </w:rPr>
        <w:t>We welcome the inclusion of “</w:t>
      </w:r>
      <w:proofErr w:type="gramStart"/>
      <w:r w:rsidRPr="003A480F">
        <w:rPr>
          <w:rFonts w:ascii="Calibri" w:eastAsia="Times New Roman" w:hAnsi="Calibri" w:cs="Calibri"/>
          <w:color w:val="000000"/>
          <w:sz w:val="24"/>
          <w:szCs w:val="24"/>
        </w:rPr>
        <w:t>..or</w:t>
      </w:r>
      <w:proofErr w:type="gramEnd"/>
      <w:r w:rsidRPr="003A480F">
        <w:rPr>
          <w:rFonts w:ascii="Calibri" w:eastAsia="Times New Roman" w:hAnsi="Calibri" w:cs="Calibri"/>
          <w:color w:val="000000"/>
          <w:sz w:val="24"/>
          <w:szCs w:val="24"/>
        </w:rPr>
        <w:t xml:space="preserve"> when the harm may be identifiable only after a long period of time” in Art 10(2) which now allows victims a reasonable period of time for the investigation and commencement of prosecution or other legal proceedings. We recommend adding in art 10(2) that</w:t>
      </w:r>
      <w:r w:rsidR="00765975" w:rsidRPr="003A480F">
        <w:rPr>
          <w:rFonts w:ascii="Calibri" w:eastAsia="Times New Roman" w:hAnsi="Calibri" w:cs="Calibri"/>
          <w:color w:val="000000"/>
          <w:sz w:val="24"/>
          <w:szCs w:val="24"/>
        </w:rPr>
        <w:t> such</w:t>
      </w:r>
      <w:r w:rsidRPr="003A480F">
        <w:rPr>
          <w:rFonts w:ascii="Calibri" w:eastAsia="Times New Roman" w:hAnsi="Calibri" w:cs="Calibri"/>
          <w:color w:val="000000"/>
          <w:sz w:val="24"/>
          <w:szCs w:val="24"/>
        </w:rPr>
        <w:t xml:space="preserve"> domestic statute of limitations applicable to civil claims or to violations that do not constitute the most serious crimes of concern to the international </w:t>
      </w:r>
      <w:r w:rsidR="00765975" w:rsidRPr="003A480F">
        <w:rPr>
          <w:rFonts w:ascii="Calibri" w:eastAsia="Times New Roman" w:hAnsi="Calibri" w:cs="Calibri"/>
          <w:color w:val="000000"/>
          <w:sz w:val="24"/>
          <w:szCs w:val="24"/>
        </w:rPr>
        <w:t>community,</w:t>
      </w:r>
      <w:r w:rsidRPr="003A480F">
        <w:rPr>
          <w:rFonts w:ascii="Calibri" w:eastAsia="Times New Roman" w:hAnsi="Calibri" w:cs="Calibri"/>
          <w:color w:val="000000"/>
          <w:sz w:val="24"/>
          <w:szCs w:val="24"/>
        </w:rPr>
        <w:t xml:space="preserve"> as a whole shall allow a reasonable and gender-responsive period of time for the investigation and commencement of prosecution or other legal proceedings. </w:t>
      </w:r>
    </w:p>
    <w:p w:rsidR="003A480F" w:rsidRPr="003A480F" w:rsidRDefault="003A480F" w:rsidP="003A480F">
      <w:pPr>
        <w:spacing w:after="0" w:line="240" w:lineRule="auto"/>
        <w:rPr>
          <w:rFonts w:ascii="Times New Roman" w:eastAsia="Times New Roman" w:hAnsi="Times New Roman" w:cs="Times New Roman"/>
          <w:sz w:val="24"/>
          <w:szCs w:val="24"/>
        </w:rPr>
      </w:pPr>
    </w:p>
    <w:p w:rsidR="003A480F" w:rsidRPr="003A480F" w:rsidRDefault="003A480F" w:rsidP="003A480F">
      <w:pPr>
        <w:spacing w:after="0" w:line="240" w:lineRule="auto"/>
        <w:jc w:val="both"/>
        <w:rPr>
          <w:rFonts w:ascii="Times New Roman" w:eastAsia="Times New Roman" w:hAnsi="Times New Roman" w:cs="Times New Roman"/>
          <w:sz w:val="24"/>
          <w:szCs w:val="24"/>
        </w:rPr>
      </w:pPr>
      <w:r w:rsidRPr="003A480F">
        <w:rPr>
          <w:rFonts w:ascii="Calibri" w:eastAsia="Times New Roman" w:hAnsi="Calibri" w:cs="Calibri"/>
          <w:color w:val="000000"/>
          <w:sz w:val="24"/>
          <w:szCs w:val="24"/>
        </w:rPr>
        <w:t>We hence suggest adding “</w:t>
      </w:r>
      <w:r w:rsidRPr="003A480F">
        <w:rPr>
          <w:rFonts w:ascii="Calibri" w:eastAsia="Times New Roman" w:hAnsi="Calibri" w:cs="Calibri"/>
          <w:i/>
          <w:iCs/>
          <w:color w:val="000000"/>
          <w:sz w:val="24"/>
          <w:szCs w:val="24"/>
        </w:rPr>
        <w:t>gender-responsive</w:t>
      </w:r>
      <w:r w:rsidRPr="003A480F">
        <w:rPr>
          <w:rFonts w:ascii="Calibri" w:eastAsia="Times New Roman" w:hAnsi="Calibri" w:cs="Calibri"/>
          <w:color w:val="000000"/>
          <w:sz w:val="24"/>
          <w:szCs w:val="24"/>
        </w:rPr>
        <w:t>” in article 10 paragraph 2 after the word “</w:t>
      </w:r>
      <w:r w:rsidRPr="003A480F">
        <w:rPr>
          <w:rFonts w:ascii="Calibri" w:eastAsia="Times New Roman" w:hAnsi="Calibri" w:cs="Calibri"/>
          <w:i/>
          <w:iCs/>
          <w:color w:val="000000"/>
          <w:sz w:val="24"/>
          <w:szCs w:val="24"/>
        </w:rPr>
        <w:t>reasonable</w:t>
      </w:r>
      <w:r w:rsidRPr="003A480F">
        <w:rPr>
          <w:rFonts w:ascii="Calibri" w:eastAsia="Times New Roman" w:hAnsi="Calibri" w:cs="Calibri"/>
          <w:color w:val="000000"/>
          <w:sz w:val="24"/>
          <w:szCs w:val="24"/>
        </w:rPr>
        <w:t xml:space="preserve">”. This exception should also apply where the victim </w:t>
      </w:r>
      <w:proofErr w:type="gramStart"/>
      <w:r w:rsidRPr="003A480F">
        <w:rPr>
          <w:rFonts w:ascii="Calibri" w:eastAsia="Times New Roman" w:hAnsi="Calibri" w:cs="Calibri"/>
          <w:color w:val="000000"/>
          <w:sz w:val="24"/>
          <w:szCs w:val="24"/>
        </w:rPr>
        <w:t>is delayed</w:t>
      </w:r>
      <w:proofErr w:type="gramEnd"/>
      <w:r w:rsidRPr="003A480F">
        <w:rPr>
          <w:rFonts w:ascii="Calibri" w:eastAsia="Times New Roman" w:hAnsi="Calibri" w:cs="Calibri"/>
          <w:color w:val="000000"/>
          <w:sz w:val="24"/>
          <w:szCs w:val="24"/>
        </w:rPr>
        <w:t xml:space="preserve"> in commencing a proceeding in respect of the claim because of their age, physical, mental or psychological state (to support, in particular, justice for victims of sexual and gender-based violence, as well as </w:t>
      </w:r>
      <w:r w:rsidRPr="003A480F">
        <w:rPr>
          <w:rFonts w:ascii="Calibri" w:eastAsia="Times New Roman" w:hAnsi="Calibri" w:cs="Calibri"/>
          <w:color w:val="000000"/>
          <w:sz w:val="24"/>
          <w:szCs w:val="24"/>
        </w:rPr>
        <w:lastRenderedPageBreak/>
        <w:t xml:space="preserve">children and persons with disability). We thus suggest adding at the end of article 10 paragraph 2 the language </w:t>
      </w:r>
      <w:r w:rsidRPr="003A480F">
        <w:rPr>
          <w:rFonts w:ascii="Calibri" w:eastAsia="Times New Roman" w:hAnsi="Calibri" w:cs="Calibri"/>
          <w:i/>
          <w:iCs/>
          <w:color w:val="000000"/>
          <w:sz w:val="24"/>
          <w:szCs w:val="24"/>
        </w:rPr>
        <w:t>“or where the victim is delayed in commencing a proceeding in respect of the claim because of their age, physical, mental or psychological condition”</w:t>
      </w:r>
      <w:r w:rsidRPr="003A480F">
        <w:rPr>
          <w:rFonts w:ascii="Calibri" w:eastAsia="Times New Roman" w:hAnsi="Calibri" w:cs="Calibri"/>
          <w:color w:val="000000"/>
          <w:sz w:val="24"/>
          <w:szCs w:val="24"/>
        </w:rPr>
        <w:t>.</w:t>
      </w:r>
    </w:p>
    <w:p w:rsidR="003A480F" w:rsidRPr="003A480F" w:rsidRDefault="003A480F" w:rsidP="003A480F">
      <w:pPr>
        <w:spacing w:after="0" w:line="240" w:lineRule="auto"/>
        <w:rPr>
          <w:rFonts w:ascii="Times New Roman" w:eastAsia="Times New Roman" w:hAnsi="Times New Roman" w:cs="Times New Roman"/>
          <w:sz w:val="24"/>
          <w:szCs w:val="24"/>
        </w:rPr>
      </w:pPr>
    </w:p>
    <w:p w:rsidR="003A480F" w:rsidRPr="003A480F" w:rsidRDefault="003A480F" w:rsidP="003A480F">
      <w:pPr>
        <w:spacing w:before="240" w:after="240" w:line="240" w:lineRule="auto"/>
        <w:jc w:val="both"/>
        <w:rPr>
          <w:rFonts w:ascii="Times New Roman" w:eastAsia="Times New Roman" w:hAnsi="Times New Roman" w:cs="Times New Roman"/>
          <w:sz w:val="24"/>
          <w:szCs w:val="24"/>
        </w:rPr>
      </w:pPr>
      <w:r w:rsidRPr="003A480F">
        <w:rPr>
          <w:rFonts w:ascii="Calibri" w:eastAsia="Times New Roman" w:hAnsi="Calibri" w:cs="Calibri"/>
          <w:b/>
          <w:bCs/>
          <w:color w:val="000000"/>
          <w:sz w:val="24"/>
          <w:szCs w:val="24"/>
        </w:rPr>
        <w:t>Thirdly, regarding article 11 on applicable law</w:t>
      </w:r>
      <w:r w:rsidRPr="003A480F">
        <w:rPr>
          <w:rFonts w:ascii="Calibri" w:eastAsia="Times New Roman" w:hAnsi="Calibri" w:cs="Calibri"/>
          <w:color w:val="000000"/>
          <w:sz w:val="24"/>
          <w:szCs w:val="24"/>
        </w:rPr>
        <w:t xml:space="preserve">, the revised draft rightfully removes the provision subjecting the choice of applicable law to domestic legislation. However, we believe the victim should also be able to request that </w:t>
      </w:r>
      <w:proofErr w:type="gramStart"/>
      <w:r w:rsidRPr="003A480F">
        <w:rPr>
          <w:rFonts w:ascii="Calibri" w:eastAsia="Times New Roman" w:hAnsi="Calibri" w:cs="Calibri"/>
          <w:color w:val="000000"/>
          <w:sz w:val="24"/>
          <w:szCs w:val="24"/>
        </w:rPr>
        <w:t>matters of substance regarding human rights law be governed by the law of the State in which the victim is domiciled</w:t>
      </w:r>
      <w:proofErr w:type="gramEnd"/>
      <w:r w:rsidRPr="003A480F">
        <w:rPr>
          <w:rFonts w:ascii="Calibri" w:eastAsia="Times New Roman" w:hAnsi="Calibri" w:cs="Calibri"/>
          <w:color w:val="000000"/>
          <w:sz w:val="24"/>
          <w:szCs w:val="24"/>
        </w:rPr>
        <w:t>. We suggest adding this as a new article 11.2 (c) which would provi</w:t>
      </w:r>
      <w:r w:rsidR="0010046C">
        <w:rPr>
          <w:rFonts w:ascii="Calibri" w:eastAsia="Times New Roman" w:hAnsi="Calibri" w:cs="Calibri"/>
          <w:color w:val="000000"/>
          <w:sz w:val="24"/>
          <w:szCs w:val="24"/>
        </w:rPr>
        <w:t>de “c) the victim is domiciled.</w:t>
      </w:r>
      <w:r w:rsidRPr="003A480F">
        <w:rPr>
          <w:rFonts w:ascii="Calibri" w:eastAsia="Times New Roman" w:hAnsi="Calibri" w:cs="Calibri"/>
          <w:color w:val="000000"/>
          <w:sz w:val="24"/>
          <w:szCs w:val="24"/>
        </w:rPr>
        <w:t> </w:t>
      </w:r>
    </w:p>
    <w:p w:rsidR="003A480F" w:rsidRPr="003A480F" w:rsidRDefault="003A480F" w:rsidP="003A480F">
      <w:pPr>
        <w:spacing w:before="240" w:after="240" w:line="240" w:lineRule="auto"/>
        <w:jc w:val="both"/>
        <w:rPr>
          <w:rFonts w:ascii="Times New Roman" w:eastAsia="Times New Roman" w:hAnsi="Times New Roman" w:cs="Times New Roman"/>
          <w:sz w:val="24"/>
          <w:szCs w:val="24"/>
        </w:rPr>
      </w:pPr>
      <w:r w:rsidRPr="003A480F">
        <w:rPr>
          <w:rFonts w:ascii="Calibri" w:eastAsia="Times New Roman" w:hAnsi="Calibri" w:cs="Calibri"/>
          <w:color w:val="000000"/>
          <w:sz w:val="24"/>
          <w:szCs w:val="24"/>
        </w:rPr>
        <w:t>Additionally, to</w:t>
      </w:r>
      <w:r w:rsidR="0010046C" w:rsidRPr="003A480F">
        <w:rPr>
          <w:rFonts w:ascii="Calibri" w:eastAsia="Times New Roman" w:hAnsi="Calibri" w:cs="Calibri"/>
          <w:color w:val="000000"/>
          <w:sz w:val="24"/>
          <w:szCs w:val="24"/>
        </w:rPr>
        <w:t> ensure</w:t>
      </w:r>
      <w:r w:rsidRPr="003A480F">
        <w:rPr>
          <w:rFonts w:ascii="Calibri" w:eastAsia="Times New Roman" w:hAnsi="Calibri" w:cs="Calibri"/>
          <w:color w:val="000000"/>
          <w:sz w:val="24"/>
          <w:szCs w:val="24"/>
        </w:rPr>
        <w:t xml:space="preserve"> consistency we suggest aligning the language in article 11.2 with regard to the terms human rights abuse and violations. Therefore, we suggest addition of the term “violation” in article 11.2 and “abuses” in article 11.2 a) and b).</w:t>
      </w:r>
    </w:p>
    <w:p w:rsidR="003A480F" w:rsidRPr="003A480F" w:rsidRDefault="003A480F" w:rsidP="003A480F">
      <w:pPr>
        <w:spacing w:before="240" w:after="240" w:line="240" w:lineRule="auto"/>
        <w:jc w:val="both"/>
        <w:rPr>
          <w:rFonts w:ascii="Times New Roman" w:eastAsia="Times New Roman" w:hAnsi="Times New Roman" w:cs="Times New Roman"/>
          <w:sz w:val="24"/>
          <w:szCs w:val="24"/>
        </w:rPr>
      </w:pPr>
      <w:proofErr w:type="gramStart"/>
      <w:r w:rsidRPr="003A480F">
        <w:rPr>
          <w:rFonts w:ascii="Calibri" w:eastAsia="Times New Roman" w:hAnsi="Calibri" w:cs="Calibri"/>
          <w:color w:val="000000"/>
          <w:sz w:val="24"/>
          <w:szCs w:val="24"/>
        </w:rPr>
        <w:t>We also suggest to clarify that, should a conflict of laws arise from obligations of States under trade and investment agreements and their obligations under the treaty, the choice of applicable law shall be in accordance with article 14.5, which foresees that trade and investment agreements shall be interpreted and implemented in a manner that will not undermine or limit the capacity of States to fulfill their obligations under the treaty.</w:t>
      </w:r>
      <w:proofErr w:type="gramEnd"/>
      <w:r w:rsidRPr="003A480F">
        <w:rPr>
          <w:rFonts w:ascii="Calibri" w:eastAsia="Times New Roman" w:hAnsi="Calibri" w:cs="Calibri"/>
          <w:color w:val="000000"/>
          <w:sz w:val="24"/>
          <w:szCs w:val="24"/>
        </w:rPr>
        <w:t xml:space="preserve"> This clarification </w:t>
      </w:r>
      <w:proofErr w:type="gramStart"/>
      <w:r w:rsidRPr="003A480F">
        <w:rPr>
          <w:rFonts w:ascii="Calibri" w:eastAsia="Times New Roman" w:hAnsi="Calibri" w:cs="Calibri"/>
          <w:color w:val="000000"/>
          <w:sz w:val="24"/>
          <w:szCs w:val="24"/>
        </w:rPr>
        <w:t>can be added</w:t>
      </w:r>
      <w:proofErr w:type="gramEnd"/>
      <w:r w:rsidRPr="003A480F">
        <w:rPr>
          <w:rFonts w:ascii="Calibri" w:eastAsia="Times New Roman" w:hAnsi="Calibri" w:cs="Calibri"/>
          <w:color w:val="000000"/>
          <w:sz w:val="24"/>
          <w:szCs w:val="24"/>
        </w:rPr>
        <w:t xml:space="preserve"> in a new article 11.3). This new article 11 paragraph 3 would read as follows: “</w:t>
      </w:r>
      <w:r w:rsidRPr="003A480F">
        <w:rPr>
          <w:rFonts w:ascii="Calibri" w:eastAsia="Times New Roman" w:hAnsi="Calibri" w:cs="Calibri"/>
          <w:i/>
          <w:iCs/>
          <w:color w:val="000000"/>
          <w:sz w:val="24"/>
          <w:szCs w:val="24"/>
        </w:rPr>
        <w:t>In the event of conflict of laws resulting from obligations of States under bilateral or multilateral trade and investment agreements and their obligations under this (Legally Binding Instrument , the choice of applicable law shall be in accordance with article 14.5 of this (Legally Binding Instrument)”</w:t>
      </w:r>
      <w:r w:rsidRPr="003A480F">
        <w:rPr>
          <w:rFonts w:ascii="Calibri" w:eastAsia="Times New Roman" w:hAnsi="Calibri" w:cs="Calibri"/>
          <w:color w:val="000000"/>
          <w:sz w:val="24"/>
          <w:szCs w:val="24"/>
        </w:rPr>
        <w:t>.</w:t>
      </w:r>
    </w:p>
    <w:p w:rsidR="003A480F" w:rsidRPr="003A480F" w:rsidRDefault="003A480F" w:rsidP="003A480F">
      <w:pPr>
        <w:spacing w:before="240" w:after="240" w:line="240" w:lineRule="auto"/>
        <w:jc w:val="both"/>
        <w:rPr>
          <w:rFonts w:ascii="Times New Roman" w:eastAsia="Times New Roman" w:hAnsi="Times New Roman" w:cs="Times New Roman"/>
          <w:sz w:val="24"/>
          <w:szCs w:val="24"/>
        </w:rPr>
      </w:pPr>
      <w:r w:rsidRPr="003A480F">
        <w:rPr>
          <w:rFonts w:ascii="Calibri" w:eastAsia="Times New Roman" w:hAnsi="Calibri" w:cs="Calibri"/>
          <w:color w:val="000000"/>
          <w:sz w:val="24"/>
          <w:szCs w:val="24"/>
        </w:rPr>
        <w:t>Thank you.</w:t>
      </w:r>
    </w:p>
    <w:sectPr w:rsidR="003A480F" w:rsidRPr="003A480F">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0F"/>
    <w:rsid w:val="0010046C"/>
    <w:rsid w:val="00242269"/>
    <w:rsid w:val="002E0BA1"/>
    <w:rsid w:val="003A480F"/>
    <w:rsid w:val="004652B8"/>
    <w:rsid w:val="00674518"/>
    <w:rsid w:val="00765975"/>
    <w:rsid w:val="0094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6DCF-7DB1-47DF-B6D0-94BAC2EC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492C98-AA5D-4F99-B671-CFB3A487E034}"/>
</file>

<file path=customXml/itemProps2.xml><?xml version="1.0" encoding="utf-8"?>
<ds:datastoreItem xmlns:ds="http://schemas.openxmlformats.org/officeDocument/2006/customXml" ds:itemID="{7BC214C8-C00E-448D-B9C0-EAADF25AFF71}"/>
</file>

<file path=customXml/itemProps3.xml><?xml version="1.0" encoding="utf-8"?>
<ds:datastoreItem xmlns:ds="http://schemas.openxmlformats.org/officeDocument/2006/customXml" ds:itemID="{23ECA8BF-AA4E-4849-A5EB-59FBBF1CF8D3}"/>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 Kalyan</dc:creator>
  <cp:keywords/>
  <dc:description/>
  <cp:lastModifiedBy>JONES Vaida</cp:lastModifiedBy>
  <cp:revision>2</cp:revision>
  <dcterms:created xsi:type="dcterms:W3CDTF">2020-10-30T13:28:00Z</dcterms:created>
  <dcterms:modified xsi:type="dcterms:W3CDTF">2020-10-30T13:28:00Z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