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rsidR="005E6B47" w:rsidP="005E6B47">
      <w:r>
        <w:t>T</w:t>
      </w:r>
      <w:r>
        <w:t>hank you, Chairperson-Rapporteur.</w:t>
      </w:r>
    </w:p>
    <w:p w:rsidR="005E6B47" w:rsidP="005E6B47"/>
    <w:p w:rsidR="005E6B47" w:rsidP="005E6B47">
      <w:r>
        <w:t xml:space="preserve">This intervention </w:t>
      </w:r>
      <w:r w:rsidR="00F410E0">
        <w:t>is a combined respon</w:t>
      </w:r>
      <w:r>
        <w:t>s</w:t>
      </w:r>
      <w:r w:rsidR="00F410E0">
        <w:t>e</w:t>
      </w:r>
      <w:r>
        <w:t xml:space="preserve"> to Article </w:t>
      </w:r>
      <w:r w:rsidR="00F410E0">
        <w:t>9</w:t>
      </w:r>
      <w:r>
        <w:t xml:space="preserve"> (</w:t>
      </w:r>
      <w:r w:rsidR="00F410E0">
        <w:t>Adjudicative Jurisdiction</w:t>
      </w:r>
      <w:r>
        <w:t>)</w:t>
      </w:r>
      <w:r w:rsidR="00F410E0">
        <w:t>, Article 10 (Statute of Limitations), and Article 11 (Applicable Law)</w:t>
      </w:r>
      <w:r>
        <w:t xml:space="preserve"> of the Second Revised Draft Treaty.  </w:t>
      </w:r>
    </w:p>
    <w:p w:rsidR="005E6B47" w:rsidP="00552D6E"/>
    <w:p w:rsidR="00794FB9" w:rsidP="00F410E0">
      <w:r>
        <w:t>The proposed scope of adjudicative jurisdiction reflects a concept of extraterritorial jurisdiction so vast that businesses are faced with grave uncertainties as to where they may be hauled into court</w:t>
      </w:r>
      <w:r>
        <w:t xml:space="preserve"> and to which laws they </w:t>
      </w:r>
      <w:r w:rsidR="00DF0666">
        <w:t>may</w:t>
      </w:r>
      <w:r>
        <w:t xml:space="preserve"> be subject</w:t>
      </w:r>
      <w:r>
        <w:t xml:space="preserve">.  </w:t>
      </w:r>
    </w:p>
    <w:p w:rsidR="00794FB9" w:rsidP="00F410E0"/>
    <w:p w:rsidR="00F410E0" w:rsidP="00F410E0">
      <w:r>
        <w:t>Indeed, t</w:t>
      </w:r>
      <w:r>
        <w:t xml:space="preserve">he new draft allows for concurrent jurisdiction in the </w:t>
      </w:r>
      <w:r w:rsidR="00794FB9">
        <w:t>company’s</w:t>
      </w:r>
      <w:r>
        <w:t xml:space="preserve"> host country where the harm occurred, the home country where the </w:t>
      </w:r>
      <w:r w:rsidR="00794FB9">
        <w:t>company</w:t>
      </w:r>
      <w:r>
        <w:t xml:space="preserve"> is located, or even in a third country if the claim is </w:t>
      </w:r>
      <w:r w:rsidR="00D57913">
        <w:t>“</w:t>
      </w:r>
      <w:r>
        <w:t>closely connected</w:t>
      </w:r>
      <w:r w:rsidR="00D57913">
        <w:t xml:space="preserve">” to that country.  </w:t>
      </w:r>
      <w:r>
        <w:t xml:space="preserve">The term “closely connected” is vague and has no </w:t>
      </w:r>
      <w:r w:rsidR="00794FB9">
        <w:t>clear</w:t>
      </w:r>
      <w:r>
        <w:t xml:space="preserve"> legal pedigree.  </w:t>
      </w:r>
    </w:p>
    <w:p w:rsidR="00F410E0" w:rsidP="00F410E0"/>
    <w:p w:rsidR="00F410E0" w:rsidP="00F410E0">
      <w:r>
        <w:t xml:space="preserve">The vastness of the draft’s jurisdictional scope is further enhanced when considering the breadth of the “business activities” to be regulated, which </w:t>
      </w:r>
      <w:r w:rsidR="00D57913">
        <w:t>we addressed in our</w:t>
      </w:r>
      <w:r w:rsidR="00794FB9">
        <w:t xml:space="preserve"> </w:t>
      </w:r>
      <w:r w:rsidR="00245213">
        <w:t xml:space="preserve">previous </w:t>
      </w:r>
      <w:r w:rsidR="00D57913">
        <w:t>interventions</w:t>
      </w:r>
      <w:r>
        <w:t xml:space="preserve">.     </w:t>
      </w:r>
    </w:p>
    <w:p w:rsidR="00F410E0" w:rsidP="00F410E0"/>
    <w:p w:rsidR="00F410E0" w:rsidP="00F410E0">
      <w:r>
        <w:t>Adding to th</w:t>
      </w:r>
      <w:r w:rsidR="00672D8B">
        <w:t>is</w:t>
      </w:r>
      <w:r>
        <w:t xml:space="preserve"> </w:t>
      </w:r>
      <w:r w:rsidR="00672D8B">
        <w:t>jurisdictional</w:t>
      </w:r>
      <w:r>
        <w:t xml:space="preserve"> uncertainty, the new draft explicitly rejects </w:t>
      </w:r>
      <w:r w:rsidRPr="00794FB9">
        <w:rPr>
          <w:i/>
        </w:rPr>
        <w:t>forum non conveniens</w:t>
      </w:r>
      <w:r>
        <w:t xml:space="preserve">, which is a procedural mainstay in many jurisdictions designed to prevent forum shopping.  </w:t>
      </w:r>
    </w:p>
    <w:p w:rsidR="00F20F46" w:rsidP="00F410E0"/>
    <w:p w:rsidR="00F410E0" w:rsidP="00F410E0">
      <w:r>
        <w:t xml:space="preserve">Contrary to many bodies of law, the new draft grants the </w:t>
      </w:r>
      <w:r w:rsidRPr="00AF2991">
        <w:t>victim</w:t>
      </w:r>
      <w:r>
        <w:t xml:space="preserve"> wide discretion to select the applicable law.  This undermines the general principle that the applicable law</w:t>
      </w:r>
      <w:r w:rsidR="00794FB9">
        <w:t xml:space="preserve"> is that of the forum State.   </w:t>
      </w:r>
      <w:r>
        <w:t>Not only does this create uncertainties as to which laws will apply, it also creates issues of competence in that jurists in one country may not be equipped to interpret the laws of another.</w:t>
      </w:r>
    </w:p>
    <w:p w:rsidR="00D57913" w:rsidP="00F410E0"/>
    <w:p w:rsidR="00245213" w:rsidP="00A833B8">
      <w:r>
        <w:t xml:space="preserve">The jurisdictional uncertainties created by Articles 9, 10 and 11 are exacerbated by the </w:t>
      </w:r>
      <w:r>
        <w:t>erosion</w:t>
      </w:r>
      <w:r>
        <w:t xml:space="preserve"> of an important safeguard in Article 12.  </w:t>
      </w:r>
      <w:r>
        <w:t>Under international law, an important check on a foreign court’s adjudicative jurisdiction has been the power of a national court to refuse to recognize the enforcement of that foreign court’s decision</w:t>
      </w:r>
      <w:r w:rsidR="00F20F46">
        <w:t xml:space="preserve"> over a defendant </w:t>
      </w:r>
      <w:r w:rsidR="00F20F46">
        <w:t>located in the country of the national court</w:t>
      </w:r>
      <w:r>
        <w:t xml:space="preserve">. </w:t>
      </w:r>
      <w:r w:rsidR="00DF0666">
        <w:t>This</w:t>
      </w:r>
      <w:r>
        <w:t xml:space="preserve"> important safeguard has been </w:t>
      </w:r>
      <w:r>
        <w:t>eroded</w:t>
      </w:r>
      <w:r>
        <w:t xml:space="preserve"> by </w:t>
      </w:r>
      <w:r>
        <w:t xml:space="preserve">Article 12 </w:t>
      </w:r>
      <w:r>
        <w:t xml:space="preserve">because </w:t>
      </w:r>
      <w:r w:rsidR="00DF0666">
        <w:t>it</w:t>
      </w:r>
      <w:r>
        <w:t xml:space="preserve"> mandate</w:t>
      </w:r>
      <w:r w:rsidR="00DF0666">
        <w:t>s</w:t>
      </w:r>
      <w:r>
        <w:t xml:space="preserve"> that all State Parties recognize and enforce another State Party’s court order – with very limited exceptions.  </w:t>
      </w:r>
      <w:r>
        <w:t xml:space="preserve">Thus, Articles 9, 10, 11 and 12, taken together create enormous jurisdictional uncertainties for businesses, without the </w:t>
      </w:r>
      <w:r>
        <w:t>relief</w:t>
      </w:r>
      <w:r>
        <w:t xml:space="preserve"> of a well-established guardra</w:t>
      </w:r>
      <w:r>
        <w:t xml:space="preserve">il.  </w:t>
      </w:r>
    </w:p>
    <w:p w:rsidR="00245213" w:rsidP="00A833B8"/>
    <w:p w:rsidR="00EA4A98" w:rsidP="00EA4A98">
      <w:r>
        <w:t>Moreover, b</w:t>
      </w:r>
      <w:r w:rsidR="00F40EDF">
        <w:t xml:space="preserve">y creating these uncertainties, </w:t>
      </w:r>
      <w:r>
        <w:t>these provisions</w:t>
      </w:r>
      <w:r>
        <w:t xml:space="preserve"> </w:t>
      </w:r>
      <w:r>
        <w:t>appear</w:t>
      </w:r>
      <w:r>
        <w:t xml:space="preserve"> to ignore the general presumption against extraterritorial jurisdiction, which is based on the basic principles of state sovereignty, equality of states, and non-interference in domestic affairs.</w:t>
      </w:r>
    </w:p>
    <w:p w:rsidR="005E6B47" w:rsidP="00552D6E">
      <w:bookmarkStart w:id="0" w:name="_GoBack"/>
      <w:bookmarkEnd w:id="0"/>
    </w:p>
    <w:p w:rsidR="00C5181F" w:rsidP="00552D6E">
      <w:r>
        <w:t>Thank you.</w:t>
      </w:r>
    </w:p>
    <w:p w:rsidR="00E92235" w:rsidP="00552D6E"/>
    <w:p w:rsidR="00E92235" w:rsidP="00552D6E">
      <w:pPr>
        <w:rPr>
          <w:i/>
          <w:u w:val="single"/>
        </w:rPr>
      </w:pPr>
      <w:r>
        <w:rPr>
          <w:i/>
          <w:u w:val="single"/>
        </w:rPr>
        <w:t>/s/ Lavanga V. Wijek</w:t>
      </w:r>
      <w:r>
        <w:rPr>
          <w:i/>
          <w:u w:val="single"/>
        </w:rPr>
        <w:t>oon</w:t>
      </w:r>
    </w:p>
    <w:p w:rsidR="00E92235" w:rsidP="00552D6E">
      <w:pPr>
        <w:rPr>
          <w:i/>
          <w:u w:val="single"/>
        </w:rPr>
      </w:pPr>
    </w:p>
    <w:p w:rsidR="00E92235" w:rsidRPr="00E92235" w:rsidP="00552D6E">
      <w:r>
        <w:t>Lavanga V. Wijekoon</w:t>
      </w:r>
    </w:p>
    <w:sectPr w:rsidSect="00012A1C">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245213"/>
    <w:rsid w:val="00552D6E"/>
    <w:rsid w:val="005E6B47"/>
    <w:rsid w:val="00672D8B"/>
    <w:rsid w:val="00794FB9"/>
    <w:rsid w:val="00A833B8"/>
    <w:rsid w:val="00AF2991"/>
    <w:rsid w:val="00C5181F"/>
    <w:rsid w:val="00D57913"/>
    <w:rsid w:val="00DF0666"/>
    <w:rsid w:val="00E92235"/>
    <w:rsid w:val="00EA4A98"/>
    <w:rsid w:val="00F20F46"/>
    <w:rsid w:val="00F40EDF"/>
    <w:rsid w:val="00F410E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7FD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7FDA"/>
    <w:pPr>
      <w:widowControl w:val="0"/>
      <w:spacing w:after="240"/>
      <w:ind w:firstLine="720"/>
    </w:pPr>
  </w:style>
  <w:style w:type="character" w:customStyle="1" w:styleId="BodyTextChar">
    <w:name w:val="Body Text Char"/>
    <w:basedOn w:val="DefaultParagraphFont"/>
    <w:link w:val="BodyText"/>
    <w:rsid w:val="001E4606"/>
    <w:rPr>
      <w:rFonts w:ascii="Times New Roman" w:hAnsi="Times New Roman" w:cs="Times New Roman"/>
      <w:sz w:val="24"/>
      <w:szCs w:val="24"/>
    </w:rPr>
  </w:style>
  <w:style w:type="paragraph" w:customStyle="1" w:styleId="BodyTextContinued">
    <w:name w:val="Body Text Continued"/>
    <w:basedOn w:val="BodyText"/>
    <w:next w:val="BodyText"/>
    <w:rsid w:val="00567FDA"/>
    <w:pPr>
      <w:ind w:firstLine="0"/>
    </w:pPr>
    <w:rPr>
      <w:szCs w:val="20"/>
    </w:rPr>
  </w:style>
  <w:style w:type="paragraph" w:styleId="Quote">
    <w:name w:val="Quote"/>
    <w:basedOn w:val="Normal"/>
    <w:next w:val="BodyTextContinued"/>
    <w:link w:val="QuoteChar"/>
    <w:qFormat/>
    <w:rsid w:val="00567FDA"/>
    <w:pPr>
      <w:spacing w:after="240"/>
      <w:ind w:left="1440" w:right="1440"/>
    </w:pPr>
    <w:rPr>
      <w:szCs w:val="20"/>
    </w:rPr>
  </w:style>
  <w:style w:type="character" w:customStyle="1" w:styleId="QuoteChar">
    <w:name w:val="Quote Char"/>
    <w:basedOn w:val="DefaultParagraphFont"/>
    <w:link w:val="Quote"/>
    <w:rsid w:val="001E4606"/>
    <w:rPr>
      <w:rFonts w:ascii="Times New Roman" w:hAnsi="Times New Roman" w:cs="Times New Roman"/>
      <w:sz w:val="24"/>
      <w:szCs w:val="20"/>
    </w:rPr>
  </w:style>
  <w:style w:type="paragraph" w:styleId="Header">
    <w:name w:val="header"/>
    <w:basedOn w:val="Normal"/>
    <w:link w:val="HeaderChar"/>
    <w:rsid w:val="00567FDA"/>
    <w:pPr>
      <w:tabs>
        <w:tab w:val="center" w:pos="4680"/>
        <w:tab w:val="right" w:pos="9360"/>
      </w:tabs>
    </w:pPr>
  </w:style>
  <w:style w:type="character" w:customStyle="1" w:styleId="HeaderChar">
    <w:name w:val="Header Char"/>
    <w:basedOn w:val="DefaultParagraphFont"/>
    <w:link w:val="Header"/>
    <w:rsid w:val="001E4606"/>
    <w:rPr>
      <w:rFonts w:ascii="Times New Roman" w:hAnsi="Times New Roman" w:cs="Times New Roman"/>
      <w:sz w:val="24"/>
      <w:szCs w:val="24"/>
    </w:rPr>
  </w:style>
  <w:style w:type="paragraph" w:styleId="Footer">
    <w:name w:val="footer"/>
    <w:basedOn w:val="Normal"/>
    <w:link w:val="FooterChar"/>
    <w:rsid w:val="00567FDA"/>
    <w:pPr>
      <w:tabs>
        <w:tab w:val="center" w:pos="4680"/>
        <w:tab w:val="right" w:pos="9360"/>
      </w:tabs>
    </w:pPr>
  </w:style>
  <w:style w:type="character" w:customStyle="1" w:styleId="FooterChar">
    <w:name w:val="Footer Char"/>
    <w:basedOn w:val="DefaultParagraphFont"/>
    <w:link w:val="Footer"/>
    <w:rsid w:val="001E4606"/>
    <w:rPr>
      <w:rFonts w:ascii="Times New Roman" w:hAnsi="Times New Roman" w:cs="Times New Roman"/>
      <w:sz w:val="24"/>
      <w:szCs w:val="24"/>
    </w:rPr>
  </w:style>
  <w:style w:type="character" w:styleId="PageNumber">
    <w:name w:val="page number"/>
    <w:basedOn w:val="DefaultParagraphFont"/>
    <w:rsid w:val="00567FDA"/>
  </w:style>
  <w:style w:type="paragraph" w:styleId="FootnoteText">
    <w:name w:val="footnote text"/>
    <w:basedOn w:val="Normal"/>
    <w:link w:val="FootnoteTextChar"/>
    <w:uiPriority w:val="99"/>
    <w:semiHidden/>
    <w:unhideWhenUsed/>
    <w:rsid w:val="00896392"/>
    <w:rPr>
      <w:sz w:val="20"/>
      <w:szCs w:val="20"/>
    </w:rPr>
  </w:style>
  <w:style w:type="character" w:customStyle="1" w:styleId="FootnoteTextChar">
    <w:name w:val="Footnote Text Char"/>
    <w:basedOn w:val="DefaultParagraphFont"/>
    <w:link w:val="FootnoteText"/>
    <w:uiPriority w:val="99"/>
    <w:semiHidden/>
    <w:rsid w:val="00896392"/>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8963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FA25EA-B228-4D40-AB1F-876FB1B82315}"/>
</file>

<file path=customXml/itemProps2.xml><?xml version="1.0" encoding="utf-8"?>
<ds:datastoreItem xmlns:ds="http://schemas.openxmlformats.org/officeDocument/2006/customXml" ds:itemID="{ED8D54D5-E3A2-43D2-9DBE-642FE8DD8A50}"/>
</file>

<file path=customXml/itemProps3.xml><?xml version="1.0" encoding="utf-8"?>
<ds:datastoreItem xmlns:ds="http://schemas.openxmlformats.org/officeDocument/2006/customXml" ds:itemID="{623B4A4A-5B53-4C6B-A651-5666AED63A6D}"/>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2213</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