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snapToGrid w:val="0"/>
        <w:spacing w:before="0" w:beforeAutospacing="0" w:after="0" w:afterAutospacing="0" w:line="600" w:lineRule="exact"/>
        <w:ind w:left="0" w:right="0"/>
        <w:jc w:val="center"/>
        <w:textAlignment w:val="bottom"/>
        <w:rPr>
          <w:rFonts w:hint="eastAsia" w:ascii="外交小标宋" w:hAnsi="外交小标宋" w:eastAsia="外交小标宋" w:cs="外交小标宋"/>
          <w:b/>
          <w:sz w:val="36"/>
          <w:szCs w:val="36"/>
        </w:rPr>
      </w:pPr>
      <w:bookmarkStart w:id="0" w:name="_GoBack"/>
      <w:r>
        <w:rPr>
          <w:rFonts w:hint="eastAsia" w:ascii="外交小标宋" w:hAnsi="外交小标宋" w:eastAsia="外交小标宋" w:cs="外交小标宋"/>
          <w:b/>
          <w:snapToGrid/>
          <w:kern w:val="0"/>
          <w:sz w:val="36"/>
          <w:szCs w:val="36"/>
          <w:lang w:val="en-US" w:eastAsia="zh-CN" w:bidi="ar-SA"/>
        </w:rPr>
        <w:t>对第9、10、11条的评论</w:t>
      </w:r>
    </w:p>
    <w:bookmarkEnd w:id="0"/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snapToGrid w:val="0"/>
        <w:spacing w:before="0" w:beforeAutospacing="0" w:after="0" w:afterAutospacing="0" w:line="600" w:lineRule="exact"/>
        <w:ind w:left="0" w:right="0"/>
        <w:jc w:val="center"/>
        <w:textAlignment w:val="bottom"/>
        <w:rPr>
          <w:rFonts w:hint="eastAsia" w:ascii="外交小标宋" w:hAnsi="外交小标宋" w:eastAsia="外交小标宋" w:cs="外交小标宋"/>
          <w:b/>
          <w:sz w:val="36"/>
          <w:szCs w:val="36"/>
        </w:rPr>
      </w:pPr>
      <w:r>
        <w:rPr>
          <w:rFonts w:hint="eastAsia" w:ascii="外交小标宋" w:hAnsi="外交小标宋" w:eastAsia="外交小标宋" w:cs="外交小标宋"/>
          <w:b/>
          <w:snapToGrid/>
          <w:kern w:val="0"/>
          <w:sz w:val="36"/>
          <w:szCs w:val="36"/>
          <w:lang w:val="en-US" w:eastAsia="zh-CN" w:bidi="ar-SA"/>
        </w:rPr>
        <w:t xml:space="preserve"> 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snapToGrid w:val="0"/>
        <w:spacing w:before="0" w:beforeAutospacing="0" w:after="0" w:afterAutospacing="0" w:line="600" w:lineRule="exact"/>
        <w:ind w:left="0" w:right="0" w:firstLine="640"/>
        <w:jc w:val="both"/>
        <w:textAlignment w:val="bottom"/>
        <w:rPr>
          <w:rFonts w:hint="eastAsia" w:ascii="外交粗仿宋" w:hAnsi="外交粗仿宋" w:eastAsia="外交粗仿宋" w:cs="外交粗仿宋"/>
          <w:b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关于第9条“司法管辖权”(</w:t>
      </w:r>
      <w:r>
        <w:rPr>
          <w:rFonts w:hint="eastAsia" w:ascii="Times New Roman" w:hAnsi="Times New Roman" w:eastAsia="外交粗仿宋" w:cs="Times New Roman"/>
          <w:b w:val="0"/>
          <w:snapToGrid/>
          <w:kern w:val="0"/>
          <w:sz w:val="32"/>
          <w:szCs w:val="32"/>
          <w:lang w:val="en-US" w:eastAsia="zh-CN" w:bidi="ar-SA"/>
        </w:rPr>
        <w:t>adjudicative jurisdiction</w:t>
      </w: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)应明确区分民事、刑事、行政案件，尊重各国的司法主权，合理确立管辖权，避免造成事实上的“普遍管辖”(</w:t>
      </w:r>
      <w:r>
        <w:rPr>
          <w:rFonts w:hint="eastAsia" w:ascii="Times New Roman" w:hAnsi="Times New Roman" w:eastAsia="外交粗仿宋" w:cs="Times New Roman"/>
          <w:b w:val="0"/>
          <w:snapToGrid/>
          <w:kern w:val="0"/>
          <w:sz w:val="32"/>
          <w:szCs w:val="32"/>
          <w:lang w:val="en-US" w:eastAsia="zh-CN" w:bidi="ar-SA"/>
        </w:rPr>
        <w:t>universal jurisdiction</w:t>
      </w: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)，使受害者因此获得任意挑选法院(</w:t>
      </w:r>
      <w:r>
        <w:rPr>
          <w:rFonts w:hint="eastAsia" w:ascii="Times New Roman" w:hAnsi="Times New Roman" w:eastAsia="外交粗仿宋" w:cs="Times New Roman"/>
          <w:b w:val="0"/>
          <w:snapToGrid/>
          <w:kern w:val="0"/>
          <w:sz w:val="32"/>
          <w:szCs w:val="32"/>
          <w:lang w:val="en-US" w:eastAsia="zh-CN" w:bidi="ar-SA"/>
        </w:rPr>
        <w:t>forum shopping</w:t>
      </w: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)、发动滥诉的权利。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snapToGrid w:val="0"/>
        <w:spacing w:before="0" w:beforeAutospacing="0" w:after="0" w:afterAutospacing="0" w:line="600" w:lineRule="exact"/>
        <w:ind w:left="0" w:right="0" w:firstLine="640"/>
        <w:jc w:val="both"/>
        <w:textAlignment w:val="bottom"/>
        <w:rPr>
          <w:rFonts w:hint="eastAsia" w:ascii="外交粗仿宋" w:hAnsi="外交粗仿宋" w:eastAsia="外交粗仿宋" w:cs="外交粗仿宋"/>
          <w:b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第1、2款对管辖权的规定过于宽泛，如基于间接的“商业关系”(</w:t>
      </w:r>
      <w:r>
        <w:rPr>
          <w:rFonts w:hint="eastAsia" w:ascii="Times New Roman" w:hAnsi="Times New Roman" w:eastAsia="外交粗仿宋" w:cs="Times New Roman"/>
          <w:b w:val="0"/>
          <w:snapToGrid/>
          <w:kern w:val="0"/>
          <w:sz w:val="32"/>
          <w:szCs w:val="32"/>
          <w:lang w:val="en-US" w:eastAsia="zh-CN" w:bidi="ar-SA"/>
        </w:rPr>
        <w:t>business relationship</w:t>
      </w: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)、与其他案件的“密切关联”(</w:t>
      </w:r>
      <w:r>
        <w:rPr>
          <w:rFonts w:hint="eastAsia" w:ascii="Times New Roman" w:hAnsi="Times New Roman" w:eastAsia="外交粗仿宋" w:cs="Times New Roman"/>
          <w:b w:val="0"/>
          <w:snapToGrid/>
          <w:kern w:val="0"/>
          <w:sz w:val="32"/>
          <w:szCs w:val="32"/>
          <w:lang w:val="en-US" w:eastAsia="zh-CN" w:bidi="ar-SA"/>
        </w:rPr>
        <w:t>closely connected</w:t>
      </w: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)甚至主观色彩浓厚的“没有足以保障公平审判的法院”（</w:t>
      </w:r>
      <w:r>
        <w:rPr>
          <w:rFonts w:hint="eastAsia" w:ascii="Times New Roman" w:hAnsi="Times New Roman" w:eastAsia="外交粗仿宋" w:cs="Times New Roman"/>
          <w:b w:val="0"/>
          <w:snapToGrid/>
          <w:kern w:val="0"/>
          <w:sz w:val="32"/>
          <w:szCs w:val="32"/>
          <w:lang w:val="en-US" w:eastAsia="zh-CN" w:bidi="ar-SA"/>
        </w:rPr>
        <w:t>no other effective forum guaranteeing a fair trial is available</w:t>
      </w: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）等理由即赋予法院域外管辖权，无异于创设“普遍管辖”(</w:t>
      </w:r>
      <w:r>
        <w:rPr>
          <w:rFonts w:hint="eastAsia" w:ascii="Times New Roman" w:hAnsi="Times New Roman" w:eastAsia="外交粗仿宋" w:cs="Times New Roman"/>
          <w:b w:val="0"/>
          <w:snapToGrid/>
          <w:kern w:val="0"/>
          <w:sz w:val="32"/>
          <w:szCs w:val="32"/>
          <w:lang w:val="en-US" w:eastAsia="zh-CN" w:bidi="ar-SA"/>
        </w:rPr>
        <w:t>universal jurisdiction</w:t>
      </w: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)。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snapToGrid w:val="0"/>
        <w:spacing w:before="0" w:beforeAutospacing="0" w:after="0" w:afterAutospacing="0" w:line="600" w:lineRule="exact"/>
        <w:ind w:left="0" w:right="0" w:firstLine="640"/>
        <w:jc w:val="both"/>
        <w:textAlignment w:val="bottom"/>
        <w:rPr>
          <w:rFonts w:hint="eastAsia" w:ascii="外交粗仿宋" w:hAnsi="外交粗仿宋" w:eastAsia="外交粗仿宋" w:cs="外交粗仿宋"/>
          <w:b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第3款与第7条第5款一样，否定了“不方便法院”(</w:t>
      </w:r>
      <w:r>
        <w:rPr>
          <w:rFonts w:hint="eastAsia" w:ascii="Times New Roman" w:hAnsi="Times New Roman" w:eastAsia="外交粗仿宋" w:cs="Times New Roman"/>
          <w:b w:val="0"/>
          <w:i/>
          <w:snapToGrid/>
          <w:kern w:val="0"/>
          <w:sz w:val="32"/>
          <w:szCs w:val="32"/>
          <w:lang w:val="en-US" w:eastAsia="zh-CN" w:bidi="ar-SA"/>
        </w:rPr>
        <w:t>forum non conveniens</w:t>
      </w: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)原则。中方认为，是否对某个案件行使司法管辖权(</w:t>
      </w:r>
      <w:r>
        <w:rPr>
          <w:rFonts w:hint="eastAsia" w:ascii="Times New Roman" w:hAnsi="Times New Roman" w:eastAsia="外交粗仿宋" w:cs="Times New Roman"/>
          <w:b w:val="0"/>
          <w:snapToGrid/>
          <w:kern w:val="0"/>
          <w:sz w:val="32"/>
          <w:szCs w:val="32"/>
          <w:lang w:val="en-US" w:eastAsia="zh-CN" w:bidi="ar-SA"/>
        </w:rPr>
        <w:t>adjudicative jurisdiction</w:t>
      </w: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)是各国主权范围内的事，禁止适用不方便法院原则将妨害缔约国司法主权。“不方便法院”(</w:t>
      </w:r>
      <w:r>
        <w:rPr>
          <w:rFonts w:hint="eastAsia" w:ascii="Times New Roman" w:hAnsi="Times New Roman" w:eastAsia="外交粗仿宋" w:cs="Times New Roman"/>
          <w:b w:val="0"/>
          <w:i/>
          <w:snapToGrid/>
          <w:kern w:val="0"/>
          <w:sz w:val="32"/>
          <w:szCs w:val="32"/>
          <w:lang w:val="en-US" w:eastAsia="zh-CN" w:bidi="ar-SA"/>
        </w:rPr>
        <w:t>forum non conveniens</w:t>
      </w: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)原则具有其存在的合理性，也得到不少国家国内法的承认，不能轻易否定。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snapToGrid w:val="0"/>
        <w:spacing w:before="0" w:beforeLines="0" w:beforeAutospacing="0" w:after="0" w:afterLines="0" w:afterAutospacing="0" w:line="600" w:lineRule="exact"/>
        <w:ind w:left="0" w:right="0"/>
        <w:jc w:val="left"/>
        <w:textAlignment w:val="bottom"/>
        <w:rPr>
          <w:rFonts w:hint="eastAsia" w:ascii="外交粗仿宋" w:hAnsi="外交粗仿宋" w:eastAsia="外交粗仿宋" w:cs="外交粗仿宋"/>
          <w:b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 xml:space="preserve">     关于第10条“诉讼时效”(</w:t>
      </w:r>
      <w:r>
        <w:rPr>
          <w:rFonts w:hint="eastAsia" w:ascii="Times New Roman" w:hAnsi="Times New Roman" w:eastAsia="外交粗仿宋" w:cs="Times New Roman"/>
          <w:b w:val="0"/>
          <w:snapToGrid/>
          <w:kern w:val="0"/>
          <w:sz w:val="32"/>
          <w:szCs w:val="32"/>
          <w:lang w:val="en-US" w:eastAsia="zh-CN" w:bidi="ar-SA"/>
        </w:rPr>
        <w:t>statue of limitations</w:t>
      </w: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)，从国际实践看，不论刑事案件还是民事案件，一般都适用诉讼时效，不适用的是极个别情况。从现有国际法规则看，也仅有《国际刑事法院罗马规约》(</w:t>
      </w:r>
      <w:r>
        <w:rPr>
          <w:rFonts w:hint="eastAsia" w:ascii="Times New Roman" w:hAnsi="Times New Roman" w:eastAsia="外交粗仿宋" w:cs="Times New Roman"/>
          <w:b w:val="0"/>
          <w:snapToGrid/>
          <w:kern w:val="0"/>
          <w:sz w:val="32"/>
          <w:szCs w:val="32"/>
          <w:lang w:val="en-US" w:eastAsia="zh-CN" w:bidi="ar-SA"/>
        </w:rPr>
        <w:t>Rome statue</w:t>
      </w: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)规定的危害人类罪(</w:t>
      </w:r>
      <w:r>
        <w:rPr>
          <w:rFonts w:hint="eastAsia" w:ascii="Times New Roman" w:hAnsi="Times New Roman" w:eastAsia="外交粗仿宋" w:cs="Times New Roman"/>
          <w:b w:val="0"/>
          <w:snapToGrid/>
          <w:kern w:val="0"/>
          <w:sz w:val="32"/>
          <w:szCs w:val="32"/>
          <w:lang w:val="en-US" w:eastAsia="zh-CN" w:bidi="ar-SA"/>
        </w:rPr>
        <w:t>Crimes against humanity</w:t>
      </w: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)、灭绝种族罪(</w:t>
      </w:r>
      <w:r>
        <w:rPr>
          <w:rFonts w:hint="eastAsia" w:ascii="Times New Roman" w:hAnsi="Times New Roman" w:eastAsia="外交粗仿宋" w:cs="Times New Roman"/>
          <w:b w:val="0"/>
          <w:snapToGrid/>
          <w:kern w:val="0"/>
          <w:sz w:val="32"/>
          <w:szCs w:val="32"/>
          <w:lang w:val="en-US" w:eastAsia="zh-CN" w:bidi="ar-SA"/>
        </w:rPr>
        <w:t>Crime of genocide</w:t>
      </w: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)等性质极其恶劣的严重国际罪行不适用诉讼时效。本条规定不适用诉讼时效的对象是“所有构成对国际社会作为一个整体关切的最严重罪行”，(</w:t>
      </w:r>
      <w:r>
        <w:rPr>
          <w:rFonts w:hint="eastAsia" w:ascii="Times New Roman" w:hAnsi="Times New Roman" w:eastAsia="外交粗仿宋" w:cs="Times New Roman"/>
          <w:b w:val="0"/>
          <w:snapToGrid/>
          <w:kern w:val="0"/>
          <w:sz w:val="32"/>
          <w:szCs w:val="32"/>
          <w:lang w:val="en-US" w:eastAsia="zh-CN" w:bidi="ar-SA"/>
        </w:rPr>
        <w:t xml:space="preserve">the most serious crimes of concern to the international community as a whole </w:t>
      </w: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)这个概念十分模糊，国际社会缺乏共识，不仅缺乏可操作性，而且易在实践中引发争议，并与许多国家的国内法发生冲突。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bottom"/>
        <w:rPr>
          <w:rFonts w:hint="eastAsia" w:ascii="外交粗仿宋" w:hAnsi="外交粗仿宋" w:eastAsia="外交粗仿宋" w:cs="外交粗仿宋"/>
          <w:b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关于第11条“适用的法律”(</w:t>
      </w:r>
      <w:r>
        <w:rPr>
          <w:rFonts w:hint="eastAsia" w:ascii="Times New Roman" w:hAnsi="Times New Roman" w:eastAsia="外交粗仿宋" w:cs="Times New Roman"/>
          <w:b w:val="0"/>
          <w:snapToGrid/>
          <w:kern w:val="0"/>
          <w:sz w:val="32"/>
          <w:szCs w:val="32"/>
          <w:lang w:val="en-US" w:eastAsia="zh-CN" w:bidi="ar-SA"/>
        </w:rPr>
        <w:t>applicable law</w:t>
      </w: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)，应当区分民事案件和刑事案件。刑事案件中，不存在选择法律的问题。民事案件中，要增强法律确定性，避免受害者任意选择适用的法律，否则将极大地加重企业的合规负担，给企业的正常经营带来很大不确定性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bottom"/>
        <w:rPr>
          <w:rFonts w:hint="eastAsia" w:ascii="外交粗仿宋" w:hAnsi="外交粗仿宋" w:eastAsia="外交粗仿宋" w:cs="外交粗仿宋"/>
          <w:b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第1款规定适用包括冲突法规范在内的法院地法，但实践中部分国家冲突法设计较为复杂，在经过一系列复杂的转致(</w:t>
      </w:r>
      <w:r>
        <w:rPr>
          <w:rFonts w:hint="eastAsia" w:ascii="Times New Roman" w:hAnsi="Times New Roman" w:eastAsia="外交粗仿宋" w:cs="Times New Roman"/>
          <w:b w:val="0"/>
          <w:snapToGrid/>
          <w:kern w:val="0"/>
          <w:sz w:val="32"/>
          <w:szCs w:val="32"/>
          <w:lang w:val="en-US" w:eastAsia="zh-CN" w:bidi="ar-SA"/>
        </w:rPr>
        <w:t>transmission</w:t>
      </w: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)、反致(</w:t>
      </w:r>
      <w:r>
        <w:rPr>
          <w:rFonts w:hint="eastAsia" w:ascii="Times New Roman" w:hAnsi="Times New Roman" w:eastAsia="外交粗仿宋" w:cs="Times New Roman"/>
          <w:b w:val="0"/>
          <w:snapToGrid/>
          <w:kern w:val="0"/>
          <w:sz w:val="32"/>
          <w:szCs w:val="32"/>
          <w:lang w:val="en-US" w:eastAsia="zh-CN" w:bidi="ar-SA"/>
        </w:rPr>
        <w:t>remission</w:t>
      </w: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)，最终适用的法律不确定性很大。</w:t>
      </w:r>
    </w:p>
    <w:p>
      <w:pPr>
        <w:keepNext w:val="0"/>
        <w:keepLines w:val="0"/>
        <w:widowControl w:val="0"/>
        <w:suppressLineNumbers w:val="0"/>
        <w:overflowPunct w:val="0"/>
        <w:autoSpaceDE w:val="0"/>
        <w:autoSpaceDN w:val="0"/>
        <w:snapToGrid w:val="0"/>
        <w:spacing w:before="0" w:beforeAutospacing="0" w:after="0" w:afterAutospacing="0" w:line="600" w:lineRule="exact"/>
        <w:ind w:left="0" w:right="0" w:firstLine="640" w:firstLineChars="200"/>
        <w:jc w:val="both"/>
        <w:textAlignment w:val="bottom"/>
        <w:rPr>
          <w:rFonts w:hint="eastAsia" w:ascii="外交粗仿宋" w:hAnsi="外交粗仿宋" w:eastAsia="外交粗仿宋" w:cs="外交粗仿宋"/>
          <w:b w:val="0"/>
          <w:sz w:val="32"/>
          <w:szCs w:val="32"/>
        </w:rPr>
      </w:pPr>
      <w:r>
        <w:rPr>
          <w:rFonts w:hint="eastAsia" w:ascii="外交粗仿宋" w:hAnsi="外交粗仿宋" w:eastAsia="外交粗仿宋" w:cs="外交粗仿宋"/>
          <w:b w:val="0"/>
          <w:snapToGrid/>
          <w:kern w:val="0"/>
          <w:sz w:val="32"/>
          <w:szCs w:val="32"/>
          <w:lang w:val="en-US" w:eastAsia="zh-CN" w:bidi="ar-SA"/>
        </w:rPr>
        <w:t>第2款为有管辖权的法院选择适用的法律提供了多种可能，但未明确刑事诉讼和民事诉讼，以及民事诉讼中适用法律的顺位和条件。中方认为，这客观上为受害者任意挑选适用法律创造了机会，削弱了法律文书在适用法律方面的可预见性，将显著增加各国企业经营活动的合规成本和法律风险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_New_Roman">
    <w:altName w:val="Times New Roman"/>
    <w:panose1 w:val="02020603050405020304"/>
    <w:charset w:val="00"/>
    <w:family w:val="roman"/>
    <w:pitch w:val="default"/>
    <w:sig w:usb0="00000000" w:usb1="00000000" w:usb2="00000008" w:usb3="00000000" w:csb0="400001FF" w:csb1="FFFF0000"/>
  </w:font>
  <w:font w:name="外交粗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外交小标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外交黑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enturionOld">
    <w:altName w:val="Courier New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957D9"/>
    <w:rsid w:val="069957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snapToGrid w:val="0"/>
      <w:spacing w:line="336" w:lineRule="auto"/>
      <w:jc w:val="both"/>
      <w:textAlignment w:val="bottom"/>
    </w:pPr>
    <w:rPr>
      <w:rFonts w:ascii="Times_New_Roman" w:hAnsi="Times_New_Roman" w:eastAsia="外交粗仿宋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E02A02-CA30-4745-9C11-E50442B7B462}"/>
</file>

<file path=customXml/itemProps3.xml><?xml version="1.0" encoding="utf-8"?>
<ds:datastoreItem xmlns:ds="http://schemas.openxmlformats.org/officeDocument/2006/customXml" ds:itemID="{A92EDB33-D70A-49D4-B1AA-820C52D62D65}"/>
</file>

<file path=customXml/itemProps4.xml><?xml version="1.0" encoding="utf-8"?>
<ds:datastoreItem xmlns:ds="http://schemas.openxmlformats.org/officeDocument/2006/customXml" ds:itemID="{F4B48EA1-48B1-4248-8A6F-F9704BF137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对第9、10、11条的评论</dc:title>
  <dc:creator>wjb</dc:creator>
  <cp:lastModifiedBy>wjb</cp:lastModifiedBy>
  <cp:revision>1</cp:revision>
  <dcterms:created xsi:type="dcterms:W3CDTF">2020-11-03T08:23:00Z</dcterms:created>
  <dcterms:modified xsi:type="dcterms:W3CDTF">2020-11-03T08:23:16Z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0x0101008822B9E06671B54FA89F14538B9B0FEA</vt:lpwstr>
  </property>
</Properties>
</file>