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9C9" w:rsidRPr="002819C9" w:rsidRDefault="002819C9" w:rsidP="002819C9">
      <w:pPr>
        <w:keepNext/>
        <w:widowControl w:val="0"/>
        <w:numPr>
          <w:ilvl w:val="1"/>
          <w:numId w:val="23"/>
        </w:numPr>
        <w:suppressAutoHyphens/>
        <w:autoSpaceDE w:val="0"/>
        <w:spacing w:after="120"/>
        <w:jc w:val="center"/>
        <w:outlineLvl w:val="1"/>
        <w:rPr>
          <w:rFonts w:ascii="Times New Roman" w:eastAsiaTheme="majorEastAsia" w:hAnsi="Times New Roman" w:cstheme="majorBidi"/>
          <w:b/>
          <w:bCs/>
          <w:spacing w:val="0"/>
          <w:kern w:val="1"/>
          <w:sz w:val="20"/>
          <w:szCs w:val="26"/>
          <w:lang w:val="en-US" w:eastAsia="zh-CN" w:bidi="hi-IN"/>
        </w:rPr>
      </w:pPr>
      <w:r w:rsidRPr="002819C9">
        <w:rPr>
          <w:rFonts w:ascii="Times New Roman" w:eastAsiaTheme="majorEastAsia" w:hAnsi="Times New Roman" w:cstheme="majorBidi"/>
          <w:b/>
          <w:bCs/>
          <w:spacing w:val="0"/>
          <w:kern w:val="1"/>
          <w:sz w:val="20"/>
          <w:szCs w:val="26"/>
          <w:lang w:val="en-US" w:eastAsia="zh-CN" w:bidi="hi-IN"/>
        </w:rPr>
        <w:t xml:space="preserve">Oral Statement </w:t>
      </w:r>
      <w:r>
        <w:rPr>
          <w:rFonts w:ascii="Times New Roman" w:eastAsiaTheme="majorEastAsia" w:hAnsi="Times New Roman" w:cstheme="majorBidi"/>
          <w:b/>
          <w:bCs/>
          <w:spacing w:val="0"/>
          <w:kern w:val="1"/>
          <w:sz w:val="20"/>
          <w:szCs w:val="26"/>
          <w:lang w:val="en-US" w:eastAsia="zh-CN" w:bidi="hi-IN"/>
        </w:rPr>
        <w:t xml:space="preserve">International Commission of Jurists, </w:t>
      </w:r>
      <w:r w:rsidR="004F65F5" w:rsidRPr="004F65F5">
        <w:rPr>
          <w:rFonts w:ascii="Times New Roman" w:eastAsiaTheme="majorEastAsia" w:hAnsi="Times New Roman" w:cstheme="majorBidi"/>
          <w:b/>
          <w:bCs/>
          <w:spacing w:val="0"/>
          <w:kern w:val="1"/>
          <w:sz w:val="20"/>
          <w:szCs w:val="26"/>
          <w:lang w:val="en-US" w:eastAsia="zh-CN" w:bidi="hi-IN"/>
        </w:rPr>
        <w:t xml:space="preserve">DKA Austria, Child Rights Connect, ECPAT International, Geneva Infant Feeding Association, NGO Congregation of Our Lady of Charity of the Good Shepherd, </w:t>
      </w:r>
      <w:proofErr w:type="spellStart"/>
      <w:r w:rsidR="004F65F5" w:rsidRPr="004F65F5">
        <w:rPr>
          <w:rFonts w:ascii="Times New Roman" w:eastAsiaTheme="majorEastAsia" w:hAnsi="Times New Roman" w:cstheme="majorBidi"/>
          <w:b/>
          <w:bCs/>
          <w:spacing w:val="0"/>
          <w:kern w:val="1"/>
          <w:sz w:val="20"/>
          <w:szCs w:val="26"/>
          <w:lang w:val="en-US" w:eastAsia="zh-CN" w:bidi="hi-IN"/>
        </w:rPr>
        <w:t>Clínica</w:t>
      </w:r>
      <w:proofErr w:type="spellEnd"/>
      <w:r w:rsidR="004F65F5" w:rsidRPr="004F65F5">
        <w:rPr>
          <w:rFonts w:ascii="Times New Roman" w:eastAsiaTheme="majorEastAsia" w:hAnsi="Times New Roman" w:cstheme="majorBidi"/>
          <w:b/>
          <w:bCs/>
          <w:spacing w:val="0"/>
          <w:kern w:val="1"/>
          <w:sz w:val="20"/>
          <w:szCs w:val="26"/>
          <w:lang w:val="en-US" w:eastAsia="zh-CN" w:bidi="hi-IN"/>
        </w:rPr>
        <w:t xml:space="preserve"> de </w:t>
      </w:r>
      <w:proofErr w:type="spellStart"/>
      <w:r w:rsidR="004F65F5" w:rsidRPr="004F65F5">
        <w:rPr>
          <w:rFonts w:ascii="Times New Roman" w:eastAsiaTheme="majorEastAsia" w:hAnsi="Times New Roman" w:cstheme="majorBidi"/>
          <w:b/>
          <w:bCs/>
          <w:spacing w:val="0"/>
          <w:kern w:val="1"/>
          <w:sz w:val="20"/>
          <w:szCs w:val="26"/>
          <w:lang w:val="en-US" w:eastAsia="zh-CN" w:bidi="hi-IN"/>
        </w:rPr>
        <w:t>Direitos</w:t>
      </w:r>
      <w:proofErr w:type="spellEnd"/>
      <w:r w:rsidR="004F65F5" w:rsidRPr="004F65F5">
        <w:rPr>
          <w:rFonts w:ascii="Times New Roman" w:eastAsiaTheme="majorEastAsia" w:hAnsi="Times New Roman" w:cstheme="majorBidi"/>
          <w:b/>
          <w:bCs/>
          <w:spacing w:val="0"/>
          <w:kern w:val="1"/>
          <w:sz w:val="20"/>
          <w:szCs w:val="26"/>
          <w:lang w:val="en-US" w:eastAsia="zh-CN" w:bidi="hi-IN"/>
        </w:rPr>
        <w:t xml:space="preserve"> Humanos UFMG and </w:t>
      </w:r>
      <w:proofErr w:type="spellStart"/>
      <w:r w:rsidR="004F65F5" w:rsidRPr="004F65F5">
        <w:rPr>
          <w:rFonts w:ascii="Times New Roman" w:eastAsiaTheme="majorEastAsia" w:hAnsi="Times New Roman" w:cstheme="majorBidi"/>
          <w:b/>
          <w:bCs/>
          <w:spacing w:val="0"/>
          <w:kern w:val="1"/>
          <w:sz w:val="20"/>
          <w:szCs w:val="26"/>
          <w:lang w:val="en-US" w:eastAsia="zh-CN" w:bidi="hi-IN"/>
        </w:rPr>
        <w:t>Clínica</w:t>
      </w:r>
      <w:proofErr w:type="spellEnd"/>
      <w:r w:rsidR="004F65F5" w:rsidRPr="004F65F5">
        <w:rPr>
          <w:rFonts w:ascii="Times New Roman" w:eastAsiaTheme="majorEastAsia" w:hAnsi="Times New Roman" w:cstheme="majorBidi"/>
          <w:b/>
          <w:bCs/>
          <w:spacing w:val="0"/>
          <w:kern w:val="1"/>
          <w:sz w:val="20"/>
          <w:szCs w:val="26"/>
          <w:lang w:val="en-US" w:eastAsia="zh-CN" w:bidi="hi-IN"/>
        </w:rPr>
        <w:t xml:space="preserve"> de </w:t>
      </w:r>
      <w:proofErr w:type="spellStart"/>
      <w:r w:rsidR="004F65F5" w:rsidRPr="004F65F5">
        <w:rPr>
          <w:rFonts w:ascii="Times New Roman" w:eastAsiaTheme="majorEastAsia" w:hAnsi="Times New Roman" w:cstheme="majorBidi"/>
          <w:b/>
          <w:bCs/>
          <w:spacing w:val="0"/>
          <w:kern w:val="1"/>
          <w:sz w:val="20"/>
          <w:szCs w:val="26"/>
          <w:lang w:val="en-US" w:eastAsia="zh-CN" w:bidi="hi-IN"/>
        </w:rPr>
        <w:t>Direitos</w:t>
      </w:r>
      <w:proofErr w:type="spellEnd"/>
      <w:r w:rsidR="004F65F5" w:rsidRPr="004F65F5">
        <w:rPr>
          <w:rFonts w:ascii="Times New Roman" w:eastAsiaTheme="majorEastAsia" w:hAnsi="Times New Roman" w:cstheme="majorBidi"/>
          <w:b/>
          <w:bCs/>
          <w:spacing w:val="0"/>
          <w:kern w:val="1"/>
          <w:sz w:val="20"/>
          <w:szCs w:val="26"/>
          <w:lang w:val="en-US" w:eastAsia="zh-CN" w:bidi="hi-IN"/>
        </w:rPr>
        <w:t xml:space="preserve"> Humanos PPGD/PUCPR</w:t>
      </w:r>
    </w:p>
    <w:p w:rsidR="002819C9" w:rsidRPr="002819C9" w:rsidRDefault="002819C9" w:rsidP="002819C9">
      <w:pPr>
        <w:widowControl w:val="0"/>
        <w:suppressAutoHyphens/>
        <w:jc w:val="center"/>
        <w:rPr>
          <w:rFonts w:ascii="Times New Roman" w:eastAsia="Droid Sans" w:hAnsi="Times New Roman" w:cs="Lohit Hindi"/>
          <w:b/>
          <w:bCs/>
          <w:i/>
          <w:iCs/>
          <w:spacing w:val="0"/>
          <w:kern w:val="1"/>
          <w:sz w:val="20"/>
          <w:lang w:val="en-US" w:eastAsia="zh-CN" w:bidi="hi-IN"/>
        </w:rPr>
      </w:pPr>
      <w:r w:rsidRPr="002819C9">
        <w:rPr>
          <w:rFonts w:ascii="Times New Roman" w:eastAsia="Droid Sans" w:hAnsi="Times New Roman" w:cs="Lohit Hindi"/>
          <w:b/>
          <w:i/>
          <w:spacing w:val="0"/>
          <w:kern w:val="1"/>
          <w:sz w:val="20"/>
          <w:lang w:val="en-US" w:eastAsia="zh-CN" w:bidi="hi-IN"/>
        </w:rPr>
        <w:t xml:space="preserve">Open-ended intergovernmental working group for the </w:t>
      </w:r>
      <w:r w:rsidRPr="002819C9">
        <w:rPr>
          <w:rFonts w:ascii="Times New Roman" w:eastAsia="Droid Sans" w:hAnsi="Times New Roman" w:cs="Lohit Hindi"/>
          <w:b/>
          <w:bCs/>
          <w:i/>
          <w:spacing w:val="0"/>
          <w:kern w:val="1"/>
          <w:sz w:val="20"/>
          <w:lang w:val="en-US" w:eastAsia="zh-CN" w:bidi="hi-IN"/>
        </w:rPr>
        <w:t>e</w:t>
      </w:r>
      <w:r w:rsidRPr="002819C9">
        <w:rPr>
          <w:rFonts w:ascii="Times New Roman" w:eastAsia="Droid Sans" w:hAnsi="Times New Roman" w:cs="Lohit Hindi"/>
          <w:b/>
          <w:bCs/>
          <w:i/>
          <w:iCs/>
          <w:spacing w:val="0"/>
          <w:kern w:val="1"/>
          <w:sz w:val="20"/>
          <w:lang w:val="en-US" w:eastAsia="zh-CN" w:bidi="hi-IN"/>
        </w:rPr>
        <w:t>laboration of an International Legally Binding Instrument on Transnational Corporations and other Business Enterprises with respect to human rights, Resolution A/HRC/26/9</w:t>
      </w:r>
    </w:p>
    <w:p w:rsidR="002819C9" w:rsidRPr="002819C9" w:rsidRDefault="002819C9" w:rsidP="002819C9">
      <w:pPr>
        <w:widowControl w:val="0"/>
        <w:suppressAutoHyphens/>
        <w:jc w:val="center"/>
        <w:rPr>
          <w:rFonts w:ascii="Times New Roman" w:eastAsia="Droid Sans" w:hAnsi="Times New Roman" w:cs="Lohit Hindi"/>
          <w:b/>
          <w:bCs/>
          <w:spacing w:val="0"/>
          <w:kern w:val="1"/>
          <w:sz w:val="20"/>
          <w:szCs w:val="24"/>
          <w:lang w:val="fr-CH" w:eastAsia="zh-CN" w:bidi="hi-IN"/>
        </w:rPr>
      </w:pPr>
      <w:r w:rsidRPr="002819C9">
        <w:rPr>
          <w:rFonts w:ascii="Times New Roman" w:eastAsia="Droid Sans" w:hAnsi="Times New Roman" w:cs="Lohit Hindi"/>
          <w:b/>
          <w:bCs/>
          <w:spacing w:val="0"/>
          <w:kern w:val="1"/>
          <w:sz w:val="20"/>
          <w:szCs w:val="24"/>
          <w:lang w:val="fr-CH" w:eastAsia="zh-CN" w:bidi="hi-IN"/>
        </w:rPr>
        <w:t>Geneva, Palais des Nations, Room XX</w:t>
      </w:r>
    </w:p>
    <w:p w:rsidR="002819C9" w:rsidRPr="002819C9" w:rsidRDefault="002819C9" w:rsidP="002819C9">
      <w:pPr>
        <w:keepNext/>
        <w:widowControl w:val="0"/>
        <w:numPr>
          <w:ilvl w:val="1"/>
          <w:numId w:val="23"/>
        </w:numPr>
        <w:suppressAutoHyphens/>
        <w:autoSpaceDE w:val="0"/>
        <w:jc w:val="center"/>
        <w:outlineLvl w:val="1"/>
        <w:rPr>
          <w:rFonts w:ascii="Times New Roman" w:eastAsiaTheme="majorEastAsia" w:hAnsi="Times New Roman" w:cstheme="majorBidi"/>
          <w:b/>
          <w:bCs/>
          <w:spacing w:val="0"/>
          <w:kern w:val="1"/>
          <w:sz w:val="20"/>
          <w:szCs w:val="26"/>
          <w:lang w:val="de-DE" w:eastAsia="zh-CN" w:bidi="hi-IN"/>
        </w:rPr>
      </w:pPr>
      <w:proofErr w:type="spellStart"/>
      <w:r w:rsidRPr="002819C9">
        <w:rPr>
          <w:rFonts w:ascii="Times New Roman" w:eastAsiaTheme="majorEastAsia" w:hAnsi="Times New Roman" w:cstheme="majorBidi"/>
          <w:b/>
          <w:bCs/>
          <w:spacing w:val="0"/>
          <w:kern w:val="1"/>
          <w:sz w:val="20"/>
          <w:szCs w:val="26"/>
          <w:lang w:val="de-DE" w:eastAsia="zh-CN" w:bidi="hi-IN"/>
        </w:rPr>
        <w:t>Sixth</w:t>
      </w:r>
      <w:proofErr w:type="spellEnd"/>
      <w:r w:rsidRPr="002819C9">
        <w:rPr>
          <w:rFonts w:ascii="Times New Roman" w:eastAsiaTheme="majorEastAsia" w:hAnsi="Times New Roman" w:cstheme="majorBidi"/>
          <w:b/>
          <w:bCs/>
          <w:spacing w:val="0"/>
          <w:kern w:val="1"/>
          <w:sz w:val="20"/>
          <w:szCs w:val="26"/>
          <w:lang w:val="de-DE" w:eastAsia="zh-CN" w:bidi="hi-IN"/>
        </w:rPr>
        <w:t xml:space="preserve"> Session 26 </w:t>
      </w:r>
      <w:proofErr w:type="spellStart"/>
      <w:r w:rsidRPr="002819C9">
        <w:rPr>
          <w:rFonts w:ascii="Times New Roman" w:eastAsiaTheme="majorEastAsia" w:hAnsi="Times New Roman" w:cstheme="majorBidi"/>
          <w:b/>
          <w:bCs/>
          <w:spacing w:val="0"/>
          <w:kern w:val="1"/>
          <w:sz w:val="20"/>
          <w:szCs w:val="26"/>
          <w:lang w:val="de-DE" w:eastAsia="zh-CN" w:bidi="hi-IN"/>
        </w:rPr>
        <w:t>to</w:t>
      </w:r>
      <w:proofErr w:type="spellEnd"/>
      <w:r w:rsidRPr="002819C9">
        <w:rPr>
          <w:rFonts w:ascii="Times New Roman" w:eastAsiaTheme="majorEastAsia" w:hAnsi="Times New Roman" w:cstheme="majorBidi"/>
          <w:b/>
          <w:bCs/>
          <w:spacing w:val="0"/>
          <w:kern w:val="1"/>
          <w:sz w:val="20"/>
          <w:szCs w:val="26"/>
          <w:lang w:val="de-DE" w:eastAsia="zh-CN" w:bidi="hi-IN"/>
        </w:rPr>
        <w:t xml:space="preserve"> 30 </w:t>
      </w:r>
      <w:proofErr w:type="spellStart"/>
      <w:r w:rsidRPr="002819C9">
        <w:rPr>
          <w:rFonts w:ascii="Times New Roman" w:eastAsiaTheme="majorEastAsia" w:hAnsi="Times New Roman" w:cstheme="majorBidi"/>
          <w:b/>
          <w:bCs/>
          <w:spacing w:val="0"/>
          <w:kern w:val="1"/>
          <w:sz w:val="20"/>
          <w:szCs w:val="26"/>
          <w:lang w:val="de-DE" w:eastAsia="zh-CN" w:bidi="hi-IN"/>
        </w:rPr>
        <w:t>October</w:t>
      </w:r>
      <w:proofErr w:type="spellEnd"/>
      <w:r w:rsidRPr="002819C9">
        <w:rPr>
          <w:rFonts w:ascii="Times New Roman" w:eastAsiaTheme="majorEastAsia" w:hAnsi="Times New Roman" w:cstheme="majorBidi"/>
          <w:b/>
          <w:bCs/>
          <w:spacing w:val="0"/>
          <w:kern w:val="1"/>
          <w:sz w:val="20"/>
          <w:szCs w:val="26"/>
          <w:lang w:val="de-DE" w:eastAsia="zh-CN" w:bidi="hi-IN"/>
        </w:rPr>
        <w:t xml:space="preserve"> 2020</w:t>
      </w:r>
    </w:p>
    <w:p w:rsidR="002819C9" w:rsidRPr="002819C9" w:rsidRDefault="002819C9" w:rsidP="002819C9">
      <w:pPr>
        <w:widowControl w:val="0"/>
        <w:suppressAutoHyphens/>
        <w:rPr>
          <w:rFonts w:ascii="Times New Roman" w:eastAsia="Droid Sans" w:hAnsi="Times New Roman" w:cs="Lohit Hindi"/>
          <w:spacing w:val="0"/>
          <w:kern w:val="1"/>
          <w:sz w:val="24"/>
          <w:szCs w:val="24"/>
          <w:lang w:val="en-US" w:eastAsia="zh-CN" w:bidi="hi-IN"/>
        </w:rPr>
      </w:pPr>
    </w:p>
    <w:p w:rsidR="002819C9" w:rsidRDefault="002819C9" w:rsidP="002819C9">
      <w:pPr>
        <w:widowControl w:val="0"/>
        <w:suppressAutoHyphens/>
        <w:jc w:val="center"/>
        <w:rPr>
          <w:rFonts w:ascii="Times New Roman" w:eastAsia="Droid Sans" w:hAnsi="Times New Roman" w:cs="Lohit Hindi"/>
          <w:b/>
          <w:spacing w:val="0"/>
          <w:kern w:val="1"/>
          <w:sz w:val="24"/>
          <w:szCs w:val="24"/>
          <w:u w:val="single"/>
          <w:lang w:val="en-US" w:eastAsia="zh-CN" w:bidi="hi-IN"/>
        </w:rPr>
      </w:pPr>
      <w:r w:rsidRPr="002819C9">
        <w:rPr>
          <w:rFonts w:ascii="Times New Roman" w:eastAsia="Droid Sans" w:hAnsi="Times New Roman" w:cs="Lohit Hindi"/>
          <w:b/>
          <w:spacing w:val="0"/>
          <w:kern w:val="1"/>
          <w:sz w:val="24"/>
          <w:szCs w:val="24"/>
          <w:u w:val="single"/>
          <w:lang w:val="en-US" w:eastAsia="zh-CN" w:bidi="hi-IN"/>
        </w:rPr>
        <w:t>Monday 26 October, 2020 at 1</w:t>
      </w:r>
      <w:r>
        <w:rPr>
          <w:rFonts w:ascii="Times New Roman" w:eastAsia="Droid Sans" w:hAnsi="Times New Roman" w:cs="Lohit Hindi"/>
          <w:b/>
          <w:spacing w:val="0"/>
          <w:kern w:val="1"/>
          <w:sz w:val="24"/>
          <w:szCs w:val="24"/>
          <w:u w:val="single"/>
          <w:lang w:val="en-US" w:eastAsia="zh-CN" w:bidi="hi-IN"/>
        </w:rPr>
        <w:t>0h00 to 13h00</w:t>
      </w:r>
    </w:p>
    <w:p w:rsidR="002819C9" w:rsidRDefault="002819C9" w:rsidP="002819C9">
      <w:pPr>
        <w:widowControl w:val="0"/>
        <w:suppressAutoHyphens/>
        <w:jc w:val="center"/>
        <w:rPr>
          <w:rFonts w:ascii="Times New Roman" w:eastAsia="Droid Sans" w:hAnsi="Times New Roman" w:cs="Lohit Hindi"/>
          <w:b/>
          <w:spacing w:val="0"/>
          <w:kern w:val="1"/>
          <w:sz w:val="24"/>
          <w:szCs w:val="24"/>
          <w:u w:val="single"/>
          <w:lang w:val="en-US" w:eastAsia="zh-CN" w:bidi="hi-IN"/>
        </w:rPr>
      </w:pPr>
    </w:p>
    <w:p w:rsidR="002819C9" w:rsidRPr="002819C9" w:rsidRDefault="002819C9" w:rsidP="00C52DB0">
      <w:pPr>
        <w:widowControl w:val="0"/>
        <w:suppressAutoHyphens/>
        <w:jc w:val="center"/>
        <w:rPr>
          <w:rFonts w:ascii="Times New Roman" w:eastAsia="Droid Sans" w:hAnsi="Times New Roman" w:cs="Lohit Hindi"/>
          <w:b/>
          <w:spacing w:val="0"/>
          <w:kern w:val="1"/>
          <w:sz w:val="24"/>
          <w:szCs w:val="24"/>
          <w:u w:val="single"/>
          <w:lang w:val="en-US" w:eastAsia="zh-CN" w:bidi="hi-IN"/>
        </w:rPr>
      </w:pPr>
      <w:r w:rsidRPr="002819C9">
        <w:rPr>
          <w:rFonts w:ascii="Times New Roman" w:eastAsia="Droid Sans" w:hAnsi="Times New Roman" w:cs="Lohit Hindi"/>
          <w:b/>
          <w:spacing w:val="0"/>
          <w:kern w:val="1"/>
          <w:sz w:val="24"/>
          <w:szCs w:val="24"/>
          <w:u w:val="single"/>
          <w:lang w:val="en-US" w:eastAsia="zh-CN" w:bidi="hi-IN"/>
        </w:rPr>
        <w:t>General Oral Statement</w:t>
      </w:r>
    </w:p>
    <w:p w:rsidR="00A64447" w:rsidRDefault="00A64447" w:rsidP="002819C9">
      <w:pPr>
        <w:rPr>
          <w:lang w:val="en-US"/>
        </w:rPr>
      </w:pPr>
    </w:p>
    <w:p w:rsidR="00C52DB0" w:rsidRDefault="00C52DB0" w:rsidP="008956B5">
      <w:pPr>
        <w:rPr>
          <w:lang w:val="en-US"/>
        </w:rPr>
      </w:pPr>
    </w:p>
    <w:p w:rsidR="008956B5" w:rsidRDefault="003F7D94" w:rsidP="008956B5">
      <w:pPr>
        <w:rPr>
          <w:lang w:val="en-US"/>
        </w:rPr>
      </w:pPr>
      <w:r>
        <w:rPr>
          <w:lang w:val="en-US"/>
        </w:rPr>
        <w:t>On b</w:t>
      </w:r>
      <w:bookmarkStart w:id="0" w:name="_GoBack"/>
      <w:bookmarkEnd w:id="0"/>
      <w:r w:rsidR="008956B5" w:rsidRPr="008956B5">
        <w:rPr>
          <w:lang w:val="en-US"/>
        </w:rPr>
        <w:t>ehalf of</w:t>
      </w:r>
      <w:r w:rsidR="004F65F5">
        <w:rPr>
          <w:lang w:val="en-US"/>
        </w:rPr>
        <w:t xml:space="preserve"> the International Commission of Jurists,</w:t>
      </w:r>
      <w:r w:rsidR="008956B5" w:rsidRPr="008956B5">
        <w:rPr>
          <w:lang w:val="en-US"/>
        </w:rPr>
        <w:t xml:space="preserve"> DKA Austria, Child Rights Connect, ECPAT International, Geneva Infant Feeding Association, NGO Congregation of Our Lady of Charity of the Good Shepherd, </w:t>
      </w:r>
      <w:proofErr w:type="spellStart"/>
      <w:r w:rsidR="008956B5" w:rsidRPr="008956B5">
        <w:rPr>
          <w:lang w:val="en-US"/>
        </w:rPr>
        <w:t>Clínica</w:t>
      </w:r>
      <w:proofErr w:type="spellEnd"/>
      <w:r w:rsidR="008956B5" w:rsidRPr="008956B5">
        <w:rPr>
          <w:lang w:val="en-US"/>
        </w:rPr>
        <w:t xml:space="preserve"> de </w:t>
      </w:r>
      <w:proofErr w:type="spellStart"/>
      <w:r w:rsidR="008956B5" w:rsidRPr="008956B5">
        <w:rPr>
          <w:lang w:val="en-US"/>
        </w:rPr>
        <w:t>Direitos</w:t>
      </w:r>
      <w:proofErr w:type="spellEnd"/>
      <w:r w:rsidR="008956B5" w:rsidRPr="008956B5">
        <w:rPr>
          <w:lang w:val="en-US"/>
        </w:rPr>
        <w:t xml:space="preserve"> Humanos UFMG and </w:t>
      </w:r>
      <w:proofErr w:type="spellStart"/>
      <w:r w:rsidR="008956B5" w:rsidRPr="008956B5">
        <w:rPr>
          <w:lang w:val="en-US"/>
        </w:rPr>
        <w:t>Clínica</w:t>
      </w:r>
      <w:proofErr w:type="spellEnd"/>
      <w:r w:rsidR="008956B5" w:rsidRPr="008956B5">
        <w:rPr>
          <w:lang w:val="en-US"/>
        </w:rPr>
        <w:t xml:space="preserve"> de </w:t>
      </w:r>
      <w:proofErr w:type="spellStart"/>
      <w:r w:rsidR="008956B5" w:rsidRPr="008956B5">
        <w:rPr>
          <w:lang w:val="en-US"/>
        </w:rPr>
        <w:t>Direitos</w:t>
      </w:r>
      <w:proofErr w:type="spellEnd"/>
      <w:r w:rsidR="008956B5" w:rsidRPr="008956B5">
        <w:rPr>
          <w:lang w:val="en-US"/>
        </w:rPr>
        <w:t xml:space="preserve"> Humanos PPGD/PUCPR</w:t>
      </w:r>
      <w:r w:rsidR="004F65F5">
        <w:rPr>
          <w:lang w:val="en-US"/>
        </w:rPr>
        <w:t>.</w:t>
      </w:r>
    </w:p>
    <w:p w:rsidR="004F65F5" w:rsidRDefault="004F65F5" w:rsidP="008956B5">
      <w:pPr>
        <w:rPr>
          <w:lang w:val="en-US"/>
        </w:rPr>
      </w:pPr>
    </w:p>
    <w:p w:rsidR="008956B5" w:rsidRDefault="008956B5" w:rsidP="008956B5">
      <w:pPr>
        <w:rPr>
          <w:lang w:val="en-US"/>
        </w:rPr>
      </w:pPr>
      <w:r>
        <w:rPr>
          <w:lang w:val="en-US"/>
        </w:rPr>
        <w:t xml:space="preserve">We thank the </w:t>
      </w:r>
      <w:r w:rsidR="000C65CC">
        <w:rPr>
          <w:lang w:val="en-US"/>
        </w:rPr>
        <w:t>i</w:t>
      </w:r>
      <w:r>
        <w:rPr>
          <w:lang w:val="en-US"/>
        </w:rPr>
        <w:t xml:space="preserve">ntergovernmental </w:t>
      </w:r>
      <w:r w:rsidR="000C65CC">
        <w:rPr>
          <w:lang w:val="en-US"/>
        </w:rPr>
        <w:t>w</w:t>
      </w:r>
      <w:r>
        <w:rPr>
          <w:lang w:val="en-US"/>
        </w:rPr>
        <w:t xml:space="preserve">orking </w:t>
      </w:r>
      <w:r w:rsidR="000C65CC">
        <w:rPr>
          <w:lang w:val="en-US"/>
        </w:rPr>
        <w:t>g</w:t>
      </w:r>
      <w:r>
        <w:rPr>
          <w:lang w:val="en-US"/>
        </w:rPr>
        <w:t xml:space="preserve">roup for all the work undertaken in the past years in bringing forward the development of a legally binding instrument regulating the activities of </w:t>
      </w:r>
      <w:r w:rsidR="004F65F5">
        <w:rPr>
          <w:lang w:val="en-US"/>
        </w:rPr>
        <w:t>t</w:t>
      </w:r>
      <w:r w:rsidRPr="008956B5">
        <w:rPr>
          <w:lang w:val="en-US"/>
        </w:rPr>
        <w:t xml:space="preserve">ransnational </w:t>
      </w:r>
      <w:r w:rsidR="004F65F5">
        <w:rPr>
          <w:lang w:val="en-US"/>
        </w:rPr>
        <w:t>c</w:t>
      </w:r>
      <w:r w:rsidRPr="008956B5">
        <w:rPr>
          <w:lang w:val="en-US"/>
        </w:rPr>
        <w:t xml:space="preserve">orporations and other </w:t>
      </w:r>
      <w:r w:rsidR="004F65F5">
        <w:rPr>
          <w:lang w:val="en-US"/>
        </w:rPr>
        <w:t>b</w:t>
      </w:r>
      <w:r w:rsidRPr="008956B5">
        <w:rPr>
          <w:lang w:val="en-US"/>
        </w:rPr>
        <w:t xml:space="preserve">usiness </w:t>
      </w:r>
      <w:r w:rsidR="004F65F5">
        <w:rPr>
          <w:lang w:val="en-US"/>
        </w:rPr>
        <w:t>e</w:t>
      </w:r>
      <w:r w:rsidRPr="008956B5">
        <w:rPr>
          <w:lang w:val="en-US"/>
        </w:rPr>
        <w:t>nterprises with respect to human rights</w:t>
      </w:r>
      <w:r>
        <w:rPr>
          <w:lang w:val="en-US"/>
        </w:rPr>
        <w:t>.</w:t>
      </w:r>
    </w:p>
    <w:p w:rsidR="008956B5" w:rsidRDefault="008956B5" w:rsidP="008956B5">
      <w:pPr>
        <w:rPr>
          <w:lang w:val="en-US"/>
        </w:rPr>
      </w:pPr>
    </w:p>
    <w:p w:rsidR="008956B5" w:rsidRDefault="008956B5" w:rsidP="008956B5">
      <w:pPr>
        <w:rPr>
          <w:lang w:val="en-US"/>
        </w:rPr>
      </w:pPr>
      <w:r>
        <w:rPr>
          <w:lang w:val="en-US"/>
        </w:rPr>
        <w:t xml:space="preserve">The informal network of </w:t>
      </w:r>
      <w:proofErr w:type="spellStart"/>
      <w:r>
        <w:rPr>
          <w:lang w:val="en-US"/>
        </w:rPr>
        <w:t>organisations</w:t>
      </w:r>
      <w:proofErr w:type="spellEnd"/>
      <w:r>
        <w:rPr>
          <w:lang w:val="en-US"/>
        </w:rPr>
        <w:t xml:space="preserve"> mentioned above has been working on a proper integration of children’s rights in the treaty. Our aim is not to add the term children in every provision but to examine </w:t>
      </w:r>
      <w:r w:rsidR="00C52DB0">
        <w:rPr>
          <w:lang w:val="en-US"/>
        </w:rPr>
        <w:t xml:space="preserve">closely </w:t>
      </w:r>
      <w:r>
        <w:rPr>
          <w:lang w:val="en-US"/>
        </w:rPr>
        <w:t>each article from a child rights</w:t>
      </w:r>
      <w:r w:rsidR="004F65F5">
        <w:rPr>
          <w:lang w:val="en-US"/>
        </w:rPr>
        <w:t>’</w:t>
      </w:r>
      <w:r>
        <w:rPr>
          <w:lang w:val="en-US"/>
        </w:rPr>
        <w:t xml:space="preserve"> perspective and give wording recommendations on how the LBI could respect, protect and fulfil the rights of children.</w:t>
      </w:r>
    </w:p>
    <w:p w:rsidR="00C52DB0" w:rsidRDefault="00C52DB0" w:rsidP="008956B5">
      <w:pPr>
        <w:rPr>
          <w:lang w:val="en-US"/>
        </w:rPr>
      </w:pPr>
    </w:p>
    <w:p w:rsidR="008956B5" w:rsidRDefault="005C2D0E" w:rsidP="008956B5">
      <w:pPr>
        <w:rPr>
          <w:lang w:val="en-US"/>
        </w:rPr>
      </w:pPr>
      <w:r w:rsidRPr="0079555C">
        <w:rPr>
          <w:lang w:val="en-US"/>
        </w:rPr>
        <w:t>Children are “often disproportionately affected by the adverse impact of business activities”.</w:t>
      </w:r>
      <w:r w:rsidRPr="0079555C">
        <w:rPr>
          <w:rStyle w:val="Funotenzeichen"/>
          <w:lang w:val="en-US"/>
        </w:rPr>
        <w:footnoteReference w:id="1"/>
      </w:r>
      <w:r w:rsidRPr="0079555C">
        <w:rPr>
          <w:lang w:val="en-US"/>
        </w:rPr>
        <w:t xml:space="preserve"> Yet, the impact of business on children and their rights is often still invisible to many stakeholders</w:t>
      </w:r>
      <w:r w:rsidR="00C52DB0">
        <w:rPr>
          <w:lang w:val="en-US"/>
        </w:rPr>
        <w:t xml:space="preserve"> such as</w:t>
      </w:r>
      <w:r w:rsidRPr="0079555C">
        <w:rPr>
          <w:lang w:val="en-US"/>
        </w:rPr>
        <w:t xml:space="preserve"> governmental authorities and decision makers within the business sector, but also human rights advocates. The special focus typically given by companies to child </w:t>
      </w:r>
      <w:proofErr w:type="spellStart"/>
      <w:r w:rsidRPr="0079555C">
        <w:rPr>
          <w:lang w:val="en-US"/>
        </w:rPr>
        <w:t>labo</w:t>
      </w:r>
      <w:r>
        <w:rPr>
          <w:lang w:val="en-US"/>
        </w:rPr>
        <w:t>u</w:t>
      </w:r>
      <w:r w:rsidRPr="0079555C">
        <w:rPr>
          <w:lang w:val="en-US"/>
        </w:rPr>
        <w:t>r</w:t>
      </w:r>
      <w:proofErr w:type="spellEnd"/>
      <w:r w:rsidRPr="0079555C">
        <w:rPr>
          <w:lang w:val="en-US"/>
        </w:rPr>
        <w:t xml:space="preserve"> or product responsibility towards children has often diverted attention from the full range of other impacted human rights</w:t>
      </w:r>
    </w:p>
    <w:p w:rsidR="005C2D0E" w:rsidRDefault="005C2D0E" w:rsidP="008956B5">
      <w:pPr>
        <w:rPr>
          <w:lang w:val="en-US"/>
        </w:rPr>
      </w:pPr>
    </w:p>
    <w:p w:rsidR="00C52DB0" w:rsidRDefault="00C52DB0" w:rsidP="008956B5">
      <w:pPr>
        <w:rPr>
          <w:lang w:val="en-US"/>
        </w:rPr>
      </w:pPr>
      <w:r w:rsidRPr="0079555C">
        <w:rPr>
          <w:lang w:val="en-US"/>
        </w:rPr>
        <w:t>Children are potential consumers targeted by marketing strategies and prone to using harmful or unsuitable products and services, off and online.</w:t>
      </w:r>
      <w:r w:rsidRPr="0079555C">
        <w:rPr>
          <w:rStyle w:val="Funotenzeichen"/>
          <w:lang w:val="en-US"/>
        </w:rPr>
        <w:footnoteReference w:id="2"/>
      </w:r>
      <w:r w:rsidRPr="0079555C">
        <w:rPr>
          <w:lang w:val="en-US"/>
        </w:rPr>
        <w:t xml:space="preserve"> Many are workers</w:t>
      </w:r>
      <w:r w:rsidRPr="0079555C">
        <w:rPr>
          <w:rStyle w:val="Funotenzeichen"/>
          <w:lang w:val="en-US"/>
        </w:rPr>
        <w:footnoteReference w:id="3"/>
      </w:r>
      <w:r w:rsidRPr="0079555C">
        <w:rPr>
          <w:lang w:val="en-US"/>
        </w:rPr>
        <w:t xml:space="preserve"> in the formal or informal economy. They are family members of business employees and, as such, they may be directly affected by their working conditions and environment. Children are also members or residents of communities and environments, which are affected by business activities or in which business operates.  </w:t>
      </w:r>
    </w:p>
    <w:p w:rsidR="00C52DB0" w:rsidRDefault="00C52DB0" w:rsidP="008956B5">
      <w:pPr>
        <w:rPr>
          <w:lang w:val="en-US"/>
        </w:rPr>
      </w:pPr>
    </w:p>
    <w:p w:rsidR="00C52DB0" w:rsidRDefault="005C2D0E" w:rsidP="002819C9">
      <w:pPr>
        <w:rPr>
          <w:lang w:val="en-US"/>
        </w:rPr>
      </w:pPr>
      <w:r>
        <w:rPr>
          <w:lang w:val="en-US"/>
        </w:rPr>
        <w:t>With this in mind, a child</w:t>
      </w:r>
      <w:r w:rsidR="00342986">
        <w:rPr>
          <w:lang w:val="en-US"/>
        </w:rPr>
        <w:t>ren’s</w:t>
      </w:r>
      <w:r>
        <w:rPr>
          <w:lang w:val="en-US"/>
        </w:rPr>
        <w:t xml:space="preserve"> rights-based analysis of the 2020 Draft LBI was conducted by the International Commission of Jurists at our request. This study underlines </w:t>
      </w:r>
      <w:r w:rsidR="00C52DB0">
        <w:rPr>
          <w:lang w:val="en-US"/>
        </w:rPr>
        <w:t xml:space="preserve">on one hand </w:t>
      </w:r>
      <w:r>
        <w:rPr>
          <w:lang w:val="en-US"/>
        </w:rPr>
        <w:t xml:space="preserve">the ways in which children are impacted by business activities and </w:t>
      </w:r>
      <w:r w:rsidR="00C52DB0">
        <w:rPr>
          <w:lang w:val="en-US"/>
        </w:rPr>
        <w:t xml:space="preserve">on the other hand the ways in which </w:t>
      </w:r>
      <w:r>
        <w:rPr>
          <w:lang w:val="en-US"/>
        </w:rPr>
        <w:t>the LBI should best guarantee the fulfillment of children</w:t>
      </w:r>
      <w:r w:rsidR="00303CC0">
        <w:rPr>
          <w:lang w:val="en-US"/>
        </w:rPr>
        <w:t>’s</w:t>
      </w:r>
      <w:r>
        <w:rPr>
          <w:lang w:val="en-US"/>
        </w:rPr>
        <w:t xml:space="preserve"> rights. We will highlight the findings during the sessions this week </w:t>
      </w:r>
      <w:r w:rsidR="00C52DB0">
        <w:rPr>
          <w:lang w:val="en-US"/>
        </w:rPr>
        <w:t xml:space="preserve">and thank you in advance for </w:t>
      </w:r>
      <w:r w:rsidR="0067212B">
        <w:rPr>
          <w:lang w:val="en-US"/>
        </w:rPr>
        <w:t>taking note and considering</w:t>
      </w:r>
      <w:r w:rsidR="00C52DB0">
        <w:rPr>
          <w:lang w:val="en-US"/>
        </w:rPr>
        <w:t xml:space="preserve"> our proposals. </w:t>
      </w:r>
    </w:p>
    <w:p w:rsidR="00176918" w:rsidRDefault="00C52DB0" w:rsidP="002819C9">
      <w:pPr>
        <w:rPr>
          <w:lang w:val="en-US"/>
        </w:rPr>
      </w:pPr>
      <w:r>
        <w:rPr>
          <w:lang w:val="en-US"/>
        </w:rPr>
        <w:t>Thank you Chair!</w:t>
      </w:r>
    </w:p>
    <w:p w:rsidR="008956B5" w:rsidRPr="002819C9" w:rsidRDefault="008956B5" w:rsidP="002819C9">
      <w:pPr>
        <w:rPr>
          <w:lang w:val="en-US"/>
        </w:rPr>
      </w:pPr>
    </w:p>
    <w:sectPr w:rsidR="008956B5" w:rsidRPr="002819C9" w:rsidSect="00E777B8">
      <w:pgSz w:w="11906" w:h="16838"/>
      <w:pgMar w:top="1134" w:right="1417" w:bottom="993" w:left="13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D94" w:rsidRDefault="003F7D94" w:rsidP="00A64447">
      <w:r>
        <w:separator/>
      </w:r>
    </w:p>
  </w:endnote>
  <w:endnote w:type="continuationSeparator" w:id="0">
    <w:p w:rsidR="003F7D94" w:rsidRDefault="003F7D94" w:rsidP="00A6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eXGyreHerosCn">
    <w:panose1 w:val="00000506000000000000"/>
    <w:charset w:val="00"/>
    <w:family w:val="modern"/>
    <w:notTrueType/>
    <w:pitch w:val="variable"/>
    <w:sig w:usb0="20000087" w:usb1="00000000" w:usb2="00000000" w:usb3="00000000" w:csb0="00000193" w:csb1="00000000"/>
  </w:font>
  <w:font w:name="NimbusSanLCon">
    <w:panose1 w:val="00000000000000000000"/>
    <w:charset w:val="00"/>
    <w:family w:val="auto"/>
    <w:pitch w:val="variable"/>
    <w:sig w:usb0="800000AF" w:usb1="000078EB" w:usb2="00000000" w:usb3="00000000" w:csb0="00000093" w:csb1="00000000"/>
  </w:font>
  <w:font w:name="Tahoma">
    <w:panose1 w:val="020B0604030504040204"/>
    <w:charset w:val="00"/>
    <w:family w:val="swiss"/>
    <w:pitch w:val="variable"/>
    <w:sig w:usb0="E1002EFF" w:usb1="C000605B" w:usb2="00000029" w:usb3="00000000" w:csb0="000101FF" w:csb1="00000000"/>
  </w:font>
  <w:font w:name="Droid Sans">
    <w:altName w:val="MS Gothic"/>
    <w:charset w:val="80"/>
    <w:family w:val="auto"/>
    <w:pitch w:val="variable"/>
  </w:font>
  <w:font w:name="Lohit Hindi">
    <w:altName w:val="MS Gothic"/>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D94" w:rsidRDefault="003F7D94" w:rsidP="00A64447">
      <w:r>
        <w:separator/>
      </w:r>
    </w:p>
  </w:footnote>
  <w:footnote w:type="continuationSeparator" w:id="0">
    <w:p w:rsidR="003F7D94" w:rsidRDefault="003F7D94" w:rsidP="00A64447">
      <w:r>
        <w:continuationSeparator/>
      </w:r>
    </w:p>
  </w:footnote>
  <w:footnote w:id="1">
    <w:p w:rsidR="003F7D94" w:rsidRPr="003607F5" w:rsidRDefault="003F7D94" w:rsidP="005C2D0E">
      <w:pPr>
        <w:pStyle w:val="Funotentext"/>
        <w:jc w:val="left"/>
        <w:rPr>
          <w:lang w:val="en-US"/>
        </w:rPr>
      </w:pPr>
      <w:r w:rsidRPr="003607F5">
        <w:rPr>
          <w:rStyle w:val="Funotenzeichen"/>
          <w:lang w:val="en-US"/>
        </w:rPr>
        <w:footnoteRef/>
      </w:r>
      <w:r w:rsidRPr="003607F5">
        <w:rPr>
          <w:lang w:val="en-US"/>
        </w:rPr>
        <w:t xml:space="preserve"> Committee on Economic, Social and Cultural Rights, General Comment No. 24 on State Obligations under the International Covenant on Economic, Social and Cultural Rights in the Context of Business Activities (CESCR General Comment No. 24), 2017, para 8</w:t>
      </w:r>
      <w:r>
        <w:rPr>
          <w:lang w:val="en-US"/>
        </w:rPr>
        <w:t xml:space="preserve">, available at: </w:t>
      </w:r>
      <w:hyperlink r:id="rId1" w:history="1">
        <w:r w:rsidRPr="00893136">
          <w:rPr>
            <w:rStyle w:val="Hyperlink"/>
            <w:lang w:val="en-US"/>
          </w:rPr>
          <w:t>https://tbinternet.ohchr.org/_layouts/15/treatybodyexternal/Download.aspx?symbolno=E%2fC.12%2fGC%2f24&amp;Lang=en</w:t>
        </w:r>
      </w:hyperlink>
      <w:r>
        <w:rPr>
          <w:lang w:val="en-US"/>
        </w:rPr>
        <w:t xml:space="preserve">. </w:t>
      </w:r>
    </w:p>
  </w:footnote>
  <w:footnote w:id="2">
    <w:p w:rsidR="003F7D94" w:rsidRPr="003607F5" w:rsidRDefault="003F7D94" w:rsidP="00C52DB0">
      <w:pPr>
        <w:pStyle w:val="Funotentext"/>
        <w:jc w:val="left"/>
        <w:rPr>
          <w:lang w:val="en-US"/>
        </w:rPr>
      </w:pPr>
      <w:r w:rsidRPr="003607F5">
        <w:rPr>
          <w:rStyle w:val="Funotenzeichen"/>
          <w:lang w:val="en-US"/>
        </w:rPr>
        <w:footnoteRef/>
      </w:r>
      <w:r w:rsidRPr="003607F5">
        <w:rPr>
          <w:lang w:val="en-US"/>
        </w:rPr>
        <w:t xml:space="preserve"> It is worth recalling in that regard that children benefit from the same rights and protection online as they </w:t>
      </w:r>
      <w:r>
        <w:rPr>
          <w:lang w:val="en-US"/>
        </w:rPr>
        <w:t>do</w:t>
      </w:r>
      <w:r w:rsidRPr="003607F5">
        <w:rPr>
          <w:lang w:val="en-US"/>
        </w:rPr>
        <w:t xml:space="preserve"> offline, see Resolution of the UN Human Rights Council “The promotion, protection and enjoyment of human rights on the Internet”, A/HRC/RES/38/7, adopted on 5</w:t>
      </w:r>
      <w:r w:rsidRPr="003607F5">
        <w:rPr>
          <w:vertAlign w:val="superscript"/>
          <w:lang w:val="en-US"/>
        </w:rPr>
        <w:t>th</w:t>
      </w:r>
      <w:r w:rsidRPr="003607F5">
        <w:rPr>
          <w:lang w:val="en-US"/>
        </w:rPr>
        <w:t xml:space="preserve"> July 2018, available at: </w:t>
      </w:r>
      <w:hyperlink r:id="rId2" w:history="1">
        <w:r w:rsidRPr="003607F5">
          <w:rPr>
            <w:rStyle w:val="Hyperlink"/>
            <w:lang w:val="en-US"/>
          </w:rPr>
          <w:t>https://ap.ohchr.org/documents/dpage_e.aspx?si=A/HRC/RES/38/7</w:t>
        </w:r>
      </w:hyperlink>
    </w:p>
  </w:footnote>
  <w:footnote w:id="3">
    <w:p w:rsidR="003F7D94" w:rsidRPr="003607F5" w:rsidRDefault="003F7D94" w:rsidP="00C52DB0">
      <w:pPr>
        <w:pStyle w:val="Funotentext"/>
        <w:jc w:val="left"/>
        <w:rPr>
          <w:lang w:val="en-US"/>
        </w:rPr>
      </w:pPr>
      <w:r w:rsidRPr="003607F5">
        <w:rPr>
          <w:rStyle w:val="Funotenzeichen"/>
          <w:lang w:val="en-US"/>
        </w:rPr>
        <w:footnoteRef/>
      </w:r>
      <w:r w:rsidRPr="003607F5">
        <w:rPr>
          <w:lang w:val="en-US"/>
        </w:rPr>
        <w:t xml:space="preserve"> It is important to recall at the outset the difference between appropriate work for children, which is legal, and child labor, which consists of work that is harmful to children, as defined under art. 32 CRC. When mentioning “child workers”, this paper refers to child work permitted under the CRC and does not in any way condone child labor.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31.65pt;height:531.65pt" o:bullet="t">
        <v:imagedata r:id="rId1" o:title="DKA_Kachel_farbe_transparent"/>
      </v:shape>
    </w:pict>
  </w:numPicBullet>
  <w:abstractNum w:abstractNumId="0" w15:restartNumberingAfterBreak="0">
    <w:nsid w:val="FFFFFF7C"/>
    <w:multiLevelType w:val="singleLevel"/>
    <w:tmpl w:val="E4D42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B04E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067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1064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46EA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B6D5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C22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C10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587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6C9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B0B53DE"/>
    <w:multiLevelType w:val="multilevel"/>
    <w:tmpl w:val="FB6875DE"/>
    <w:styleLink w:val="DKA-Bullets"/>
    <w:lvl w:ilvl="0">
      <w:start w:val="1"/>
      <w:numFmt w:val="bullet"/>
      <w:lvlText w:val=""/>
      <w:lvlJc w:val="left"/>
      <w:pPr>
        <w:ind w:left="360" w:hanging="360"/>
      </w:pPr>
      <w:rPr>
        <w:rFonts w:ascii="Wingdings" w:hAnsi="Wingdings" w:hint="default"/>
      </w:rPr>
    </w:lvl>
    <w:lvl w:ilvl="1">
      <w:start w:val="1"/>
      <w:numFmt w:val="bullet"/>
      <w:lvlText w:val=""/>
      <w:lvlJc w:val="left"/>
      <w:pPr>
        <w:ind w:left="1068" w:hanging="360"/>
      </w:pPr>
      <w:rPr>
        <w:rFonts w:ascii="Symbol" w:hAnsi="Symbol" w:cs="Courier New" w:hint="default"/>
        <w:color w:val="auto"/>
      </w:rPr>
    </w:lvl>
    <w:lvl w:ilvl="2">
      <w:start w:val="1"/>
      <w:numFmt w:val="bullet"/>
      <w:lvlText w:val=""/>
      <w:lvlJc w:val="left"/>
      <w:pPr>
        <w:ind w:left="1776" w:hanging="360"/>
      </w:pPr>
      <w:rPr>
        <w:rFonts w:ascii="Symbol" w:hAnsi="Symbol" w:hint="default"/>
        <w:color w:val="auto"/>
      </w:rPr>
    </w:lvl>
    <w:lvl w:ilvl="3">
      <w:start w:val="1"/>
      <w:numFmt w:val="bullet"/>
      <w:lvlText w:val="­"/>
      <w:lvlJc w:val="left"/>
      <w:pPr>
        <w:ind w:left="2484" w:hanging="360"/>
      </w:pPr>
      <w:rPr>
        <w:rFonts w:ascii="TeXGyreHerosCn" w:hAnsi="TeXGyreHerosC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6A603F"/>
    <w:multiLevelType w:val="multilevel"/>
    <w:tmpl w:val="FB6875DE"/>
    <w:numStyleLink w:val="DKA-Bullets"/>
  </w:abstractNum>
  <w:abstractNum w:abstractNumId="13" w15:restartNumberingAfterBreak="0">
    <w:nsid w:val="203413E2"/>
    <w:multiLevelType w:val="hybridMultilevel"/>
    <w:tmpl w:val="00368E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152515B"/>
    <w:multiLevelType w:val="hybridMultilevel"/>
    <w:tmpl w:val="950C6FBC"/>
    <w:lvl w:ilvl="0" w:tplc="0C070001">
      <w:start w:val="1"/>
      <w:numFmt w:val="bullet"/>
      <w:lvlText w:val=""/>
      <w:lvlJc w:val="left"/>
      <w:pPr>
        <w:ind w:left="720" w:hanging="360"/>
      </w:pPr>
      <w:rPr>
        <w:rFonts w:ascii="Symbol" w:hAnsi="Symbol"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F863AAB"/>
    <w:multiLevelType w:val="hybridMultilevel"/>
    <w:tmpl w:val="7F72AEDE"/>
    <w:lvl w:ilvl="0" w:tplc="B608BF0A">
      <w:start w:val="1"/>
      <w:numFmt w:val="bullet"/>
      <w:pStyle w:val="Listenabsatz"/>
      <w:lvlText w:val="›"/>
      <w:lvlJc w:val="left"/>
      <w:pPr>
        <w:ind w:left="567" w:hanging="397"/>
      </w:pPr>
      <w:rPr>
        <w:rFonts w:ascii="NimbusSanLCon" w:hAnsi="NimbusSanLCon" w:hint="default"/>
        <w:b/>
        <w:i w:val="0"/>
        <w:color w:val="auto"/>
        <w:spacing w:val="0"/>
        <w:w w:val="150"/>
        <w:kern w:val="28"/>
        <w:position w:val="2"/>
        <w:sz w:val="28"/>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6045D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ED1977"/>
    <w:multiLevelType w:val="hybridMultilevel"/>
    <w:tmpl w:val="9D428AE4"/>
    <w:lvl w:ilvl="0" w:tplc="AE6036CA">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4D324CF4"/>
    <w:multiLevelType w:val="hybridMultilevel"/>
    <w:tmpl w:val="6B66A996"/>
    <w:lvl w:ilvl="0" w:tplc="BB506EE4">
      <w:start w:val="1"/>
      <w:numFmt w:val="bullet"/>
      <w:lvlText w:val=""/>
      <w:lvlPicBulletId w:val="0"/>
      <w:lvlJc w:val="left"/>
      <w:pPr>
        <w:ind w:left="360" w:hanging="360"/>
      </w:pPr>
      <w:rPr>
        <w:rFonts w:ascii="Symbol" w:hAnsi="Symbol"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5687343A"/>
    <w:multiLevelType w:val="multilevel"/>
    <w:tmpl w:val="FB6875DE"/>
    <w:numStyleLink w:val="DKA-Bullets"/>
  </w:abstractNum>
  <w:abstractNum w:abstractNumId="20" w15:restartNumberingAfterBreak="0">
    <w:nsid w:val="76642B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C034BC8"/>
    <w:multiLevelType w:val="hybridMultilevel"/>
    <w:tmpl w:val="0E7AA1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8"/>
  </w:num>
  <w:num w:numId="4">
    <w:abstractNumId w:val="14"/>
  </w:num>
  <w:num w:numId="5">
    <w:abstractNumId w:val="13"/>
  </w:num>
  <w:num w:numId="6">
    <w:abstractNumId w:val="15"/>
  </w:num>
  <w:num w:numId="7">
    <w:abstractNumId w:val="11"/>
  </w:num>
  <w:num w:numId="8">
    <w:abstractNumId w:val="12"/>
  </w:num>
  <w:num w:numId="9">
    <w:abstractNumId w:val="19"/>
  </w:num>
  <w:num w:numId="10">
    <w:abstractNumId w:val="11"/>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6"/>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C9"/>
    <w:rsid w:val="00051794"/>
    <w:rsid w:val="000910E3"/>
    <w:rsid w:val="000C65CC"/>
    <w:rsid w:val="000D7E1B"/>
    <w:rsid w:val="000F3B8B"/>
    <w:rsid w:val="00124812"/>
    <w:rsid w:val="00176918"/>
    <w:rsid w:val="001903D6"/>
    <w:rsid w:val="001A1B10"/>
    <w:rsid w:val="001E6318"/>
    <w:rsid w:val="001F65F5"/>
    <w:rsid w:val="00232799"/>
    <w:rsid w:val="002348B7"/>
    <w:rsid w:val="00237945"/>
    <w:rsid w:val="002819C9"/>
    <w:rsid w:val="002963B9"/>
    <w:rsid w:val="002A2144"/>
    <w:rsid w:val="002D534C"/>
    <w:rsid w:val="002E686C"/>
    <w:rsid w:val="00303CC0"/>
    <w:rsid w:val="00342986"/>
    <w:rsid w:val="00342A5B"/>
    <w:rsid w:val="00352807"/>
    <w:rsid w:val="003A0388"/>
    <w:rsid w:val="003A1353"/>
    <w:rsid w:val="003F3F64"/>
    <w:rsid w:val="003F7D94"/>
    <w:rsid w:val="00471166"/>
    <w:rsid w:val="004B34D8"/>
    <w:rsid w:val="004C6B86"/>
    <w:rsid w:val="004E7654"/>
    <w:rsid w:val="004F65F5"/>
    <w:rsid w:val="005144AC"/>
    <w:rsid w:val="005C2D0E"/>
    <w:rsid w:val="005F367D"/>
    <w:rsid w:val="00625278"/>
    <w:rsid w:val="00667CE8"/>
    <w:rsid w:val="0067212B"/>
    <w:rsid w:val="00696E3D"/>
    <w:rsid w:val="006F183F"/>
    <w:rsid w:val="00777E9A"/>
    <w:rsid w:val="007A449C"/>
    <w:rsid w:val="0081240E"/>
    <w:rsid w:val="00814E87"/>
    <w:rsid w:val="00871A80"/>
    <w:rsid w:val="00872D4E"/>
    <w:rsid w:val="008956B5"/>
    <w:rsid w:val="008F7BBA"/>
    <w:rsid w:val="009127F5"/>
    <w:rsid w:val="009A5107"/>
    <w:rsid w:val="009F0A39"/>
    <w:rsid w:val="00A64447"/>
    <w:rsid w:val="00A738E6"/>
    <w:rsid w:val="00B126D6"/>
    <w:rsid w:val="00B26266"/>
    <w:rsid w:val="00BC6E6C"/>
    <w:rsid w:val="00C24F31"/>
    <w:rsid w:val="00C52DB0"/>
    <w:rsid w:val="00C67B9F"/>
    <w:rsid w:val="00CA70EE"/>
    <w:rsid w:val="00CE5978"/>
    <w:rsid w:val="00D045F2"/>
    <w:rsid w:val="00D104BB"/>
    <w:rsid w:val="00D8500B"/>
    <w:rsid w:val="00DA4F69"/>
    <w:rsid w:val="00E2172B"/>
    <w:rsid w:val="00E777B8"/>
    <w:rsid w:val="00EB1112"/>
    <w:rsid w:val="00EF28D5"/>
    <w:rsid w:val="00F1584C"/>
    <w:rsid w:val="00F3783D"/>
    <w:rsid w:val="00F429C4"/>
    <w:rsid w:val="00F953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BD7991"/>
  <w15:chartTrackingRefBased/>
  <w15:docId w15:val="{E45783D5-154A-44AD-A24B-1B7347E4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imbusSanLCon" w:eastAsiaTheme="minorHAnsi" w:hAnsi="NimbusSanLCon" w:cs="Times New Roman"/>
        <w:spacing w:val="2"/>
        <w:kern w:val="21"/>
        <w:sz w:val="21"/>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64447"/>
    <w:pPr>
      <w:spacing w:after="0" w:line="240" w:lineRule="auto"/>
    </w:pPr>
  </w:style>
  <w:style w:type="paragraph" w:styleId="berschrift1">
    <w:name w:val="heading 1"/>
    <w:basedOn w:val="Standard"/>
    <w:next w:val="Standard"/>
    <w:link w:val="berschrift1Zchn"/>
    <w:uiPriority w:val="9"/>
    <w:qFormat/>
    <w:rsid w:val="00A64447"/>
    <w:pPr>
      <w:spacing w:line="460" w:lineRule="exact"/>
      <w:outlineLvl w:val="0"/>
    </w:pPr>
    <w:rPr>
      <w:b/>
      <w:sz w:val="42"/>
      <w:szCs w:val="42"/>
    </w:rPr>
  </w:style>
  <w:style w:type="paragraph" w:styleId="berschrift2">
    <w:name w:val="heading 2"/>
    <w:basedOn w:val="Standard"/>
    <w:next w:val="Standard"/>
    <w:link w:val="berschrift2Zchn"/>
    <w:uiPriority w:val="9"/>
    <w:unhideWhenUsed/>
    <w:qFormat/>
    <w:rsid w:val="00F429C4"/>
    <w:pPr>
      <w:keepNext/>
      <w:keepLines/>
      <w:spacing w:before="200"/>
      <w:outlineLvl w:val="1"/>
    </w:pPr>
    <w:rPr>
      <w:rFonts w:eastAsiaTheme="majorEastAsia" w:cstheme="majorBidi"/>
      <w:b/>
      <w:bCs/>
      <w:sz w:val="28"/>
      <w:szCs w:val="26"/>
      <w:lang w:val="de-DE"/>
    </w:rPr>
  </w:style>
  <w:style w:type="paragraph" w:styleId="berschrift3">
    <w:name w:val="heading 3"/>
    <w:basedOn w:val="Standard"/>
    <w:next w:val="Standard"/>
    <w:link w:val="berschrift3Zchn"/>
    <w:uiPriority w:val="9"/>
    <w:unhideWhenUsed/>
    <w:qFormat/>
    <w:rsid w:val="0081240E"/>
    <w:pPr>
      <w:outlineLvl w:val="2"/>
    </w:pPr>
    <w:rPr>
      <w:b/>
    </w:rPr>
  </w:style>
  <w:style w:type="paragraph" w:styleId="berschrift4">
    <w:name w:val="heading 4"/>
    <w:basedOn w:val="Standard"/>
    <w:next w:val="Standard"/>
    <w:link w:val="berschrift4Zchn"/>
    <w:uiPriority w:val="9"/>
    <w:unhideWhenUsed/>
    <w:qFormat/>
    <w:rsid w:val="00E2172B"/>
    <w:pPr>
      <w:outlineLvl w:val="3"/>
    </w:pPr>
    <w:rPr>
      <w:b/>
      <w:i/>
      <w:lang w:val="de-DE"/>
    </w:rPr>
  </w:style>
  <w:style w:type="paragraph" w:styleId="berschrift5">
    <w:name w:val="heading 5"/>
    <w:basedOn w:val="Standard"/>
    <w:next w:val="Standard"/>
    <w:link w:val="berschrift5Zchn"/>
    <w:uiPriority w:val="9"/>
    <w:semiHidden/>
    <w:unhideWhenUsed/>
    <w:qFormat/>
    <w:rsid w:val="001A1B10"/>
    <w:pPr>
      <w:keepNext/>
      <w:keepLines/>
      <w:spacing w:before="200"/>
      <w:outlineLvl w:val="4"/>
    </w:pPr>
    <w:rPr>
      <w:rFonts w:eastAsiaTheme="majorEastAsia" w:cstheme="majorBidi"/>
      <w:color w:val="202F6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4447"/>
    <w:rPr>
      <w:b/>
      <w:sz w:val="42"/>
      <w:szCs w:val="42"/>
    </w:rPr>
  </w:style>
  <w:style w:type="character" w:customStyle="1" w:styleId="berschrift2Zchn">
    <w:name w:val="Überschrift 2 Zchn"/>
    <w:basedOn w:val="Absatz-Standardschriftart"/>
    <w:link w:val="berschrift2"/>
    <w:uiPriority w:val="9"/>
    <w:rsid w:val="00F429C4"/>
    <w:rPr>
      <w:rFonts w:eastAsiaTheme="majorEastAsia" w:cstheme="majorBidi"/>
      <w:b/>
      <w:bCs/>
      <w:sz w:val="28"/>
      <w:szCs w:val="26"/>
      <w:lang w:val="de-DE"/>
    </w:rPr>
  </w:style>
  <w:style w:type="character" w:customStyle="1" w:styleId="berschrift3Zchn">
    <w:name w:val="Überschrift 3 Zchn"/>
    <w:basedOn w:val="Absatz-Standardschriftart"/>
    <w:link w:val="berschrift3"/>
    <w:uiPriority w:val="9"/>
    <w:rsid w:val="0081240E"/>
    <w:rPr>
      <w:b/>
      <w:spacing w:val="4"/>
    </w:rPr>
  </w:style>
  <w:style w:type="character" w:customStyle="1" w:styleId="berschrift4Zchn">
    <w:name w:val="Überschrift 4 Zchn"/>
    <w:basedOn w:val="Absatz-Standardschriftart"/>
    <w:link w:val="berschrift4"/>
    <w:uiPriority w:val="9"/>
    <w:rsid w:val="00E2172B"/>
    <w:rPr>
      <w:b/>
      <w:i/>
      <w:lang w:val="de-DE"/>
    </w:rPr>
  </w:style>
  <w:style w:type="paragraph" w:styleId="Titel">
    <w:name w:val="Title"/>
    <w:basedOn w:val="Standard"/>
    <w:next w:val="Standard"/>
    <w:link w:val="TitelZchn"/>
    <w:uiPriority w:val="10"/>
    <w:qFormat/>
    <w:rsid w:val="00CA70EE"/>
    <w:pPr>
      <w:spacing w:line="700" w:lineRule="exact"/>
    </w:pPr>
    <w:rPr>
      <w:b/>
      <w:sz w:val="62"/>
      <w:szCs w:val="62"/>
    </w:rPr>
  </w:style>
  <w:style w:type="character" w:customStyle="1" w:styleId="TitelZchn">
    <w:name w:val="Titel Zchn"/>
    <w:basedOn w:val="Absatz-Standardschriftart"/>
    <w:link w:val="Titel"/>
    <w:uiPriority w:val="10"/>
    <w:rsid w:val="00CA70EE"/>
    <w:rPr>
      <w:b/>
      <w:spacing w:val="4"/>
      <w:sz w:val="62"/>
      <w:szCs w:val="62"/>
    </w:rPr>
  </w:style>
  <w:style w:type="paragraph" w:styleId="Untertitel">
    <w:name w:val="Subtitle"/>
    <w:basedOn w:val="Standard"/>
    <w:next w:val="Standard"/>
    <w:link w:val="UntertitelZchn"/>
    <w:uiPriority w:val="11"/>
    <w:qFormat/>
    <w:rsid w:val="0081240E"/>
    <w:rPr>
      <w:b/>
      <w:sz w:val="29"/>
      <w:szCs w:val="29"/>
    </w:rPr>
  </w:style>
  <w:style w:type="character" w:customStyle="1" w:styleId="UntertitelZchn">
    <w:name w:val="Untertitel Zchn"/>
    <w:basedOn w:val="Absatz-Standardschriftart"/>
    <w:link w:val="Untertitel"/>
    <w:uiPriority w:val="11"/>
    <w:rsid w:val="0081240E"/>
    <w:rPr>
      <w:b/>
      <w:spacing w:val="4"/>
      <w:sz w:val="29"/>
      <w:szCs w:val="29"/>
    </w:rPr>
  </w:style>
  <w:style w:type="character" w:customStyle="1" w:styleId="berschrift5Zchn">
    <w:name w:val="Überschrift 5 Zchn"/>
    <w:basedOn w:val="Absatz-Standardschriftart"/>
    <w:link w:val="berschrift5"/>
    <w:uiPriority w:val="9"/>
    <w:semiHidden/>
    <w:rsid w:val="001A1B10"/>
    <w:rPr>
      <w:rFonts w:eastAsiaTheme="majorEastAsia" w:cstheme="majorBidi"/>
      <w:color w:val="202F69" w:themeColor="accent1" w:themeShade="7F"/>
    </w:rPr>
  </w:style>
  <w:style w:type="paragraph" w:styleId="Listenabsatz">
    <w:name w:val="List Paragraph"/>
    <w:basedOn w:val="Standard"/>
    <w:uiPriority w:val="34"/>
    <w:qFormat/>
    <w:rsid w:val="00667CE8"/>
    <w:pPr>
      <w:numPr>
        <w:numId w:val="6"/>
      </w:numPr>
      <w:spacing w:before="60" w:after="60"/>
      <w:contextualSpacing/>
    </w:pPr>
    <w:rPr>
      <w:lang w:val="de-DE"/>
    </w:rPr>
  </w:style>
  <w:style w:type="paragraph" w:styleId="Kopfzeile">
    <w:name w:val="header"/>
    <w:basedOn w:val="Standard"/>
    <w:link w:val="KopfzeileZchn"/>
    <w:uiPriority w:val="99"/>
    <w:unhideWhenUsed/>
    <w:rsid w:val="00DA4F69"/>
    <w:pPr>
      <w:tabs>
        <w:tab w:val="center" w:pos="4536"/>
        <w:tab w:val="right" w:pos="9072"/>
      </w:tabs>
    </w:pPr>
  </w:style>
  <w:style w:type="character" w:customStyle="1" w:styleId="KopfzeileZchn">
    <w:name w:val="Kopfzeile Zchn"/>
    <w:basedOn w:val="Absatz-Standardschriftart"/>
    <w:link w:val="Kopfzeile"/>
    <w:uiPriority w:val="99"/>
    <w:rsid w:val="00DA4F69"/>
  </w:style>
  <w:style w:type="paragraph" w:styleId="Fuzeile">
    <w:name w:val="footer"/>
    <w:basedOn w:val="Standard"/>
    <w:link w:val="FuzeileZchn"/>
    <w:uiPriority w:val="99"/>
    <w:unhideWhenUsed/>
    <w:rsid w:val="00DA4F69"/>
    <w:pPr>
      <w:tabs>
        <w:tab w:val="center" w:pos="4536"/>
        <w:tab w:val="right" w:pos="9072"/>
      </w:tabs>
    </w:pPr>
  </w:style>
  <w:style w:type="character" w:customStyle="1" w:styleId="FuzeileZchn">
    <w:name w:val="Fußzeile Zchn"/>
    <w:basedOn w:val="Absatz-Standardschriftart"/>
    <w:link w:val="Fuzeile"/>
    <w:uiPriority w:val="99"/>
    <w:rsid w:val="00DA4F69"/>
  </w:style>
  <w:style w:type="numbering" w:customStyle="1" w:styleId="DKA-Bullets">
    <w:name w:val="DKA-Bullets"/>
    <w:uiPriority w:val="99"/>
    <w:rsid w:val="004E7654"/>
    <w:pPr>
      <w:numPr>
        <w:numId w:val="7"/>
      </w:numPr>
    </w:pPr>
  </w:style>
  <w:style w:type="paragraph" w:styleId="Sprechblasentext">
    <w:name w:val="Balloon Text"/>
    <w:basedOn w:val="Standard"/>
    <w:link w:val="SprechblasentextZchn"/>
    <w:uiPriority w:val="99"/>
    <w:semiHidden/>
    <w:unhideWhenUsed/>
    <w:rsid w:val="00F158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84C"/>
    <w:rPr>
      <w:rFonts w:ascii="Tahoma" w:hAnsi="Tahoma" w:cs="Tahoma"/>
      <w:spacing w:val="6"/>
      <w:sz w:val="16"/>
      <w:szCs w:val="16"/>
    </w:rPr>
  </w:style>
  <w:style w:type="character" w:styleId="Hyperlink">
    <w:name w:val="Hyperlink"/>
    <w:basedOn w:val="Absatz-Standardschriftart"/>
    <w:uiPriority w:val="99"/>
    <w:unhideWhenUsed/>
    <w:rsid w:val="00667CE8"/>
    <w:rPr>
      <w:color w:val="009DA5"/>
      <w:u w:val="single"/>
    </w:rPr>
  </w:style>
  <w:style w:type="paragraph" w:styleId="Funotentext">
    <w:name w:val="footnote text"/>
    <w:aliases w:val="5_G,Footnote Text Char1,Footnote Text Char Char,Footnote Text Char1 Char Char,Footnote Text Char Char Char Char,Footnote Text Char1 Char Char1 Char Char,Footnote Text Char Char Char Char1 Char Char,ft Char Char Char Char Char Char"/>
    <w:basedOn w:val="Standard"/>
    <w:link w:val="FunotentextZchn"/>
    <w:uiPriority w:val="99"/>
    <w:unhideWhenUsed/>
    <w:qFormat/>
    <w:rsid w:val="005C2D0E"/>
    <w:pPr>
      <w:jc w:val="both"/>
    </w:pPr>
    <w:rPr>
      <w:spacing w:val="0"/>
      <w:kern w:val="0"/>
      <w:sz w:val="20"/>
      <w:lang w:val="fr-FR"/>
    </w:rPr>
  </w:style>
  <w:style w:type="character" w:customStyle="1" w:styleId="FunotentextZchn">
    <w:name w:val="Fußnotentext Zchn"/>
    <w:aliases w:val="5_G Zchn,Footnote Text Char1 Zchn,Footnote Text Char Char Zchn,Footnote Text Char1 Char Char Zchn,Footnote Text Char Char Char Char Zchn,Footnote Text Char1 Char Char1 Char Char Zchn,Footnote Text Char Char Char Char1 Char Char Zchn"/>
    <w:basedOn w:val="Absatz-Standardschriftart"/>
    <w:link w:val="Funotentext"/>
    <w:uiPriority w:val="99"/>
    <w:rsid w:val="005C2D0E"/>
    <w:rPr>
      <w:spacing w:val="0"/>
      <w:kern w:val="0"/>
      <w:sz w:val="20"/>
      <w:lang w:val="fr-FR"/>
    </w:rPr>
  </w:style>
  <w:style w:type="character" w:styleId="Funotenzeichen">
    <w:name w:val="footnote reference"/>
    <w:aliases w:val="4_G"/>
    <w:basedOn w:val="Absatz-Standardschriftart"/>
    <w:unhideWhenUsed/>
    <w:qFormat/>
    <w:rsid w:val="005C2D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992529">
      <w:bodyDiv w:val="1"/>
      <w:marLeft w:val="0"/>
      <w:marRight w:val="0"/>
      <w:marTop w:val="0"/>
      <w:marBottom w:val="0"/>
      <w:divBdr>
        <w:top w:val="none" w:sz="0" w:space="0" w:color="auto"/>
        <w:left w:val="none" w:sz="0" w:space="0" w:color="auto"/>
        <w:bottom w:val="none" w:sz="0" w:space="0" w:color="auto"/>
        <w:right w:val="none" w:sz="0" w:space="0" w:color="auto"/>
      </w:divBdr>
      <w:divsChild>
        <w:div w:id="911624083">
          <w:marLeft w:val="0"/>
          <w:marRight w:val="0"/>
          <w:marTop w:val="0"/>
          <w:marBottom w:val="0"/>
          <w:divBdr>
            <w:top w:val="none" w:sz="0" w:space="0" w:color="auto"/>
            <w:left w:val="none" w:sz="0" w:space="0" w:color="auto"/>
            <w:bottom w:val="none" w:sz="0" w:space="0" w:color="auto"/>
            <w:right w:val="none" w:sz="0" w:space="0" w:color="auto"/>
          </w:divBdr>
        </w:div>
        <w:div w:id="1600017550">
          <w:marLeft w:val="0"/>
          <w:marRight w:val="0"/>
          <w:marTop w:val="0"/>
          <w:marBottom w:val="0"/>
          <w:divBdr>
            <w:top w:val="none" w:sz="0" w:space="0" w:color="auto"/>
            <w:left w:val="none" w:sz="0" w:space="0" w:color="auto"/>
            <w:bottom w:val="none" w:sz="0" w:space="0" w:color="auto"/>
            <w:right w:val="none" w:sz="0" w:space="0" w:color="auto"/>
          </w:divBdr>
        </w:div>
        <w:div w:id="1623027124">
          <w:marLeft w:val="0"/>
          <w:marRight w:val="0"/>
          <w:marTop w:val="0"/>
          <w:marBottom w:val="0"/>
          <w:divBdr>
            <w:top w:val="none" w:sz="0" w:space="0" w:color="auto"/>
            <w:left w:val="none" w:sz="0" w:space="0" w:color="auto"/>
            <w:bottom w:val="none" w:sz="0" w:space="0" w:color="auto"/>
            <w:right w:val="none" w:sz="0" w:space="0" w:color="auto"/>
          </w:divBdr>
        </w:div>
        <w:div w:id="715009894">
          <w:marLeft w:val="0"/>
          <w:marRight w:val="0"/>
          <w:marTop w:val="0"/>
          <w:marBottom w:val="0"/>
          <w:divBdr>
            <w:top w:val="none" w:sz="0" w:space="0" w:color="auto"/>
            <w:left w:val="none" w:sz="0" w:space="0" w:color="auto"/>
            <w:bottom w:val="none" w:sz="0" w:space="0" w:color="auto"/>
            <w:right w:val="none" w:sz="0" w:space="0" w:color="auto"/>
          </w:divBdr>
        </w:div>
        <w:div w:id="2059619477">
          <w:marLeft w:val="0"/>
          <w:marRight w:val="0"/>
          <w:marTop w:val="0"/>
          <w:marBottom w:val="0"/>
          <w:divBdr>
            <w:top w:val="none" w:sz="0" w:space="0" w:color="auto"/>
            <w:left w:val="none" w:sz="0" w:space="0" w:color="auto"/>
            <w:bottom w:val="none" w:sz="0" w:space="0" w:color="auto"/>
            <w:right w:val="none" w:sz="0" w:space="0" w:color="auto"/>
          </w:divBdr>
        </w:div>
        <w:div w:id="4481935">
          <w:marLeft w:val="0"/>
          <w:marRight w:val="0"/>
          <w:marTop w:val="0"/>
          <w:marBottom w:val="0"/>
          <w:divBdr>
            <w:top w:val="none" w:sz="0" w:space="0" w:color="auto"/>
            <w:left w:val="none" w:sz="0" w:space="0" w:color="auto"/>
            <w:bottom w:val="none" w:sz="0" w:space="0" w:color="auto"/>
            <w:right w:val="none" w:sz="0" w:space="0" w:color="auto"/>
          </w:divBdr>
        </w:div>
        <w:div w:id="2129926839">
          <w:marLeft w:val="0"/>
          <w:marRight w:val="0"/>
          <w:marTop w:val="0"/>
          <w:marBottom w:val="0"/>
          <w:divBdr>
            <w:top w:val="none" w:sz="0" w:space="0" w:color="auto"/>
            <w:left w:val="none" w:sz="0" w:space="0" w:color="auto"/>
            <w:bottom w:val="none" w:sz="0" w:space="0" w:color="auto"/>
            <w:right w:val="none" w:sz="0" w:space="0" w:color="auto"/>
          </w:divBdr>
        </w:div>
        <w:div w:id="2129080960">
          <w:marLeft w:val="0"/>
          <w:marRight w:val="0"/>
          <w:marTop w:val="0"/>
          <w:marBottom w:val="0"/>
          <w:divBdr>
            <w:top w:val="none" w:sz="0" w:space="0" w:color="auto"/>
            <w:left w:val="none" w:sz="0" w:space="0" w:color="auto"/>
            <w:bottom w:val="none" w:sz="0" w:space="0" w:color="auto"/>
            <w:right w:val="none" w:sz="0" w:space="0" w:color="auto"/>
          </w:divBdr>
        </w:div>
        <w:div w:id="1649552444">
          <w:marLeft w:val="0"/>
          <w:marRight w:val="0"/>
          <w:marTop w:val="0"/>
          <w:marBottom w:val="0"/>
          <w:divBdr>
            <w:top w:val="none" w:sz="0" w:space="0" w:color="auto"/>
            <w:left w:val="none" w:sz="0" w:space="0" w:color="auto"/>
            <w:bottom w:val="none" w:sz="0" w:space="0" w:color="auto"/>
            <w:right w:val="none" w:sz="0" w:space="0" w:color="auto"/>
          </w:divBdr>
        </w:div>
        <w:div w:id="308482146">
          <w:marLeft w:val="0"/>
          <w:marRight w:val="0"/>
          <w:marTop w:val="0"/>
          <w:marBottom w:val="0"/>
          <w:divBdr>
            <w:top w:val="none" w:sz="0" w:space="0" w:color="auto"/>
            <w:left w:val="none" w:sz="0" w:space="0" w:color="auto"/>
            <w:bottom w:val="none" w:sz="0" w:space="0" w:color="auto"/>
            <w:right w:val="none" w:sz="0" w:space="0" w:color="auto"/>
          </w:divBdr>
        </w:div>
        <w:div w:id="304697518">
          <w:marLeft w:val="0"/>
          <w:marRight w:val="0"/>
          <w:marTop w:val="0"/>
          <w:marBottom w:val="0"/>
          <w:divBdr>
            <w:top w:val="none" w:sz="0" w:space="0" w:color="auto"/>
            <w:left w:val="none" w:sz="0" w:space="0" w:color="auto"/>
            <w:bottom w:val="none" w:sz="0" w:space="0" w:color="auto"/>
            <w:right w:val="none" w:sz="0" w:space="0" w:color="auto"/>
          </w:divBdr>
        </w:div>
        <w:div w:id="1124154180">
          <w:marLeft w:val="0"/>
          <w:marRight w:val="0"/>
          <w:marTop w:val="0"/>
          <w:marBottom w:val="0"/>
          <w:divBdr>
            <w:top w:val="none" w:sz="0" w:space="0" w:color="auto"/>
            <w:left w:val="none" w:sz="0" w:space="0" w:color="auto"/>
            <w:bottom w:val="none" w:sz="0" w:space="0" w:color="auto"/>
            <w:right w:val="none" w:sz="0" w:space="0" w:color="auto"/>
          </w:divBdr>
        </w:div>
        <w:div w:id="944850710">
          <w:marLeft w:val="0"/>
          <w:marRight w:val="0"/>
          <w:marTop w:val="0"/>
          <w:marBottom w:val="0"/>
          <w:divBdr>
            <w:top w:val="none" w:sz="0" w:space="0" w:color="auto"/>
            <w:left w:val="none" w:sz="0" w:space="0" w:color="auto"/>
            <w:bottom w:val="none" w:sz="0" w:space="0" w:color="auto"/>
            <w:right w:val="none" w:sz="0" w:space="0" w:color="auto"/>
          </w:divBdr>
        </w:div>
        <w:div w:id="1127164525">
          <w:marLeft w:val="0"/>
          <w:marRight w:val="0"/>
          <w:marTop w:val="0"/>
          <w:marBottom w:val="0"/>
          <w:divBdr>
            <w:top w:val="none" w:sz="0" w:space="0" w:color="auto"/>
            <w:left w:val="none" w:sz="0" w:space="0" w:color="auto"/>
            <w:bottom w:val="none" w:sz="0" w:space="0" w:color="auto"/>
            <w:right w:val="none" w:sz="0" w:space="0" w:color="auto"/>
          </w:divBdr>
        </w:div>
        <w:div w:id="629172487">
          <w:marLeft w:val="0"/>
          <w:marRight w:val="0"/>
          <w:marTop w:val="0"/>
          <w:marBottom w:val="0"/>
          <w:divBdr>
            <w:top w:val="none" w:sz="0" w:space="0" w:color="auto"/>
            <w:left w:val="none" w:sz="0" w:space="0" w:color="auto"/>
            <w:bottom w:val="none" w:sz="0" w:space="0" w:color="auto"/>
            <w:right w:val="none" w:sz="0" w:space="0" w:color="auto"/>
          </w:divBdr>
        </w:div>
        <w:div w:id="1749618927">
          <w:marLeft w:val="0"/>
          <w:marRight w:val="0"/>
          <w:marTop w:val="0"/>
          <w:marBottom w:val="0"/>
          <w:divBdr>
            <w:top w:val="none" w:sz="0" w:space="0" w:color="auto"/>
            <w:left w:val="none" w:sz="0" w:space="0" w:color="auto"/>
            <w:bottom w:val="none" w:sz="0" w:space="0" w:color="auto"/>
            <w:right w:val="none" w:sz="0" w:space="0" w:color="auto"/>
          </w:divBdr>
        </w:div>
        <w:div w:id="696466102">
          <w:marLeft w:val="0"/>
          <w:marRight w:val="0"/>
          <w:marTop w:val="0"/>
          <w:marBottom w:val="0"/>
          <w:divBdr>
            <w:top w:val="none" w:sz="0" w:space="0" w:color="auto"/>
            <w:left w:val="none" w:sz="0" w:space="0" w:color="auto"/>
            <w:bottom w:val="none" w:sz="0" w:space="0" w:color="auto"/>
            <w:right w:val="none" w:sz="0" w:space="0" w:color="auto"/>
          </w:divBdr>
        </w:div>
        <w:div w:id="35005948">
          <w:marLeft w:val="0"/>
          <w:marRight w:val="0"/>
          <w:marTop w:val="0"/>
          <w:marBottom w:val="0"/>
          <w:divBdr>
            <w:top w:val="none" w:sz="0" w:space="0" w:color="auto"/>
            <w:left w:val="none" w:sz="0" w:space="0" w:color="auto"/>
            <w:bottom w:val="none" w:sz="0" w:space="0" w:color="auto"/>
            <w:right w:val="none" w:sz="0" w:space="0" w:color="auto"/>
          </w:divBdr>
        </w:div>
        <w:div w:id="1055086979">
          <w:marLeft w:val="0"/>
          <w:marRight w:val="0"/>
          <w:marTop w:val="0"/>
          <w:marBottom w:val="0"/>
          <w:divBdr>
            <w:top w:val="none" w:sz="0" w:space="0" w:color="auto"/>
            <w:left w:val="none" w:sz="0" w:space="0" w:color="auto"/>
            <w:bottom w:val="none" w:sz="0" w:space="0" w:color="auto"/>
            <w:right w:val="none" w:sz="0" w:space="0" w:color="auto"/>
          </w:divBdr>
        </w:div>
      </w:divsChild>
    </w:div>
    <w:div w:id="1128014513">
      <w:bodyDiv w:val="1"/>
      <w:marLeft w:val="0"/>
      <w:marRight w:val="0"/>
      <w:marTop w:val="0"/>
      <w:marBottom w:val="0"/>
      <w:divBdr>
        <w:top w:val="none" w:sz="0" w:space="0" w:color="auto"/>
        <w:left w:val="none" w:sz="0" w:space="0" w:color="auto"/>
        <w:bottom w:val="none" w:sz="0" w:space="0" w:color="auto"/>
        <w:right w:val="none" w:sz="0" w:space="0" w:color="auto"/>
      </w:divBdr>
    </w:div>
    <w:div w:id="1219628914">
      <w:bodyDiv w:val="1"/>
      <w:marLeft w:val="0"/>
      <w:marRight w:val="0"/>
      <w:marTop w:val="0"/>
      <w:marBottom w:val="0"/>
      <w:divBdr>
        <w:top w:val="none" w:sz="0" w:space="0" w:color="auto"/>
        <w:left w:val="none" w:sz="0" w:space="0" w:color="auto"/>
        <w:bottom w:val="none" w:sz="0" w:space="0" w:color="auto"/>
        <w:right w:val="none" w:sz="0" w:space="0" w:color="auto"/>
      </w:divBdr>
      <w:divsChild>
        <w:div w:id="1924336416">
          <w:marLeft w:val="0"/>
          <w:marRight w:val="0"/>
          <w:marTop w:val="0"/>
          <w:marBottom w:val="0"/>
          <w:divBdr>
            <w:top w:val="none" w:sz="0" w:space="0" w:color="auto"/>
            <w:left w:val="none" w:sz="0" w:space="0" w:color="auto"/>
            <w:bottom w:val="none" w:sz="0" w:space="0" w:color="auto"/>
            <w:right w:val="none" w:sz="0" w:space="0" w:color="auto"/>
          </w:divBdr>
        </w:div>
        <w:div w:id="1555120280">
          <w:marLeft w:val="0"/>
          <w:marRight w:val="0"/>
          <w:marTop w:val="0"/>
          <w:marBottom w:val="0"/>
          <w:divBdr>
            <w:top w:val="none" w:sz="0" w:space="0" w:color="auto"/>
            <w:left w:val="none" w:sz="0" w:space="0" w:color="auto"/>
            <w:bottom w:val="none" w:sz="0" w:space="0" w:color="auto"/>
            <w:right w:val="none" w:sz="0" w:space="0" w:color="auto"/>
          </w:divBdr>
        </w:div>
        <w:div w:id="315381478">
          <w:marLeft w:val="0"/>
          <w:marRight w:val="0"/>
          <w:marTop w:val="0"/>
          <w:marBottom w:val="0"/>
          <w:divBdr>
            <w:top w:val="none" w:sz="0" w:space="0" w:color="auto"/>
            <w:left w:val="none" w:sz="0" w:space="0" w:color="auto"/>
            <w:bottom w:val="none" w:sz="0" w:space="0" w:color="auto"/>
            <w:right w:val="none" w:sz="0" w:space="0" w:color="auto"/>
          </w:divBdr>
        </w:div>
        <w:div w:id="1418139506">
          <w:marLeft w:val="0"/>
          <w:marRight w:val="0"/>
          <w:marTop w:val="0"/>
          <w:marBottom w:val="0"/>
          <w:divBdr>
            <w:top w:val="none" w:sz="0" w:space="0" w:color="auto"/>
            <w:left w:val="none" w:sz="0" w:space="0" w:color="auto"/>
            <w:bottom w:val="none" w:sz="0" w:space="0" w:color="auto"/>
            <w:right w:val="none" w:sz="0" w:space="0" w:color="auto"/>
          </w:divBdr>
        </w:div>
        <w:div w:id="162285211">
          <w:marLeft w:val="0"/>
          <w:marRight w:val="0"/>
          <w:marTop w:val="0"/>
          <w:marBottom w:val="0"/>
          <w:divBdr>
            <w:top w:val="none" w:sz="0" w:space="0" w:color="auto"/>
            <w:left w:val="none" w:sz="0" w:space="0" w:color="auto"/>
            <w:bottom w:val="none" w:sz="0" w:space="0" w:color="auto"/>
            <w:right w:val="none" w:sz="0" w:space="0" w:color="auto"/>
          </w:divBdr>
        </w:div>
        <w:div w:id="1227765452">
          <w:marLeft w:val="0"/>
          <w:marRight w:val="0"/>
          <w:marTop w:val="0"/>
          <w:marBottom w:val="0"/>
          <w:divBdr>
            <w:top w:val="none" w:sz="0" w:space="0" w:color="auto"/>
            <w:left w:val="none" w:sz="0" w:space="0" w:color="auto"/>
            <w:bottom w:val="none" w:sz="0" w:space="0" w:color="auto"/>
            <w:right w:val="none" w:sz="0" w:space="0" w:color="auto"/>
          </w:divBdr>
        </w:div>
        <w:div w:id="1343779687">
          <w:marLeft w:val="0"/>
          <w:marRight w:val="0"/>
          <w:marTop w:val="0"/>
          <w:marBottom w:val="0"/>
          <w:divBdr>
            <w:top w:val="none" w:sz="0" w:space="0" w:color="auto"/>
            <w:left w:val="none" w:sz="0" w:space="0" w:color="auto"/>
            <w:bottom w:val="none" w:sz="0" w:space="0" w:color="auto"/>
            <w:right w:val="none" w:sz="0" w:space="0" w:color="auto"/>
          </w:divBdr>
        </w:div>
        <w:div w:id="1873687739">
          <w:marLeft w:val="0"/>
          <w:marRight w:val="0"/>
          <w:marTop w:val="0"/>
          <w:marBottom w:val="0"/>
          <w:divBdr>
            <w:top w:val="none" w:sz="0" w:space="0" w:color="auto"/>
            <w:left w:val="none" w:sz="0" w:space="0" w:color="auto"/>
            <w:bottom w:val="none" w:sz="0" w:space="0" w:color="auto"/>
            <w:right w:val="none" w:sz="0" w:space="0" w:color="auto"/>
          </w:divBdr>
        </w:div>
        <w:div w:id="1876964136">
          <w:marLeft w:val="0"/>
          <w:marRight w:val="0"/>
          <w:marTop w:val="0"/>
          <w:marBottom w:val="0"/>
          <w:divBdr>
            <w:top w:val="none" w:sz="0" w:space="0" w:color="auto"/>
            <w:left w:val="none" w:sz="0" w:space="0" w:color="auto"/>
            <w:bottom w:val="none" w:sz="0" w:space="0" w:color="auto"/>
            <w:right w:val="none" w:sz="0" w:space="0" w:color="auto"/>
          </w:divBdr>
        </w:div>
        <w:div w:id="266159278">
          <w:marLeft w:val="0"/>
          <w:marRight w:val="0"/>
          <w:marTop w:val="0"/>
          <w:marBottom w:val="0"/>
          <w:divBdr>
            <w:top w:val="none" w:sz="0" w:space="0" w:color="auto"/>
            <w:left w:val="none" w:sz="0" w:space="0" w:color="auto"/>
            <w:bottom w:val="none" w:sz="0" w:space="0" w:color="auto"/>
            <w:right w:val="none" w:sz="0" w:space="0" w:color="auto"/>
          </w:divBdr>
        </w:div>
        <w:div w:id="1827159084">
          <w:marLeft w:val="0"/>
          <w:marRight w:val="0"/>
          <w:marTop w:val="0"/>
          <w:marBottom w:val="0"/>
          <w:divBdr>
            <w:top w:val="none" w:sz="0" w:space="0" w:color="auto"/>
            <w:left w:val="none" w:sz="0" w:space="0" w:color="auto"/>
            <w:bottom w:val="none" w:sz="0" w:space="0" w:color="auto"/>
            <w:right w:val="none" w:sz="0" w:space="0" w:color="auto"/>
          </w:divBdr>
        </w:div>
        <w:div w:id="14776243">
          <w:marLeft w:val="0"/>
          <w:marRight w:val="0"/>
          <w:marTop w:val="0"/>
          <w:marBottom w:val="0"/>
          <w:divBdr>
            <w:top w:val="none" w:sz="0" w:space="0" w:color="auto"/>
            <w:left w:val="none" w:sz="0" w:space="0" w:color="auto"/>
            <w:bottom w:val="none" w:sz="0" w:space="0" w:color="auto"/>
            <w:right w:val="none" w:sz="0" w:space="0" w:color="auto"/>
          </w:divBdr>
        </w:div>
        <w:div w:id="870919214">
          <w:marLeft w:val="0"/>
          <w:marRight w:val="0"/>
          <w:marTop w:val="0"/>
          <w:marBottom w:val="0"/>
          <w:divBdr>
            <w:top w:val="none" w:sz="0" w:space="0" w:color="auto"/>
            <w:left w:val="none" w:sz="0" w:space="0" w:color="auto"/>
            <w:bottom w:val="none" w:sz="0" w:space="0" w:color="auto"/>
            <w:right w:val="none" w:sz="0" w:space="0" w:color="auto"/>
          </w:divBdr>
        </w:div>
        <w:div w:id="1951933864">
          <w:marLeft w:val="0"/>
          <w:marRight w:val="0"/>
          <w:marTop w:val="0"/>
          <w:marBottom w:val="0"/>
          <w:divBdr>
            <w:top w:val="none" w:sz="0" w:space="0" w:color="auto"/>
            <w:left w:val="none" w:sz="0" w:space="0" w:color="auto"/>
            <w:bottom w:val="none" w:sz="0" w:space="0" w:color="auto"/>
            <w:right w:val="none" w:sz="0" w:space="0" w:color="auto"/>
          </w:divBdr>
        </w:div>
        <w:div w:id="600379574">
          <w:marLeft w:val="0"/>
          <w:marRight w:val="0"/>
          <w:marTop w:val="0"/>
          <w:marBottom w:val="0"/>
          <w:divBdr>
            <w:top w:val="none" w:sz="0" w:space="0" w:color="auto"/>
            <w:left w:val="none" w:sz="0" w:space="0" w:color="auto"/>
            <w:bottom w:val="none" w:sz="0" w:space="0" w:color="auto"/>
            <w:right w:val="none" w:sz="0" w:space="0" w:color="auto"/>
          </w:divBdr>
        </w:div>
        <w:div w:id="545486474">
          <w:marLeft w:val="0"/>
          <w:marRight w:val="0"/>
          <w:marTop w:val="0"/>
          <w:marBottom w:val="0"/>
          <w:divBdr>
            <w:top w:val="none" w:sz="0" w:space="0" w:color="auto"/>
            <w:left w:val="none" w:sz="0" w:space="0" w:color="auto"/>
            <w:bottom w:val="none" w:sz="0" w:space="0" w:color="auto"/>
            <w:right w:val="none" w:sz="0" w:space="0" w:color="auto"/>
          </w:divBdr>
        </w:div>
        <w:div w:id="716393500">
          <w:marLeft w:val="0"/>
          <w:marRight w:val="0"/>
          <w:marTop w:val="0"/>
          <w:marBottom w:val="0"/>
          <w:divBdr>
            <w:top w:val="none" w:sz="0" w:space="0" w:color="auto"/>
            <w:left w:val="none" w:sz="0" w:space="0" w:color="auto"/>
            <w:bottom w:val="none" w:sz="0" w:space="0" w:color="auto"/>
            <w:right w:val="none" w:sz="0" w:space="0" w:color="auto"/>
          </w:divBdr>
        </w:div>
        <w:div w:id="1576209603">
          <w:marLeft w:val="0"/>
          <w:marRight w:val="0"/>
          <w:marTop w:val="0"/>
          <w:marBottom w:val="0"/>
          <w:divBdr>
            <w:top w:val="none" w:sz="0" w:space="0" w:color="auto"/>
            <w:left w:val="none" w:sz="0" w:space="0" w:color="auto"/>
            <w:bottom w:val="none" w:sz="0" w:space="0" w:color="auto"/>
            <w:right w:val="none" w:sz="0" w:space="0" w:color="auto"/>
          </w:divBdr>
        </w:div>
        <w:div w:id="739987684">
          <w:marLeft w:val="0"/>
          <w:marRight w:val="0"/>
          <w:marTop w:val="0"/>
          <w:marBottom w:val="0"/>
          <w:divBdr>
            <w:top w:val="none" w:sz="0" w:space="0" w:color="auto"/>
            <w:left w:val="none" w:sz="0" w:space="0" w:color="auto"/>
            <w:bottom w:val="none" w:sz="0" w:space="0" w:color="auto"/>
            <w:right w:val="none" w:sz="0" w:space="0" w:color="auto"/>
          </w:divBdr>
        </w:div>
      </w:divsChild>
    </w:div>
    <w:div w:id="18352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2" Type="http://schemas.openxmlformats.org/officeDocument/2006/relationships/hyperlink" Target="https://ap.ohchr.org/documents/dpage_e.aspx?si=A/HRC/RES/38/7" TargetMode="External"/><Relationship Id="rId1" Type="http://schemas.openxmlformats.org/officeDocument/2006/relationships/hyperlink" Target="https://tbinternet.ohchr.org/_layouts/15/treatybodyexternal/Download.aspx?symbolno=E%2fC.12%2fGC%2f24&amp;Lang=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DKA">
      <a:majorFont>
        <a:latin typeface="NimbusSanLCon"/>
        <a:ea typeface=""/>
        <a:cs typeface=""/>
      </a:majorFont>
      <a:minorFont>
        <a:latin typeface="NimbusSanLCo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13B0C4-2699-43D9-AD83-CB80B0BEFEFE}"/>
</file>

<file path=customXml/itemProps2.xml><?xml version="1.0" encoding="utf-8"?>
<ds:datastoreItem xmlns:ds="http://schemas.openxmlformats.org/officeDocument/2006/customXml" ds:itemID="{CEA08DE9-2177-4663-9E79-5301C20A80F4}"/>
</file>

<file path=customXml/itemProps3.xml><?xml version="1.0" encoding="utf-8"?>
<ds:datastoreItem xmlns:ds="http://schemas.openxmlformats.org/officeDocument/2006/customXml" ds:itemID="{0F0F074E-F673-47FF-812D-D37E33FD1274}"/>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Pintaritsch</dc:creator>
  <cp:keywords/>
  <dc:description/>
  <cp:lastModifiedBy>Ingrid Pintaritsch</cp:lastModifiedBy>
  <cp:revision>20</cp:revision>
  <cp:lastPrinted>2018-04-25T13:51:00Z</cp:lastPrinted>
  <dcterms:created xsi:type="dcterms:W3CDTF">2020-10-22T10:29:00Z</dcterms:created>
  <dcterms:modified xsi:type="dcterms:W3CDTF">2020-10-23T12:42:00Z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