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59" w:rsidRDefault="00562D59" w:rsidP="00F6675F">
      <w:pPr>
        <w:spacing w:after="0" w:line="240" w:lineRule="auto"/>
        <w:rPr>
          <w:rFonts w:ascii="Calibri" w:eastAsia="Calibri" w:hAnsi="Calibri" w:cs="Times New Roman"/>
        </w:rPr>
      </w:pPr>
    </w:p>
    <w:p w:rsidR="00562D59" w:rsidRPr="00AA3D4F" w:rsidRDefault="00562D59" w:rsidP="00AA3D4F">
      <w:pPr>
        <w:spacing w:after="0" w:line="240" w:lineRule="auto"/>
        <w:ind w:left="720"/>
        <w:jc w:val="center"/>
        <w:rPr>
          <w:rFonts w:ascii="Fian text" w:eastAsia="Calibri" w:hAnsi="Fian text" w:cs="Times New Roman"/>
          <w:b/>
          <w:lang w:val="es-CO"/>
        </w:rPr>
      </w:pPr>
      <w:r w:rsidRPr="00AA3D4F">
        <w:rPr>
          <w:rFonts w:ascii="Fian text" w:eastAsia="Calibri" w:hAnsi="Fian text" w:cs="Times New Roman"/>
          <w:b/>
          <w:lang w:val="es-CO"/>
        </w:rPr>
        <w:t xml:space="preserve">Declaración </w:t>
      </w:r>
      <w:r w:rsidR="00AA3D4F" w:rsidRPr="00AA3D4F">
        <w:rPr>
          <w:rFonts w:ascii="Fian text" w:eastAsia="Calibri" w:hAnsi="Fian text" w:cs="Times New Roman"/>
          <w:b/>
          <w:lang w:val="es-CO"/>
        </w:rPr>
        <w:t xml:space="preserve">General </w:t>
      </w:r>
      <w:r w:rsidRPr="00AA3D4F">
        <w:rPr>
          <w:rFonts w:ascii="Fian text" w:eastAsia="Calibri" w:hAnsi="Fian text" w:cs="Times New Roman"/>
          <w:b/>
          <w:lang w:val="es-CO"/>
        </w:rPr>
        <w:t>Oral de FIA</w:t>
      </w:r>
      <w:r w:rsidR="009D6958">
        <w:rPr>
          <w:rFonts w:ascii="Fian text" w:eastAsia="Calibri" w:hAnsi="Fian text" w:cs="Times New Roman"/>
          <w:b/>
          <w:lang w:val="es-CO"/>
        </w:rPr>
        <w:t>N Internacional, FIDH, SID and FI</w:t>
      </w:r>
      <w:r w:rsidR="00AA3D4F" w:rsidRPr="00AA3D4F">
        <w:rPr>
          <w:rFonts w:ascii="Fian text" w:eastAsia="Calibri" w:hAnsi="Fian text" w:cs="Times New Roman"/>
          <w:b/>
          <w:lang w:val="es-CO"/>
        </w:rPr>
        <w:t xml:space="preserve"> durante la sesión de apertura de la 6ª. Sesión del Grupo Abierto Intergubernamental de Trabajo para la elaboración de un Instrumento Jurídicamente Vinculante sobre Corporaciones Transnacionales y Otras Empresas con respecto a los Derechos Humanos- Ginebra, 26 de </w:t>
      </w:r>
      <w:proofErr w:type="gramStart"/>
      <w:r w:rsidR="00AA3D4F" w:rsidRPr="00AA3D4F">
        <w:rPr>
          <w:rFonts w:ascii="Fian text" w:eastAsia="Calibri" w:hAnsi="Fian text" w:cs="Times New Roman"/>
          <w:b/>
          <w:lang w:val="es-CO"/>
        </w:rPr>
        <w:t>Octubre</w:t>
      </w:r>
      <w:proofErr w:type="gramEnd"/>
      <w:r w:rsidR="00AA3D4F" w:rsidRPr="00AA3D4F">
        <w:rPr>
          <w:rFonts w:ascii="Fian text" w:eastAsia="Calibri" w:hAnsi="Fian text" w:cs="Times New Roman"/>
          <w:b/>
          <w:lang w:val="es-CO"/>
        </w:rPr>
        <w:t xml:space="preserve"> de 2020 – Primera </w:t>
      </w:r>
      <w:r w:rsidR="00AA3D4F">
        <w:rPr>
          <w:rFonts w:ascii="Fian text" w:eastAsia="Calibri" w:hAnsi="Fian text" w:cs="Times New Roman"/>
          <w:b/>
          <w:lang w:val="es-CO"/>
        </w:rPr>
        <w:t>reunión</w:t>
      </w:r>
    </w:p>
    <w:p w:rsidR="00562D59" w:rsidRPr="00562D59" w:rsidRDefault="00562D59" w:rsidP="00562D59">
      <w:pPr>
        <w:spacing w:after="0" w:line="240" w:lineRule="auto"/>
        <w:ind w:left="720"/>
        <w:rPr>
          <w:rFonts w:ascii="Calibri" w:eastAsia="Calibri" w:hAnsi="Calibri" w:cs="Times New Roman"/>
          <w:lang w:val="es-CO"/>
        </w:rPr>
      </w:pPr>
    </w:p>
    <w:p w:rsidR="00562D59" w:rsidRPr="0056248A" w:rsidRDefault="00AA3D4F" w:rsidP="006061EC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FIAN Internacional, la Federación Internacional de Derechos Humanos</w:t>
      </w:r>
      <w:r w:rsidR="009D6958" w:rsidRPr="0056248A">
        <w:rPr>
          <w:rFonts w:ascii="Fian text" w:eastAsia="Calibri" w:hAnsi="Fian text" w:cs="Times New Roman"/>
          <w:sz w:val="24"/>
          <w:lang w:val="es-CO"/>
        </w:rPr>
        <w:t xml:space="preserve"> (FIDH)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, </w:t>
      </w:r>
      <w:r w:rsidR="009D6958" w:rsidRPr="0056248A">
        <w:rPr>
          <w:rFonts w:ascii="Fian text" w:eastAsia="Calibri" w:hAnsi="Fian text" w:cs="Times New Roman"/>
          <w:sz w:val="24"/>
          <w:lang w:val="es-CO"/>
        </w:rPr>
        <w:t xml:space="preserve">la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S</w:t>
      </w:r>
      <w:r w:rsidR="009D6958" w:rsidRPr="0056248A">
        <w:rPr>
          <w:rFonts w:ascii="Fian text" w:eastAsia="Calibri" w:hAnsi="Fian text" w:cs="Times New Roman"/>
          <w:sz w:val="24"/>
          <w:lang w:val="es-CO"/>
        </w:rPr>
        <w:t xml:space="preserve">ociedad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I</w:t>
      </w:r>
      <w:r w:rsidR="009D6958" w:rsidRPr="0056248A">
        <w:rPr>
          <w:rFonts w:ascii="Fian text" w:eastAsia="Calibri" w:hAnsi="Fian text" w:cs="Times New Roman"/>
          <w:sz w:val="24"/>
          <w:lang w:val="es-CO"/>
        </w:rPr>
        <w:t xml:space="preserve">nternacional para el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D</w:t>
      </w:r>
      <w:r w:rsidR="009D6958" w:rsidRPr="0056248A">
        <w:rPr>
          <w:rFonts w:ascii="Fian text" w:eastAsia="Calibri" w:hAnsi="Fian text" w:cs="Times New Roman"/>
          <w:sz w:val="24"/>
          <w:lang w:val="es-CO"/>
        </w:rPr>
        <w:t>esarrollo (SID)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y Franciscanos Internacional</w:t>
      </w:r>
      <w:r w:rsidR="009D6958" w:rsidRPr="0056248A">
        <w:rPr>
          <w:rFonts w:ascii="Fian text" w:eastAsia="Calibri" w:hAnsi="Fian text" w:cs="Times New Roman"/>
          <w:sz w:val="24"/>
          <w:lang w:val="es-CO"/>
        </w:rPr>
        <w:t xml:space="preserve"> (FI)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, 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damos la bienvenida al segundo borrador revisado, el cual consideramos como una base adecuada para la negociación, durante la cual esperamos que se mejoren varios aspectos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indispensables para asegurar que el instrumento logre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su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objetivo.</w:t>
      </w:r>
    </w:p>
    <w:p w:rsidR="00AA3D4F" w:rsidRPr="0056248A" w:rsidRDefault="00AA3D4F" w:rsidP="006061EC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</w:p>
    <w:p w:rsidR="00AA3D4F" w:rsidRPr="0056248A" w:rsidRDefault="00AA3D4F" w:rsidP="006061EC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Como parte de la Alianza por el Tratado, las Feministas por el Tratado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, la RED-DESC </w:t>
      </w:r>
      <w:r w:rsidRPr="0056248A">
        <w:rPr>
          <w:rFonts w:ascii="Fian text" w:eastAsia="Calibri" w:hAnsi="Fian text" w:cs="Times New Roman"/>
          <w:sz w:val="24"/>
          <w:lang w:val="es-CO"/>
        </w:rPr>
        <w:t>y FIAN como parte de la Campania Global, destacamos la importancia de las varias reuniones regionales auspiciadas por la sociedad civil durante el último mes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. Las mismas 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han dado lugar a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importantes contribuciones que presentaremos a lo largo de la sesión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. </w:t>
      </w:r>
    </w:p>
    <w:p w:rsidR="00AA3D4F" w:rsidRPr="0056248A" w:rsidRDefault="00AA3D4F" w:rsidP="006061EC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</w:p>
    <w:p w:rsidR="006061EC" w:rsidRPr="0056248A" w:rsidRDefault="00AA3D4F" w:rsidP="00123A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Fian text" w:eastAsia="Calibri" w:hAnsi="Fian text" w:cs="Times New Roman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Recordamos la importa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ncia de que el Instrumento Jurídicamente Vinculante se negocie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en el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seno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del Consejo de Derechos Humanos. Sin duda, este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es el foro indicado para asegurar que el proceso intergubernamental se centre en los y las titulares de derechos humanos, orientando de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 esta manera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</w:t>
      </w:r>
      <w:r w:rsidRPr="0056248A">
        <w:rPr>
          <w:rFonts w:ascii="Fian text" w:eastAsia="Calibri" w:hAnsi="Fian text" w:cs="Times New Roman"/>
          <w:sz w:val="24"/>
          <w:lang w:val="es-CO"/>
        </w:rPr>
        <w:t>la necesaria transición económica a la que han hecho referencia relator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e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s especiales como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los profesores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Olivier de Schutter y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M</w:t>
      </w:r>
      <w:r w:rsidRPr="0056248A">
        <w:rPr>
          <w:rFonts w:ascii="Fian text" w:eastAsia="Calibri" w:hAnsi="Fian text" w:cs="Times New Roman"/>
          <w:sz w:val="24"/>
          <w:lang w:val="es-CO"/>
        </w:rPr>
        <w:t>ichael Fakhri,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para que la misma se lleve a cabo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de conformidad</w:t>
      </w:r>
      <w:r w:rsidR="006061EC" w:rsidRPr="0056248A">
        <w:rPr>
          <w:rFonts w:ascii="Fian text" w:eastAsia="Calibri" w:hAnsi="Fian text" w:cs="Times New Roman"/>
          <w:sz w:val="24"/>
          <w:lang w:val="es-CO"/>
        </w:rPr>
        <w:t xml:space="preserve"> con el mandato de la Carta de las Naciones Unidas. </w:t>
      </w:r>
    </w:p>
    <w:p w:rsidR="00527976" w:rsidRPr="0056248A" w:rsidRDefault="00527976" w:rsidP="00527976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</w:p>
    <w:p w:rsidR="00F6675F" w:rsidRPr="0056248A" w:rsidRDefault="006061EC" w:rsidP="006061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Fian text" w:eastAsia="Calibri" w:hAnsi="Fian text" w:cs="Times New Roman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Si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bien reconocemos la relevancia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del Desarrollo de legislaciones nacionales y regional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e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s en la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materia</w:t>
      </w:r>
      <w:r w:rsidRPr="0056248A">
        <w:rPr>
          <w:rFonts w:ascii="Fian text" w:eastAsia="Calibri" w:hAnsi="Fian text" w:cs="Times New Roman"/>
          <w:sz w:val="24"/>
          <w:lang w:val="es-CO"/>
        </w:rPr>
        <w:t>, estas no remplazan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una regulación global, que es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la única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capaz 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de asegurar un estándar regulatorio común y único,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evitando dobles estándares, y aportando a la segu</w:t>
      </w:r>
      <w:r w:rsidRPr="0056248A">
        <w:rPr>
          <w:rFonts w:ascii="Fian text" w:eastAsia="Calibri" w:hAnsi="Fian text" w:cs="Times New Roman"/>
          <w:sz w:val="24"/>
          <w:lang w:val="es-CO"/>
        </w:rPr>
        <w:t>r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i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dad jurídica global. </w:t>
      </w:r>
    </w:p>
    <w:p w:rsidR="006061EC" w:rsidRPr="0056248A" w:rsidRDefault="006061EC" w:rsidP="006061EC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</w:p>
    <w:p w:rsidR="00466D22" w:rsidRPr="0056248A" w:rsidRDefault="006061EC" w:rsidP="006061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Fian text" w:eastAsia="Calibri" w:hAnsi="Fian text" w:cs="Times New Roman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Resaltamo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s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 que es indispensable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que el instrument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o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vinculante no sea solamente una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versión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obligatoria de los Principios Rectores sobre Empresas y Derechos Humanos.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P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ara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agregar valor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al Derecho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I</w:t>
      </w:r>
      <w:r w:rsidRPr="0056248A">
        <w:rPr>
          <w:rFonts w:ascii="Fian text" w:eastAsia="Calibri" w:hAnsi="Fian text" w:cs="Times New Roman"/>
          <w:sz w:val="24"/>
          <w:lang w:val="es-CO"/>
        </w:rPr>
        <w:t>nternacional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, éste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deber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á contribuir a aclarar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l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as ambigü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edades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y lagunas regulatorias </w:t>
      </w:r>
      <w:r w:rsidRPr="0056248A">
        <w:rPr>
          <w:rFonts w:ascii="Fian text" w:eastAsia="Calibri" w:hAnsi="Fian text" w:cs="Times New Roman"/>
          <w:sz w:val="24"/>
          <w:lang w:val="es-CO"/>
        </w:rPr>
        <w:t>que han dejado abiertas los Principios Rectores.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Así, por </w:t>
      </w:r>
      <w:proofErr w:type="gramStart"/>
      <w:r w:rsidR="006C0D03" w:rsidRPr="0056248A">
        <w:rPr>
          <w:rFonts w:ascii="Fian text" w:eastAsia="Calibri" w:hAnsi="Fian text" w:cs="Times New Roman"/>
          <w:sz w:val="24"/>
          <w:lang w:val="es-CO"/>
        </w:rPr>
        <w:t>ejemplo</w:t>
      </w:r>
      <w:proofErr w:type="gramEnd"/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 deberán aportar claridad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sobre las obligaciones aplicables en el marco </w:t>
      </w:r>
      <w:r w:rsidRPr="0056248A">
        <w:rPr>
          <w:rFonts w:ascii="Fian text" w:eastAsia="Calibri" w:hAnsi="Fian text" w:cs="Times New Roman"/>
          <w:sz w:val="24"/>
          <w:lang w:val="es-CO"/>
        </w:rPr>
        <w:t>de las actividades empresariales transnacionales, incluyendo en el seno de las corporaciones transnacionales, los grupos económicos y a lo largo de las cadenas de valor. Este trabajo de precisión, aclaración y complemento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,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requiere un tratado fuerte</w:t>
      </w:r>
      <w:r w:rsidR="00960CF0" w:rsidRPr="0056248A">
        <w:rPr>
          <w:rFonts w:ascii="Fian text" w:eastAsia="Calibri" w:hAnsi="Fian text" w:cs="Times New Roman"/>
          <w:sz w:val="24"/>
          <w:lang w:val="es-CO"/>
        </w:rPr>
        <w:t>,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con un grado de detalle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como el del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segundo borrador revisado. </w:t>
      </w:r>
    </w:p>
    <w:p w:rsidR="006C0D03" w:rsidRPr="0056248A" w:rsidRDefault="006C0D03" w:rsidP="006C0D03">
      <w:pPr>
        <w:spacing w:after="0" w:line="240" w:lineRule="auto"/>
        <w:jc w:val="both"/>
        <w:rPr>
          <w:rFonts w:ascii="Fian text" w:eastAsia="Calibri" w:hAnsi="Fian text" w:cs="Times New Roman"/>
          <w:sz w:val="24"/>
          <w:lang w:val="es-CO"/>
        </w:rPr>
      </w:pPr>
    </w:p>
    <w:p w:rsidR="001C7AD5" w:rsidRPr="0056248A" w:rsidRDefault="006061EC" w:rsidP="006061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Fian text" w:hAnsi="Fian text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Como ejemplo de la necesidad de aclarar y comple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mentar los Principios R</w:t>
      </w:r>
      <w:r w:rsidRPr="0056248A">
        <w:rPr>
          <w:rFonts w:ascii="Fian text" w:eastAsia="Calibri" w:hAnsi="Fian text" w:cs="Times New Roman"/>
          <w:sz w:val="24"/>
          <w:lang w:val="es-CO"/>
        </w:rPr>
        <w:t>ectores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>,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queremos destacar el tema de las quejas de las víctimas en las empresas (</w:t>
      </w:r>
      <w:proofErr w:type="spellStart"/>
      <w:r w:rsidRPr="0056248A">
        <w:rPr>
          <w:rFonts w:ascii="Fian text" w:eastAsia="Calibri" w:hAnsi="Fian text" w:cs="Times New Roman"/>
          <w:sz w:val="24"/>
          <w:lang w:val="es-CO"/>
        </w:rPr>
        <w:t>grievance</w:t>
      </w:r>
      <w:proofErr w:type="spellEnd"/>
      <w:r w:rsidRPr="0056248A">
        <w:rPr>
          <w:rFonts w:ascii="Fian text" w:eastAsia="Calibri" w:hAnsi="Fian text" w:cs="Times New Roman"/>
          <w:sz w:val="24"/>
          <w:lang w:val="es-CO"/>
        </w:rPr>
        <w:t xml:space="preserve"> </w:t>
      </w:r>
      <w:proofErr w:type="spellStart"/>
      <w:r w:rsidRPr="0056248A">
        <w:rPr>
          <w:rFonts w:ascii="Fian text" w:eastAsia="Calibri" w:hAnsi="Fian text" w:cs="Times New Roman"/>
          <w:sz w:val="24"/>
          <w:lang w:val="es-CO"/>
        </w:rPr>
        <w:t>mechanisms</w:t>
      </w:r>
      <w:proofErr w:type="spellEnd"/>
      <w:r w:rsidRPr="0056248A">
        <w:rPr>
          <w:rFonts w:ascii="Fian text" w:eastAsia="Calibri" w:hAnsi="Fian text" w:cs="Times New Roman"/>
          <w:sz w:val="24"/>
          <w:lang w:val="es-CO"/>
        </w:rPr>
        <w:t>)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. C</w:t>
      </w:r>
      <w:r w:rsidRPr="0056248A">
        <w:rPr>
          <w:rFonts w:ascii="Fian text" w:eastAsia="Calibri" w:hAnsi="Fian text" w:cs="Times New Roman"/>
          <w:sz w:val="24"/>
          <w:lang w:val="es-CO"/>
        </w:rPr>
        <w:t>ons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i</w:t>
      </w:r>
      <w:r w:rsidRPr="0056248A">
        <w:rPr>
          <w:rFonts w:ascii="Fian text" w:eastAsia="Calibri" w:hAnsi="Fian text" w:cs="Times New Roman"/>
          <w:sz w:val="24"/>
          <w:lang w:val="es-CO"/>
        </w:rPr>
        <w:t>deramos crucial que e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l tratado se centre en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los mecanismos esta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tales de recurso, puesto que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 xml:space="preserve">nuestra 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experiencia </w:t>
      </w:r>
      <w:r w:rsidR="006C0D03" w:rsidRPr="0056248A">
        <w:rPr>
          <w:rFonts w:ascii="Fian text" w:eastAsia="Calibri" w:hAnsi="Fian text" w:cs="Times New Roman"/>
          <w:sz w:val="24"/>
          <w:lang w:val="es-CO"/>
        </w:rPr>
        <w:t>demuestra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 que los mecanismos de queja empresariales se desarrollan en un ambiente de desbalance de poder en el que las empresas al jugar como juez y parte, en múltiples ocasiones </w:t>
      </w:r>
      <w:r w:rsidR="00527976" w:rsidRPr="0056248A">
        <w:rPr>
          <w:rFonts w:ascii="Fian text" w:eastAsia="Calibri" w:hAnsi="Fian text" w:cs="Times New Roman"/>
          <w:sz w:val="24"/>
          <w:lang w:val="es-CO"/>
        </w:rPr>
        <w:t xml:space="preserve">llevan a las afectadas a aceptar </w:t>
      </w:r>
      <w:r w:rsidRPr="0056248A">
        <w:rPr>
          <w:rFonts w:ascii="Fian text" w:eastAsia="Calibri" w:hAnsi="Fian text" w:cs="Times New Roman"/>
          <w:sz w:val="24"/>
          <w:lang w:val="es-CO"/>
        </w:rPr>
        <w:t xml:space="preserve">compromisos que les impiden acceder a los mecanismos formales de reparación, a renunciar a sus derechos humanos o a aceptar soluciones contrarias a su dignidad humana. </w:t>
      </w:r>
    </w:p>
    <w:p w:rsidR="00527976" w:rsidRPr="0056248A" w:rsidRDefault="00527976" w:rsidP="00527976">
      <w:pPr>
        <w:spacing w:after="0" w:line="240" w:lineRule="auto"/>
        <w:jc w:val="both"/>
        <w:rPr>
          <w:rFonts w:ascii="Fian text" w:hAnsi="Fian text"/>
          <w:sz w:val="24"/>
          <w:lang w:val="es-CO"/>
        </w:rPr>
      </w:pPr>
    </w:p>
    <w:p w:rsidR="006061EC" w:rsidRPr="0056248A" w:rsidRDefault="00527976" w:rsidP="00527976">
      <w:pPr>
        <w:spacing w:after="0" w:line="240" w:lineRule="auto"/>
        <w:jc w:val="both"/>
        <w:rPr>
          <w:rFonts w:ascii="Fian text" w:hAnsi="Fian text"/>
          <w:sz w:val="24"/>
          <w:lang w:val="es-CO"/>
        </w:rPr>
      </w:pPr>
      <w:r w:rsidRPr="0056248A">
        <w:rPr>
          <w:rFonts w:ascii="Fian text" w:eastAsia="Calibri" w:hAnsi="Fian text" w:cs="Times New Roman"/>
          <w:sz w:val="24"/>
          <w:lang w:val="es-CO"/>
        </w:rPr>
        <w:t>Finalmente, l</w:t>
      </w:r>
      <w:r w:rsidR="006061EC" w:rsidRPr="0056248A">
        <w:rPr>
          <w:rFonts w:ascii="Fian text" w:eastAsia="Calibri" w:hAnsi="Fian text" w:cs="Times New Roman"/>
          <w:sz w:val="24"/>
          <w:lang w:val="es-CO"/>
        </w:rPr>
        <w:t xml:space="preserve">lamamos a los Estados a participar activamente en las negociaciones y responder a las expectativas que las comunidades afectadas y sus defensoras hemos puesto en el Grupo Intergubernamental de Trabajo. </w:t>
      </w:r>
    </w:p>
    <w:sectPr w:rsidR="006061EC" w:rsidRPr="0056248A" w:rsidSect="00AC1D20">
      <w:pgSz w:w="11906" w:h="16838"/>
      <w:pgMar w:top="709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an text">
    <w:panose1 w:val="020B0503030403020204"/>
    <w:charset w:val="00"/>
    <w:family w:val="swiss"/>
    <w:notTrueType/>
    <w:pitch w:val="variable"/>
    <w:sig w:usb0="600002D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3E3A"/>
    <w:multiLevelType w:val="hybridMultilevel"/>
    <w:tmpl w:val="CC08DAD8"/>
    <w:lvl w:ilvl="0" w:tplc="F94EE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5F"/>
    <w:rsid w:val="00466D22"/>
    <w:rsid w:val="00527976"/>
    <w:rsid w:val="0056248A"/>
    <w:rsid w:val="00562D59"/>
    <w:rsid w:val="006061EC"/>
    <w:rsid w:val="006C0D03"/>
    <w:rsid w:val="006E708D"/>
    <w:rsid w:val="007000A2"/>
    <w:rsid w:val="007622B2"/>
    <w:rsid w:val="00960CF0"/>
    <w:rsid w:val="009D6958"/>
    <w:rsid w:val="00A27525"/>
    <w:rsid w:val="00AA3D4F"/>
    <w:rsid w:val="00AC1D20"/>
    <w:rsid w:val="00C873F1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E0EA-31C3-4A7D-93E7-C772EF9E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65CF3-BF76-4C7E-AEEF-049CC9A0AF60}"/>
</file>

<file path=customXml/itemProps2.xml><?xml version="1.0" encoding="utf-8"?>
<ds:datastoreItem xmlns:ds="http://schemas.openxmlformats.org/officeDocument/2006/customXml" ds:itemID="{B4BD3ACB-2A28-481F-898F-CB940D2FC147}"/>
</file>

<file path=customXml/itemProps3.xml><?xml version="1.0" encoding="utf-8"?>
<ds:datastoreItem xmlns:ds="http://schemas.openxmlformats.org/officeDocument/2006/customXml" ds:itemID="{84B946EE-8C3E-4F74-BB4F-27F0D962E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Suarez-Franco</dc:creator>
  <cp:keywords/>
  <dc:description/>
  <cp:lastModifiedBy>Ana Maria Suarez-Franco</cp:lastModifiedBy>
  <cp:revision>4</cp:revision>
  <dcterms:created xsi:type="dcterms:W3CDTF">2020-10-25T17:59:00Z</dcterms:created>
  <dcterms:modified xsi:type="dcterms:W3CDTF">2020-10-27T09:57:00Z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