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8E" w:rsidRDefault="003F518E" w:rsidP="003F518E">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Preamble/Articles 1 &amp; 2</w:t>
      </w:r>
    </w:p>
    <w:p w:rsidR="003F518E" w:rsidRDefault="003F518E" w:rsidP="003F518E">
      <w:pPr>
        <w:pStyle w:val="Default"/>
        <w:jc w:val="both"/>
        <w:rPr>
          <w:rFonts w:asciiTheme="minorHAnsi" w:hAnsiTheme="minorHAnsi" w:cstheme="minorHAnsi"/>
          <w:b/>
          <w:bCs/>
          <w:color w:val="auto"/>
          <w:sz w:val="22"/>
          <w:szCs w:val="22"/>
        </w:rPr>
      </w:pPr>
    </w:p>
    <w:p w:rsidR="003F518E" w:rsidRDefault="003F518E" w:rsidP="003F518E">
      <w:pPr>
        <w:pStyle w:val="Default"/>
        <w:jc w:val="both"/>
        <w:rPr>
          <w:rFonts w:asciiTheme="minorHAnsi" w:hAnsiTheme="minorHAnsi" w:cstheme="minorHAnsi"/>
          <w:b/>
          <w:bCs/>
          <w:color w:val="auto"/>
          <w:sz w:val="22"/>
          <w:szCs w:val="22"/>
        </w:rPr>
      </w:pPr>
    </w:p>
    <w:p w:rsidR="003F518E" w:rsidRDefault="003F518E" w:rsidP="003F518E">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 xml:space="preserve">Thank you, Chairperson. I speak on behalf of the over 200 million members of the global trade union organisations: ITUC, BWI, EI, </w:t>
      </w:r>
      <w:proofErr w:type="spellStart"/>
      <w:r>
        <w:rPr>
          <w:rFonts w:asciiTheme="minorHAnsi" w:hAnsiTheme="minorHAnsi" w:cstheme="minorHAnsi"/>
          <w:bCs/>
          <w:color w:val="auto"/>
          <w:sz w:val="22"/>
          <w:szCs w:val="22"/>
        </w:rPr>
        <w:t>IndustriAll</w:t>
      </w:r>
      <w:proofErr w:type="spellEnd"/>
      <w:r>
        <w:rPr>
          <w:rFonts w:asciiTheme="minorHAnsi" w:hAnsiTheme="minorHAnsi" w:cstheme="minorHAnsi"/>
          <w:bCs/>
          <w:color w:val="auto"/>
          <w:sz w:val="22"/>
          <w:szCs w:val="22"/>
        </w:rPr>
        <w:t xml:space="preserve">, ITF, IUF, PSI, and UNI. </w:t>
      </w:r>
    </w:p>
    <w:p w:rsidR="003F518E" w:rsidRDefault="003F518E" w:rsidP="003F518E">
      <w:pPr>
        <w:pStyle w:val="Default"/>
        <w:jc w:val="both"/>
        <w:rPr>
          <w:rFonts w:asciiTheme="minorHAnsi" w:hAnsiTheme="minorHAnsi" w:cstheme="minorHAnsi"/>
          <w:bCs/>
          <w:color w:val="auto"/>
          <w:sz w:val="22"/>
          <w:szCs w:val="22"/>
        </w:rPr>
      </w:pPr>
    </w:p>
    <w:p w:rsidR="003F518E" w:rsidRPr="004448B4" w:rsidRDefault="003F518E" w:rsidP="003F518E">
      <w:pPr>
        <w:jc w:val="both"/>
        <w:rPr>
          <w:rFonts w:cstheme="minorHAnsi"/>
        </w:rPr>
      </w:pPr>
      <w:r>
        <w:rPr>
          <w:rFonts w:cstheme="minorHAnsi"/>
          <w:bCs/>
          <w:iCs/>
        </w:rPr>
        <w:t>We note that t</w:t>
      </w:r>
      <w:r w:rsidRPr="004448B4">
        <w:rPr>
          <w:rFonts w:cstheme="minorHAnsi"/>
          <w:bCs/>
          <w:iCs/>
        </w:rPr>
        <w:t>he</w:t>
      </w:r>
      <w:r w:rsidRPr="004448B4">
        <w:rPr>
          <w:rFonts w:cstheme="minorHAnsi"/>
          <w:b/>
          <w:bCs/>
          <w:iCs/>
        </w:rPr>
        <w:t xml:space="preserve"> </w:t>
      </w:r>
      <w:r w:rsidRPr="004448B4">
        <w:rPr>
          <w:rFonts w:cstheme="minorHAnsi"/>
          <w:b/>
          <w:bCs/>
          <w:i/>
          <w:iCs/>
        </w:rPr>
        <w:t xml:space="preserve">Preamble </w:t>
      </w:r>
      <w:r w:rsidRPr="004448B4">
        <w:rPr>
          <w:rFonts w:cstheme="minorHAnsi"/>
          <w:bCs/>
          <w:iCs/>
        </w:rPr>
        <w:t xml:space="preserve">has been enhanced with targeted amendments aimed at defining the purposes and rationale of the Legally Binding Instrument. We welcome, in particular, the reaffirmation that human rights are </w:t>
      </w:r>
      <w:r w:rsidRPr="004448B4">
        <w:rPr>
          <w:rFonts w:cstheme="minorHAnsi"/>
          <w:bCs/>
          <w:i/>
          <w:iCs/>
        </w:rPr>
        <w:t>inalienable</w:t>
      </w:r>
      <w:r w:rsidRPr="004448B4">
        <w:rPr>
          <w:rFonts w:cstheme="minorHAnsi"/>
          <w:bCs/>
          <w:iCs/>
        </w:rPr>
        <w:t xml:space="preserve">, </w:t>
      </w:r>
      <w:r w:rsidRPr="004448B4">
        <w:rPr>
          <w:rFonts w:cstheme="minorHAnsi"/>
          <w:bCs/>
          <w:i/>
          <w:iCs/>
        </w:rPr>
        <w:t>equal and non-discriminatory</w:t>
      </w:r>
      <w:r w:rsidRPr="004448B4">
        <w:rPr>
          <w:rFonts w:cstheme="minorHAnsi"/>
          <w:bCs/>
          <w:iCs/>
        </w:rPr>
        <w:t xml:space="preserve"> in line with the Universal Declaration of Human Rights (UDHR). Further, the references to the </w:t>
      </w:r>
      <w:r w:rsidRPr="004448B4">
        <w:rPr>
          <w:rFonts w:cstheme="minorHAnsi"/>
        </w:rPr>
        <w:t xml:space="preserve">ILO MNE Declaration and the Sustainable Development Goals (SDGs) strengthen the text and ensure policy coherence. New paragraphs emphasising the need for States and business enterprises to integrate a gender perspective in all their measures and referencing the UN Declaration on Human Rights Defenders are welcome additions.  </w:t>
      </w:r>
    </w:p>
    <w:p w:rsidR="003F518E" w:rsidRPr="004448B4" w:rsidRDefault="003F518E" w:rsidP="003F518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However, w</w:t>
      </w:r>
      <w:r w:rsidRPr="004448B4">
        <w:rPr>
          <w:rFonts w:asciiTheme="minorHAnsi" w:hAnsiTheme="minorHAnsi" w:cstheme="minorHAnsi"/>
          <w:color w:val="auto"/>
          <w:sz w:val="22"/>
          <w:szCs w:val="22"/>
        </w:rPr>
        <w:t xml:space="preserve">e believe that the Preamble can be further strengthened with the following amendments: </w:t>
      </w:r>
    </w:p>
    <w:p w:rsidR="003F518E" w:rsidRPr="004448B4" w:rsidRDefault="003F518E" w:rsidP="003F518E">
      <w:pPr>
        <w:pStyle w:val="Default"/>
        <w:jc w:val="both"/>
        <w:rPr>
          <w:rFonts w:asciiTheme="minorHAnsi" w:hAnsiTheme="minorHAnsi" w:cstheme="minorHAnsi"/>
          <w:color w:val="auto"/>
          <w:sz w:val="22"/>
          <w:szCs w:val="22"/>
        </w:rPr>
      </w:pPr>
    </w:p>
    <w:p w:rsidR="003F518E" w:rsidRPr="004753AF" w:rsidRDefault="003F518E" w:rsidP="003F518E">
      <w:pPr>
        <w:pStyle w:val="Default"/>
        <w:numPr>
          <w:ilvl w:val="0"/>
          <w:numId w:val="1"/>
        </w:numPr>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Recalling </w:t>
      </w:r>
      <w:r w:rsidRPr="004448B4">
        <w:rPr>
          <w:rFonts w:asciiTheme="minorHAnsi" w:hAnsiTheme="minorHAnsi" w:cstheme="minorHAnsi"/>
          <w:i/>
          <w:iCs/>
          <w:color w:val="auto"/>
          <w:sz w:val="22"/>
          <w:szCs w:val="22"/>
        </w:rPr>
        <w:t xml:space="preserve">all </w:t>
      </w:r>
      <w:r w:rsidRPr="004448B4">
        <w:rPr>
          <w:rFonts w:asciiTheme="minorHAnsi" w:hAnsiTheme="minorHAnsi" w:cstheme="minorHAnsi"/>
          <w:color w:val="auto"/>
          <w:sz w:val="22"/>
          <w:szCs w:val="22"/>
        </w:rPr>
        <w:t xml:space="preserve">International Labour Standards, in addition to the already-referenced fundamental Conventions of the ILO; </w:t>
      </w:r>
    </w:p>
    <w:p w:rsidR="003F518E" w:rsidRPr="004753AF" w:rsidRDefault="003F518E" w:rsidP="003F518E">
      <w:pPr>
        <w:pStyle w:val="Default"/>
        <w:numPr>
          <w:ilvl w:val="0"/>
          <w:numId w:val="1"/>
        </w:numPr>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Recognising the distinctive and disproportionate impact of business-related human rights impacts on </w:t>
      </w:r>
      <w:r w:rsidRPr="004448B4">
        <w:rPr>
          <w:rFonts w:asciiTheme="minorHAnsi" w:hAnsiTheme="minorHAnsi" w:cstheme="minorHAnsi"/>
          <w:i/>
          <w:iCs/>
          <w:color w:val="auto"/>
          <w:sz w:val="22"/>
          <w:szCs w:val="22"/>
        </w:rPr>
        <w:t>workers</w:t>
      </w:r>
      <w:r w:rsidRPr="004448B4">
        <w:rPr>
          <w:rFonts w:asciiTheme="minorHAnsi" w:hAnsiTheme="minorHAnsi" w:cstheme="minorHAnsi"/>
          <w:color w:val="auto"/>
          <w:sz w:val="22"/>
          <w:szCs w:val="22"/>
        </w:rPr>
        <w:t xml:space="preserve">; </w:t>
      </w:r>
    </w:p>
    <w:p w:rsidR="003F518E" w:rsidRPr="004448B4" w:rsidRDefault="003F518E" w:rsidP="003F518E">
      <w:pPr>
        <w:pStyle w:val="Default"/>
        <w:numPr>
          <w:ilvl w:val="0"/>
          <w:numId w:val="1"/>
        </w:numPr>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Reaffirming the primacy of human rights over business and trade</w:t>
      </w:r>
      <w:r>
        <w:rPr>
          <w:rFonts w:asciiTheme="minorHAnsi" w:hAnsiTheme="minorHAnsi" w:cstheme="minorHAnsi"/>
          <w:color w:val="auto"/>
          <w:sz w:val="22"/>
          <w:szCs w:val="22"/>
        </w:rPr>
        <w:t xml:space="preserve">. </w:t>
      </w:r>
      <w:r w:rsidRPr="004448B4">
        <w:rPr>
          <w:rFonts w:asciiTheme="minorHAnsi" w:hAnsiTheme="minorHAnsi" w:cstheme="minorHAnsi"/>
          <w:color w:val="auto"/>
          <w:sz w:val="22"/>
          <w:szCs w:val="22"/>
        </w:rPr>
        <w:t xml:space="preserve">This recognition would be important also in view of new </w:t>
      </w:r>
      <w:r>
        <w:rPr>
          <w:rFonts w:asciiTheme="minorHAnsi" w:hAnsiTheme="minorHAnsi" w:cstheme="minorHAnsi"/>
          <w:color w:val="auto"/>
          <w:sz w:val="22"/>
          <w:szCs w:val="22"/>
        </w:rPr>
        <w:t>art.</w:t>
      </w:r>
      <w:r w:rsidRPr="004448B4">
        <w:rPr>
          <w:rFonts w:asciiTheme="minorHAnsi" w:hAnsiTheme="minorHAnsi" w:cstheme="minorHAnsi"/>
          <w:color w:val="auto"/>
          <w:sz w:val="22"/>
          <w:szCs w:val="22"/>
        </w:rPr>
        <w:t xml:space="preserve"> 14(5).   </w:t>
      </w:r>
    </w:p>
    <w:p w:rsidR="003F518E" w:rsidRDefault="003F518E" w:rsidP="003F518E">
      <w:pPr>
        <w:pStyle w:val="Default"/>
        <w:jc w:val="both"/>
        <w:rPr>
          <w:rFonts w:asciiTheme="minorHAnsi" w:hAnsiTheme="minorHAnsi" w:cstheme="minorHAnsi"/>
          <w:b/>
          <w:bCs/>
          <w:i/>
          <w:iCs/>
          <w:color w:val="auto"/>
          <w:sz w:val="22"/>
          <w:szCs w:val="22"/>
        </w:rPr>
      </w:pPr>
    </w:p>
    <w:p w:rsidR="003F518E" w:rsidRPr="004448B4" w:rsidRDefault="003F518E" w:rsidP="003F518E">
      <w:pPr>
        <w:pStyle w:val="Default"/>
        <w:jc w:val="both"/>
        <w:rPr>
          <w:rFonts w:asciiTheme="minorHAnsi" w:hAnsiTheme="minorHAnsi" w:cstheme="minorHAnsi"/>
          <w:color w:val="auto"/>
          <w:sz w:val="22"/>
          <w:szCs w:val="22"/>
        </w:rPr>
      </w:pPr>
      <w:r w:rsidRPr="004448B4">
        <w:rPr>
          <w:rFonts w:asciiTheme="minorHAnsi" w:hAnsiTheme="minorHAnsi" w:cstheme="minorHAnsi"/>
          <w:b/>
          <w:bCs/>
          <w:i/>
          <w:iCs/>
          <w:color w:val="auto"/>
          <w:sz w:val="22"/>
          <w:szCs w:val="22"/>
        </w:rPr>
        <w:t xml:space="preserve">Article 1. Definitions </w:t>
      </w:r>
      <w:r w:rsidRPr="004448B4">
        <w:rPr>
          <w:rFonts w:asciiTheme="minorHAnsi" w:hAnsiTheme="minorHAnsi" w:cstheme="minorHAnsi"/>
          <w:bCs/>
          <w:iCs/>
          <w:color w:val="auto"/>
          <w:sz w:val="22"/>
          <w:szCs w:val="22"/>
        </w:rPr>
        <w:t xml:space="preserve">now contains a comprehensive definition of </w:t>
      </w:r>
      <w:r w:rsidRPr="004448B4">
        <w:rPr>
          <w:rFonts w:asciiTheme="minorHAnsi" w:hAnsiTheme="minorHAnsi" w:cstheme="minorHAnsi"/>
          <w:bCs/>
          <w:i/>
          <w:iCs/>
          <w:color w:val="auto"/>
          <w:sz w:val="22"/>
          <w:szCs w:val="22"/>
        </w:rPr>
        <w:t xml:space="preserve">victim </w:t>
      </w:r>
      <w:r w:rsidRPr="004448B4">
        <w:rPr>
          <w:rFonts w:asciiTheme="minorHAnsi" w:hAnsiTheme="minorHAnsi" w:cstheme="minorHAnsi"/>
          <w:bCs/>
          <w:iCs/>
          <w:color w:val="auto"/>
          <w:sz w:val="22"/>
          <w:szCs w:val="22"/>
        </w:rPr>
        <w:t>in line with prevailing international law standards</w:t>
      </w:r>
      <w:r>
        <w:rPr>
          <w:rFonts w:asciiTheme="minorHAnsi" w:hAnsiTheme="minorHAnsi" w:cstheme="minorHAnsi"/>
          <w:bCs/>
          <w:iCs/>
          <w:color w:val="auto"/>
          <w:sz w:val="22"/>
          <w:szCs w:val="22"/>
        </w:rPr>
        <w:t xml:space="preserve">. </w:t>
      </w:r>
      <w:r>
        <w:rPr>
          <w:rFonts w:asciiTheme="minorHAnsi" w:hAnsiTheme="minorHAnsi" w:cstheme="minorHAnsi"/>
          <w:color w:val="auto"/>
          <w:sz w:val="22"/>
          <w:szCs w:val="22"/>
        </w:rPr>
        <w:t>H</w:t>
      </w:r>
      <w:r w:rsidRPr="004448B4">
        <w:rPr>
          <w:rFonts w:asciiTheme="minorHAnsi" w:hAnsiTheme="minorHAnsi" w:cstheme="minorHAnsi"/>
          <w:color w:val="auto"/>
          <w:sz w:val="22"/>
          <w:szCs w:val="22"/>
        </w:rPr>
        <w:t xml:space="preserve">uman rights defenders, including trade unionists, are implicitly covered by this definition. This, taken together with </w:t>
      </w:r>
      <w:r>
        <w:rPr>
          <w:rFonts w:asciiTheme="minorHAnsi" w:hAnsiTheme="minorHAnsi" w:cstheme="minorHAnsi"/>
          <w:color w:val="auto"/>
          <w:sz w:val="22"/>
          <w:szCs w:val="22"/>
        </w:rPr>
        <w:t xml:space="preserve">new art. 4 </w:t>
      </w:r>
      <w:r w:rsidRPr="004448B4">
        <w:rPr>
          <w:rFonts w:asciiTheme="minorHAnsi" w:hAnsiTheme="minorHAnsi" w:cstheme="minorHAnsi"/>
          <w:color w:val="auto"/>
          <w:sz w:val="22"/>
          <w:szCs w:val="22"/>
        </w:rPr>
        <w:t xml:space="preserve">ensures that the rights of </w:t>
      </w:r>
      <w:r w:rsidRPr="004448B4">
        <w:rPr>
          <w:rFonts w:asciiTheme="minorHAnsi" w:hAnsiTheme="minorHAnsi" w:cstheme="minorHAnsi"/>
          <w:i/>
          <w:color w:val="auto"/>
          <w:sz w:val="22"/>
          <w:szCs w:val="22"/>
        </w:rPr>
        <w:t xml:space="preserve">potential </w:t>
      </w:r>
      <w:r w:rsidRPr="004448B4">
        <w:rPr>
          <w:rFonts w:asciiTheme="minorHAnsi" w:hAnsiTheme="minorHAnsi" w:cstheme="minorHAnsi"/>
          <w:color w:val="auto"/>
          <w:sz w:val="22"/>
          <w:szCs w:val="22"/>
        </w:rPr>
        <w:t>victims of human rights abuse are also adequately covered</w:t>
      </w:r>
      <w:r>
        <w:rPr>
          <w:rFonts w:asciiTheme="minorHAnsi" w:hAnsiTheme="minorHAnsi" w:cstheme="minorHAnsi"/>
          <w:color w:val="auto"/>
          <w:sz w:val="22"/>
          <w:szCs w:val="22"/>
        </w:rPr>
        <w:t>.</w:t>
      </w:r>
      <w:r w:rsidRPr="004448B4">
        <w:rPr>
          <w:rFonts w:asciiTheme="minorHAnsi" w:hAnsiTheme="minorHAnsi" w:cstheme="minorHAnsi"/>
          <w:color w:val="auto"/>
          <w:sz w:val="22"/>
          <w:szCs w:val="22"/>
        </w:rPr>
        <w:t xml:space="preserve"> Nevertheless, we believe that the term </w:t>
      </w:r>
      <w:r w:rsidRPr="004448B4">
        <w:rPr>
          <w:rFonts w:asciiTheme="minorHAnsi" w:hAnsiTheme="minorHAnsi" w:cstheme="minorHAnsi"/>
          <w:i/>
          <w:color w:val="auto"/>
          <w:sz w:val="22"/>
          <w:szCs w:val="22"/>
        </w:rPr>
        <w:t>rights-holder</w:t>
      </w:r>
      <w:r w:rsidRPr="004448B4">
        <w:rPr>
          <w:rFonts w:asciiTheme="minorHAnsi" w:hAnsiTheme="minorHAnsi" w:cstheme="minorHAnsi"/>
          <w:color w:val="auto"/>
          <w:sz w:val="22"/>
          <w:szCs w:val="22"/>
        </w:rPr>
        <w:t xml:space="preserve"> should be used instead of </w:t>
      </w:r>
      <w:r w:rsidRPr="004448B4">
        <w:rPr>
          <w:rFonts w:asciiTheme="minorHAnsi" w:hAnsiTheme="minorHAnsi" w:cstheme="minorHAnsi"/>
          <w:i/>
          <w:color w:val="auto"/>
          <w:sz w:val="22"/>
          <w:szCs w:val="22"/>
        </w:rPr>
        <w:t>victim</w:t>
      </w:r>
      <w:r>
        <w:rPr>
          <w:rFonts w:asciiTheme="minorHAnsi" w:hAnsiTheme="minorHAnsi" w:cstheme="minorHAnsi"/>
          <w:color w:val="auto"/>
          <w:sz w:val="22"/>
          <w:szCs w:val="22"/>
        </w:rPr>
        <w:t xml:space="preserve">. </w:t>
      </w:r>
      <w:r w:rsidRPr="004448B4">
        <w:rPr>
          <w:rFonts w:asciiTheme="minorHAnsi" w:hAnsiTheme="minorHAnsi" w:cstheme="minorHAnsi"/>
          <w:i/>
          <w:color w:val="auto"/>
          <w:sz w:val="22"/>
          <w:szCs w:val="22"/>
        </w:rPr>
        <w:t xml:space="preserve"> </w:t>
      </w:r>
    </w:p>
    <w:p w:rsidR="003F518E" w:rsidRPr="004448B4" w:rsidRDefault="003F518E" w:rsidP="003F518E">
      <w:pPr>
        <w:pStyle w:val="Default"/>
        <w:jc w:val="both"/>
        <w:rPr>
          <w:rFonts w:asciiTheme="minorHAnsi" w:hAnsiTheme="minorHAnsi" w:cstheme="minorHAnsi"/>
          <w:color w:val="auto"/>
          <w:sz w:val="22"/>
          <w:szCs w:val="22"/>
        </w:rPr>
      </w:pPr>
    </w:p>
    <w:p w:rsidR="003F518E" w:rsidRPr="004448B4" w:rsidRDefault="003F518E" w:rsidP="003F518E">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Pr="004448B4">
        <w:rPr>
          <w:rFonts w:asciiTheme="minorHAnsi" w:hAnsiTheme="minorHAnsi" w:cstheme="minorHAnsi"/>
          <w:color w:val="auto"/>
          <w:sz w:val="22"/>
          <w:szCs w:val="22"/>
        </w:rPr>
        <w:t xml:space="preserve">he scope of </w:t>
      </w:r>
      <w:r w:rsidRPr="004448B4">
        <w:rPr>
          <w:rFonts w:asciiTheme="minorHAnsi" w:hAnsiTheme="minorHAnsi" w:cstheme="minorHAnsi"/>
          <w:i/>
          <w:color w:val="auto"/>
          <w:sz w:val="22"/>
          <w:szCs w:val="22"/>
        </w:rPr>
        <w:t xml:space="preserve">environmental rights </w:t>
      </w:r>
      <w:r w:rsidRPr="004448B4">
        <w:rPr>
          <w:rFonts w:asciiTheme="minorHAnsi" w:hAnsiTheme="minorHAnsi" w:cstheme="minorHAnsi"/>
          <w:color w:val="auto"/>
          <w:sz w:val="22"/>
          <w:szCs w:val="22"/>
        </w:rPr>
        <w:t xml:space="preserve">covered </w:t>
      </w:r>
      <w:r>
        <w:rPr>
          <w:rFonts w:asciiTheme="minorHAnsi" w:hAnsiTheme="minorHAnsi" w:cstheme="minorHAnsi"/>
          <w:color w:val="auto"/>
          <w:sz w:val="22"/>
          <w:szCs w:val="22"/>
        </w:rPr>
        <w:t xml:space="preserve">in the definition of </w:t>
      </w:r>
      <w:r>
        <w:rPr>
          <w:rFonts w:asciiTheme="minorHAnsi" w:hAnsiTheme="minorHAnsi" w:cstheme="minorHAnsi"/>
          <w:i/>
          <w:color w:val="auto"/>
          <w:sz w:val="22"/>
          <w:szCs w:val="22"/>
        </w:rPr>
        <w:t>human rights abuse</w:t>
      </w:r>
      <w:r w:rsidRPr="004448B4">
        <w:rPr>
          <w:rFonts w:asciiTheme="minorHAnsi" w:hAnsiTheme="minorHAnsi" w:cstheme="minorHAnsi"/>
          <w:color w:val="auto"/>
          <w:sz w:val="22"/>
          <w:szCs w:val="22"/>
        </w:rPr>
        <w:t xml:space="preserve"> remains vague. </w:t>
      </w:r>
      <w:r>
        <w:rPr>
          <w:rFonts w:asciiTheme="minorHAnsi" w:hAnsiTheme="minorHAnsi" w:cstheme="minorHAnsi"/>
          <w:color w:val="auto"/>
          <w:sz w:val="22"/>
          <w:szCs w:val="22"/>
        </w:rPr>
        <w:t>The</w:t>
      </w:r>
      <w:r w:rsidRPr="004448B4">
        <w:rPr>
          <w:rFonts w:asciiTheme="minorHAnsi" w:hAnsiTheme="minorHAnsi" w:cstheme="minorHAnsi"/>
          <w:color w:val="auto"/>
          <w:sz w:val="22"/>
          <w:szCs w:val="22"/>
        </w:rPr>
        <w:t xml:space="preserve"> definition </w:t>
      </w:r>
      <w:r>
        <w:rPr>
          <w:rFonts w:asciiTheme="minorHAnsi" w:hAnsiTheme="minorHAnsi" w:cstheme="minorHAnsi"/>
          <w:color w:val="auto"/>
          <w:sz w:val="22"/>
          <w:szCs w:val="22"/>
        </w:rPr>
        <w:t xml:space="preserve">also </w:t>
      </w:r>
      <w:r w:rsidRPr="004448B4">
        <w:rPr>
          <w:rFonts w:asciiTheme="minorHAnsi" w:hAnsiTheme="minorHAnsi" w:cstheme="minorHAnsi"/>
          <w:color w:val="auto"/>
          <w:sz w:val="22"/>
          <w:szCs w:val="22"/>
        </w:rPr>
        <w:t>appear</w:t>
      </w:r>
      <w:r>
        <w:rPr>
          <w:rFonts w:asciiTheme="minorHAnsi" w:hAnsiTheme="minorHAnsi" w:cstheme="minorHAnsi"/>
          <w:color w:val="auto"/>
          <w:sz w:val="22"/>
          <w:szCs w:val="22"/>
        </w:rPr>
        <w:t>s</w:t>
      </w:r>
      <w:r w:rsidRPr="004448B4">
        <w:rPr>
          <w:rFonts w:asciiTheme="minorHAnsi" w:hAnsiTheme="minorHAnsi" w:cstheme="minorHAnsi"/>
          <w:color w:val="auto"/>
          <w:sz w:val="22"/>
          <w:szCs w:val="22"/>
        </w:rPr>
        <w:t xml:space="preserve"> to limit abuse to those committed </w:t>
      </w:r>
      <w:r w:rsidRPr="004448B4">
        <w:rPr>
          <w:rFonts w:asciiTheme="minorHAnsi" w:hAnsiTheme="minorHAnsi" w:cstheme="minorHAnsi"/>
          <w:i/>
          <w:iCs/>
          <w:color w:val="auto"/>
          <w:sz w:val="22"/>
          <w:szCs w:val="22"/>
        </w:rPr>
        <w:t xml:space="preserve">against </w:t>
      </w:r>
      <w:r w:rsidRPr="004448B4">
        <w:rPr>
          <w:rFonts w:asciiTheme="minorHAnsi" w:hAnsiTheme="minorHAnsi" w:cstheme="minorHAnsi"/>
          <w:color w:val="auto"/>
          <w:sz w:val="22"/>
          <w:szCs w:val="22"/>
        </w:rPr>
        <w:t xml:space="preserve">individuals and should therefore be expanded to cover human rights abuses </w:t>
      </w:r>
      <w:r w:rsidRPr="004448B4">
        <w:rPr>
          <w:rFonts w:asciiTheme="minorHAnsi" w:hAnsiTheme="minorHAnsi" w:cstheme="minorHAnsi"/>
          <w:i/>
          <w:iCs/>
          <w:color w:val="auto"/>
          <w:sz w:val="22"/>
          <w:szCs w:val="22"/>
        </w:rPr>
        <w:t xml:space="preserve">resulting from </w:t>
      </w:r>
      <w:r w:rsidRPr="004448B4">
        <w:rPr>
          <w:rFonts w:asciiTheme="minorHAnsi" w:hAnsiTheme="minorHAnsi" w:cstheme="minorHAnsi"/>
          <w:color w:val="auto"/>
          <w:sz w:val="22"/>
          <w:szCs w:val="22"/>
        </w:rPr>
        <w:t>business activities in line with the central theme of the Legally Binding Instrument.</w:t>
      </w:r>
    </w:p>
    <w:p w:rsidR="003F518E" w:rsidRPr="004448B4" w:rsidRDefault="003F518E" w:rsidP="003F518E">
      <w:pPr>
        <w:pStyle w:val="Default"/>
        <w:jc w:val="both"/>
        <w:rPr>
          <w:rFonts w:asciiTheme="minorHAnsi" w:hAnsiTheme="minorHAnsi" w:cstheme="minorHAnsi"/>
          <w:color w:val="auto"/>
          <w:sz w:val="22"/>
          <w:szCs w:val="22"/>
        </w:rPr>
      </w:pPr>
    </w:p>
    <w:p w:rsidR="003F518E" w:rsidRPr="004448B4" w:rsidRDefault="003F518E" w:rsidP="003F518E">
      <w:pPr>
        <w:pStyle w:val="Default"/>
        <w:jc w:val="both"/>
        <w:rPr>
          <w:rFonts w:asciiTheme="minorHAnsi" w:hAnsiTheme="minorHAnsi" w:cstheme="minorHAnsi"/>
          <w:color w:val="auto"/>
          <w:sz w:val="22"/>
          <w:szCs w:val="22"/>
        </w:rPr>
      </w:pPr>
      <w:r w:rsidRPr="004448B4">
        <w:rPr>
          <w:rFonts w:asciiTheme="minorHAnsi" w:hAnsiTheme="minorHAnsi" w:cstheme="minorHAnsi"/>
          <w:color w:val="auto"/>
          <w:sz w:val="22"/>
          <w:szCs w:val="22"/>
        </w:rPr>
        <w:t xml:space="preserve">While the explicit inclusion of state-owned enterprises in the definition of </w:t>
      </w:r>
      <w:r w:rsidRPr="004448B4">
        <w:rPr>
          <w:rFonts w:asciiTheme="minorHAnsi" w:hAnsiTheme="minorHAnsi" w:cstheme="minorHAnsi"/>
          <w:i/>
          <w:color w:val="auto"/>
          <w:sz w:val="22"/>
          <w:szCs w:val="22"/>
        </w:rPr>
        <w:t xml:space="preserve">business activities </w:t>
      </w:r>
      <w:r w:rsidRPr="004448B4">
        <w:rPr>
          <w:rFonts w:asciiTheme="minorHAnsi" w:hAnsiTheme="minorHAnsi" w:cstheme="minorHAnsi"/>
          <w:color w:val="auto"/>
          <w:sz w:val="22"/>
          <w:szCs w:val="22"/>
        </w:rPr>
        <w:t xml:space="preserve">is a positive development, we note that the reference to </w:t>
      </w:r>
      <w:r w:rsidRPr="004448B4">
        <w:rPr>
          <w:rFonts w:asciiTheme="minorHAnsi" w:hAnsiTheme="minorHAnsi" w:cstheme="minorHAnsi"/>
          <w:i/>
          <w:color w:val="auto"/>
          <w:sz w:val="22"/>
          <w:szCs w:val="22"/>
        </w:rPr>
        <w:t xml:space="preserve">for profit </w:t>
      </w:r>
      <w:r w:rsidRPr="004448B4">
        <w:rPr>
          <w:rFonts w:asciiTheme="minorHAnsi" w:hAnsiTheme="minorHAnsi" w:cstheme="minorHAnsi"/>
          <w:color w:val="auto"/>
          <w:sz w:val="22"/>
          <w:szCs w:val="22"/>
        </w:rPr>
        <w:t xml:space="preserve">economic activity effectively excludes the public </w:t>
      </w:r>
      <w:r>
        <w:rPr>
          <w:rFonts w:asciiTheme="minorHAnsi" w:hAnsiTheme="minorHAnsi" w:cstheme="minorHAnsi"/>
          <w:color w:val="auto"/>
          <w:sz w:val="22"/>
          <w:szCs w:val="22"/>
        </w:rPr>
        <w:t>authorities</w:t>
      </w:r>
      <w:r w:rsidRPr="004448B4">
        <w:rPr>
          <w:rFonts w:asciiTheme="minorHAnsi" w:hAnsiTheme="minorHAnsi" w:cstheme="minorHAnsi"/>
          <w:color w:val="auto"/>
          <w:sz w:val="22"/>
          <w:szCs w:val="22"/>
        </w:rPr>
        <w:t>, whic</w:t>
      </w:r>
      <w:r>
        <w:rPr>
          <w:rFonts w:asciiTheme="minorHAnsi" w:hAnsiTheme="minorHAnsi" w:cstheme="minorHAnsi"/>
          <w:color w:val="auto"/>
          <w:sz w:val="22"/>
          <w:szCs w:val="22"/>
        </w:rPr>
        <w:t>h procure</w:t>
      </w:r>
      <w:r w:rsidRPr="004448B4">
        <w:rPr>
          <w:rFonts w:asciiTheme="minorHAnsi" w:hAnsiTheme="minorHAnsi" w:cstheme="minorHAnsi"/>
          <w:color w:val="auto"/>
          <w:sz w:val="22"/>
          <w:szCs w:val="22"/>
        </w:rPr>
        <w:t xml:space="preserve"> roughly $11 trillion worth of goods and services annually. </w:t>
      </w:r>
    </w:p>
    <w:p w:rsidR="003F518E" w:rsidRPr="004448B4" w:rsidRDefault="003F518E" w:rsidP="003F518E">
      <w:pPr>
        <w:pStyle w:val="Default"/>
        <w:jc w:val="both"/>
        <w:rPr>
          <w:rFonts w:asciiTheme="minorHAnsi" w:hAnsiTheme="minorHAnsi" w:cstheme="minorHAnsi"/>
          <w:color w:val="auto"/>
          <w:sz w:val="22"/>
          <w:szCs w:val="22"/>
        </w:rPr>
      </w:pPr>
    </w:p>
    <w:p w:rsidR="003F518E" w:rsidRPr="004448B4" w:rsidRDefault="003F518E" w:rsidP="003F518E">
      <w:pPr>
        <w:pStyle w:val="Default"/>
        <w:jc w:val="both"/>
        <w:rPr>
          <w:rFonts w:asciiTheme="minorHAnsi" w:hAnsiTheme="minorHAnsi" w:cstheme="minorHAnsi"/>
          <w:bCs/>
          <w:iCs/>
          <w:color w:val="auto"/>
          <w:sz w:val="22"/>
          <w:szCs w:val="22"/>
        </w:rPr>
      </w:pPr>
      <w:r w:rsidRPr="004448B4">
        <w:rPr>
          <w:rFonts w:asciiTheme="minorHAnsi" w:hAnsiTheme="minorHAnsi" w:cstheme="minorHAnsi"/>
          <w:color w:val="auto"/>
          <w:sz w:val="22"/>
          <w:szCs w:val="22"/>
        </w:rPr>
        <w:t>We welcome the replacement of the term “contractual” with “business” to capture all relevant relationships as per the UN</w:t>
      </w:r>
      <w:r>
        <w:rPr>
          <w:rFonts w:asciiTheme="minorHAnsi" w:hAnsiTheme="minorHAnsi" w:cstheme="minorHAnsi"/>
          <w:color w:val="auto"/>
          <w:sz w:val="22"/>
          <w:szCs w:val="22"/>
        </w:rPr>
        <w:t>GPs</w:t>
      </w:r>
      <w:r w:rsidRPr="004448B4">
        <w:rPr>
          <w:rFonts w:asciiTheme="minorHAnsi" w:hAnsiTheme="minorHAnsi" w:cstheme="minorHAnsi"/>
          <w:color w:val="auto"/>
          <w:sz w:val="22"/>
          <w:szCs w:val="22"/>
        </w:rPr>
        <w:t xml:space="preserve"> in the definitions and throughout the whole text.</w:t>
      </w:r>
    </w:p>
    <w:p w:rsidR="003F518E" w:rsidRPr="004448B4" w:rsidRDefault="003F518E" w:rsidP="003F518E">
      <w:pPr>
        <w:pStyle w:val="Default"/>
        <w:jc w:val="both"/>
        <w:rPr>
          <w:rFonts w:asciiTheme="minorHAnsi" w:hAnsiTheme="minorHAnsi" w:cstheme="minorHAnsi"/>
          <w:bCs/>
          <w:iCs/>
          <w:color w:val="auto"/>
          <w:sz w:val="22"/>
          <w:szCs w:val="22"/>
        </w:rPr>
      </w:pPr>
    </w:p>
    <w:p w:rsidR="003F518E" w:rsidRDefault="003F518E" w:rsidP="003F518E">
      <w:pPr>
        <w:jc w:val="both"/>
        <w:rPr>
          <w:rFonts w:cstheme="minorHAnsi"/>
        </w:rPr>
      </w:pPr>
      <w:r w:rsidRPr="004448B4">
        <w:rPr>
          <w:rFonts w:cstheme="minorHAnsi"/>
          <w:b/>
          <w:bCs/>
          <w:i/>
          <w:iCs/>
        </w:rPr>
        <w:t xml:space="preserve">Article 2. Statement of purpose </w:t>
      </w:r>
      <w:r w:rsidRPr="004448B4">
        <w:rPr>
          <w:rFonts w:cstheme="minorHAnsi"/>
          <w:bCs/>
          <w:iCs/>
        </w:rPr>
        <w:t xml:space="preserve">has been amended but </w:t>
      </w:r>
      <w:r w:rsidRPr="004448B4">
        <w:rPr>
          <w:rFonts w:cstheme="minorHAnsi"/>
        </w:rPr>
        <w:t>reflects our broad expectations of the Legally Binding Instrument. However, we are disappointed that t</w:t>
      </w:r>
      <w:r>
        <w:rPr>
          <w:rFonts w:cstheme="minorHAnsi"/>
        </w:rPr>
        <w:t xml:space="preserve">he </w:t>
      </w:r>
      <w:r w:rsidRPr="004448B4">
        <w:rPr>
          <w:rFonts w:cstheme="minorHAnsi"/>
        </w:rPr>
        <w:t xml:space="preserve">reference to </w:t>
      </w:r>
      <w:r w:rsidRPr="004448B4">
        <w:rPr>
          <w:rFonts w:cstheme="minorHAnsi"/>
          <w:i/>
          <w:iCs/>
        </w:rPr>
        <w:t xml:space="preserve">fulfilment </w:t>
      </w:r>
      <w:r>
        <w:rPr>
          <w:rFonts w:cstheme="minorHAnsi"/>
        </w:rPr>
        <w:t xml:space="preserve">of human rights </w:t>
      </w:r>
      <w:r w:rsidRPr="004448B4">
        <w:rPr>
          <w:rFonts w:cstheme="minorHAnsi"/>
        </w:rPr>
        <w:t>has been dropped. Also, the statement of purpose should explicitly refer to the protection of environmental rights or at least the human rights that necessarily entail environmental aspects. Finally, we welcome the recognition of facilitating and strengthening mutual legal assistance as a key purpose of t</w:t>
      </w:r>
      <w:r>
        <w:rPr>
          <w:rFonts w:cstheme="minorHAnsi"/>
        </w:rPr>
        <w:t>he Legally Binding Instrument.</w:t>
      </w:r>
    </w:p>
    <w:p w:rsidR="003F518E" w:rsidRPr="00343C25" w:rsidRDefault="003F518E" w:rsidP="003F518E">
      <w:pPr>
        <w:jc w:val="both"/>
        <w:rPr>
          <w:rFonts w:cstheme="minorHAnsi"/>
        </w:rPr>
      </w:pPr>
      <w:r>
        <w:rPr>
          <w:rFonts w:cstheme="minorHAnsi"/>
        </w:rPr>
        <w:t>Thank you.</w:t>
      </w:r>
    </w:p>
    <w:p w:rsidR="00996318" w:rsidRDefault="003F518E">
      <w:bookmarkStart w:id="0" w:name="_GoBack"/>
      <w:bookmarkEnd w:id="0"/>
    </w:p>
    <w:sectPr w:rsidR="00996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D52CF"/>
    <w:multiLevelType w:val="hybridMultilevel"/>
    <w:tmpl w:val="133E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8E"/>
    <w:rsid w:val="00396DA8"/>
    <w:rsid w:val="003F518E"/>
    <w:rsid w:val="00685E1D"/>
    <w:rsid w:val="008730CD"/>
    <w:rsid w:val="009062AE"/>
    <w:rsid w:val="00A81442"/>
    <w:rsid w:val="00CA5E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C44CD-DBA3-460F-870B-783B742C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5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40B0F-0CA4-4CD7-8FCD-34BB75F2317B}"/>
</file>

<file path=customXml/itemProps2.xml><?xml version="1.0" encoding="utf-8"?>
<ds:datastoreItem xmlns:ds="http://schemas.openxmlformats.org/officeDocument/2006/customXml" ds:itemID="{7C9E4CAB-5FB8-48A1-BAEB-12B7A2FA00FC}"/>
</file>

<file path=customXml/itemProps3.xml><?xml version="1.0" encoding="utf-8"?>
<ds:datastoreItem xmlns:ds="http://schemas.openxmlformats.org/officeDocument/2006/customXml" ds:itemID="{360BF8EC-FC13-481B-92F3-75DA8D8D055A}"/>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OCIT Cloud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Ruwan Subasinghe</dc:creator>
  <cp:keywords/>
  <dc:description/>
  <cp:lastModifiedBy>Ruwan Subasinghe</cp:lastModifiedBy>
  <cp:revision>1</cp:revision>
  <dcterms:created xsi:type="dcterms:W3CDTF">2020-10-23T21:52:00Z</dcterms:created>
  <dcterms:modified xsi:type="dcterms:W3CDTF">2020-10-23T21:53:00Z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