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2" w:rsidRPr="0046706A" w:rsidRDefault="00401FC2" w:rsidP="00056711">
      <w:pPr>
        <w:jc w:val="center"/>
        <w:rPr>
          <w:b/>
          <w:sz w:val="24"/>
          <w:szCs w:val="24"/>
        </w:rPr>
      </w:pPr>
      <w:bookmarkStart w:id="0" w:name="_GoBack"/>
      <w:bookmarkEnd w:id="0"/>
      <w:r w:rsidRPr="0046706A">
        <w:rPr>
          <w:b/>
          <w:sz w:val="24"/>
          <w:szCs w:val="24"/>
        </w:rPr>
        <w:t xml:space="preserve">Biographical data form of candidate to </w:t>
      </w:r>
      <w:r w:rsidR="00D91BB1" w:rsidRPr="0046706A">
        <w:rPr>
          <w:b/>
          <w:sz w:val="24"/>
          <w:szCs w:val="24"/>
        </w:rPr>
        <w:t>the Subcommittee on Prevention of Torture (SPT)</w:t>
      </w:r>
    </w:p>
    <w:p w:rsidR="003256BC" w:rsidRPr="00056711" w:rsidRDefault="003256BC" w:rsidP="00056711">
      <w:pPr>
        <w:rPr>
          <w:rFonts w:ascii="Garamond" w:hAnsi="Garamond"/>
          <w:sz w:val="2"/>
          <w:szCs w:val="24"/>
        </w:rPr>
      </w:pPr>
    </w:p>
    <w:p w:rsidR="00401FC2" w:rsidRPr="0046706A" w:rsidRDefault="00401FC2" w:rsidP="00056711">
      <w:pPr>
        <w:rPr>
          <w:rFonts w:ascii="Garamond" w:hAnsi="Garamond"/>
          <w:sz w:val="24"/>
          <w:szCs w:val="24"/>
        </w:rPr>
      </w:pPr>
      <w:r w:rsidRPr="0046706A">
        <w:rPr>
          <w:b/>
          <w:sz w:val="24"/>
          <w:szCs w:val="24"/>
        </w:rPr>
        <w:t>Name and first name</w:t>
      </w:r>
      <w:r w:rsidRPr="0046706A">
        <w:rPr>
          <w:rFonts w:ascii="Garamond" w:hAnsi="Garamond"/>
          <w:sz w:val="24"/>
          <w:szCs w:val="24"/>
        </w:rPr>
        <w:t>:</w:t>
      </w:r>
      <w:r w:rsidR="00A33AE2" w:rsidRPr="0046706A">
        <w:rPr>
          <w:rFonts w:ascii="Garamond" w:hAnsi="Garamond"/>
          <w:sz w:val="24"/>
          <w:szCs w:val="24"/>
        </w:rPr>
        <w:t xml:space="preserve"> </w:t>
      </w:r>
      <w:proofErr w:type="spellStart"/>
      <w:r w:rsidR="00A33AE2" w:rsidRPr="0046706A">
        <w:rPr>
          <w:sz w:val="24"/>
          <w:szCs w:val="24"/>
        </w:rPr>
        <w:t>Yurii</w:t>
      </w:r>
      <w:proofErr w:type="spellEnd"/>
      <w:r w:rsidR="00A33AE2" w:rsidRPr="0046706A">
        <w:rPr>
          <w:sz w:val="24"/>
          <w:szCs w:val="24"/>
        </w:rPr>
        <w:t xml:space="preserve"> </w:t>
      </w:r>
      <w:proofErr w:type="spellStart"/>
      <w:r w:rsidR="00A33AE2" w:rsidRPr="0046706A">
        <w:rPr>
          <w:sz w:val="24"/>
          <w:szCs w:val="24"/>
        </w:rPr>
        <w:t>Bielousov</w:t>
      </w:r>
      <w:proofErr w:type="spellEnd"/>
    </w:p>
    <w:p w:rsidR="00401FC2" w:rsidRPr="0046706A" w:rsidRDefault="00401FC2" w:rsidP="00056711">
      <w:pPr>
        <w:rPr>
          <w:rFonts w:ascii="Garamond" w:hAnsi="Garamond"/>
          <w:sz w:val="24"/>
          <w:szCs w:val="24"/>
        </w:rPr>
      </w:pPr>
      <w:r w:rsidRPr="0046706A">
        <w:rPr>
          <w:b/>
          <w:sz w:val="24"/>
          <w:szCs w:val="24"/>
        </w:rPr>
        <w:t>Date and place of birth</w:t>
      </w:r>
      <w:r w:rsidRPr="0046706A">
        <w:rPr>
          <w:rFonts w:ascii="Garamond" w:hAnsi="Garamond"/>
          <w:sz w:val="24"/>
          <w:szCs w:val="24"/>
        </w:rPr>
        <w:t>:</w:t>
      </w:r>
      <w:r w:rsidR="00A33AE2" w:rsidRPr="0046706A">
        <w:rPr>
          <w:rFonts w:ascii="Garamond" w:hAnsi="Garamond"/>
          <w:sz w:val="24"/>
          <w:szCs w:val="24"/>
        </w:rPr>
        <w:t xml:space="preserve"> </w:t>
      </w:r>
      <w:r w:rsidR="00A33AE2" w:rsidRPr="0046706A">
        <w:rPr>
          <w:sz w:val="24"/>
          <w:szCs w:val="24"/>
        </w:rPr>
        <w:t>December 31, 1976</w:t>
      </w:r>
    </w:p>
    <w:p w:rsidR="00401FC2" w:rsidRPr="0046706A" w:rsidRDefault="00401FC2" w:rsidP="00056711">
      <w:pPr>
        <w:rPr>
          <w:rFonts w:ascii="Garamond" w:hAnsi="Garamond"/>
          <w:sz w:val="24"/>
          <w:szCs w:val="24"/>
        </w:rPr>
      </w:pPr>
      <w:r w:rsidRPr="0046706A">
        <w:rPr>
          <w:b/>
          <w:sz w:val="24"/>
          <w:szCs w:val="24"/>
        </w:rPr>
        <w:t>Working languages</w:t>
      </w:r>
      <w:r w:rsidRPr="0046706A">
        <w:rPr>
          <w:rFonts w:ascii="Garamond" w:hAnsi="Garamond"/>
          <w:sz w:val="24"/>
          <w:szCs w:val="24"/>
        </w:rPr>
        <w:t>:</w:t>
      </w:r>
      <w:r w:rsidR="00A33AE2" w:rsidRPr="0046706A">
        <w:rPr>
          <w:rFonts w:ascii="Garamond" w:hAnsi="Garamond"/>
          <w:sz w:val="24"/>
          <w:szCs w:val="24"/>
        </w:rPr>
        <w:t xml:space="preserve"> </w:t>
      </w:r>
      <w:r w:rsidR="00A33AE2" w:rsidRPr="0046706A">
        <w:rPr>
          <w:sz w:val="24"/>
          <w:szCs w:val="24"/>
        </w:rPr>
        <w:t>English, Russian, Ukrainian</w:t>
      </w:r>
    </w:p>
    <w:p w:rsidR="00FD2C0E" w:rsidRPr="00056711" w:rsidRDefault="00FD2C0E" w:rsidP="00056711">
      <w:pPr>
        <w:overflowPunct/>
        <w:autoSpaceDE/>
        <w:autoSpaceDN/>
        <w:adjustRightInd/>
        <w:jc w:val="both"/>
        <w:textAlignment w:val="auto"/>
        <w:rPr>
          <w:b/>
          <w:sz w:val="10"/>
          <w:szCs w:val="24"/>
        </w:rPr>
      </w:pPr>
    </w:p>
    <w:p w:rsidR="00BD3D7D" w:rsidRPr="0046706A" w:rsidRDefault="00FD4F18" w:rsidP="00056711">
      <w:pPr>
        <w:overflowPunct/>
        <w:autoSpaceDE/>
        <w:autoSpaceDN/>
        <w:adjustRightInd/>
        <w:jc w:val="both"/>
        <w:textAlignment w:val="auto"/>
        <w:rPr>
          <w:sz w:val="24"/>
          <w:szCs w:val="24"/>
        </w:rPr>
      </w:pPr>
      <w:r w:rsidRPr="0046706A">
        <w:rPr>
          <w:b/>
          <w:sz w:val="24"/>
          <w:szCs w:val="24"/>
        </w:rPr>
        <w:t>Professional background</w:t>
      </w:r>
      <w:r w:rsidR="00A33AE2" w:rsidRPr="0046706A">
        <w:rPr>
          <w:sz w:val="24"/>
          <w:szCs w:val="24"/>
        </w:rPr>
        <w:t xml:space="preserve">: </w:t>
      </w:r>
    </w:p>
    <w:p w:rsidR="00BD3D7D" w:rsidRPr="0046706A" w:rsidRDefault="00C6532B" w:rsidP="00056711">
      <w:pPr>
        <w:overflowPunct/>
        <w:autoSpaceDE/>
        <w:autoSpaceDN/>
        <w:adjustRightInd/>
        <w:ind w:firstLine="567"/>
        <w:jc w:val="both"/>
        <w:textAlignment w:val="auto"/>
        <w:rPr>
          <w:bCs/>
          <w:sz w:val="24"/>
          <w:szCs w:val="24"/>
        </w:rPr>
      </w:pPr>
      <w:r>
        <w:rPr>
          <w:bCs/>
          <w:sz w:val="24"/>
          <w:szCs w:val="24"/>
        </w:rPr>
        <w:t xml:space="preserve">Have </w:t>
      </w:r>
      <w:r w:rsidR="00BD3D7D" w:rsidRPr="0046706A">
        <w:rPr>
          <w:bCs/>
          <w:sz w:val="24"/>
          <w:szCs w:val="24"/>
        </w:rPr>
        <w:t>mo</w:t>
      </w:r>
      <w:r>
        <w:rPr>
          <w:bCs/>
          <w:sz w:val="24"/>
          <w:szCs w:val="24"/>
        </w:rPr>
        <w:t>re than 15 years</w:t>
      </w:r>
      <w:r>
        <w:rPr>
          <w:bCs/>
          <w:sz w:val="24"/>
          <w:szCs w:val="24"/>
          <w:lang w:val="uk-UA"/>
        </w:rPr>
        <w:t xml:space="preserve"> of</w:t>
      </w:r>
      <w:r w:rsidR="00BD3D7D" w:rsidRPr="0046706A">
        <w:rPr>
          <w:bCs/>
          <w:sz w:val="24"/>
          <w:szCs w:val="24"/>
        </w:rPr>
        <w:t xml:space="preserve"> experience in monitoring human rights</w:t>
      </w:r>
      <w:r w:rsidR="00926934">
        <w:rPr>
          <w:bCs/>
          <w:sz w:val="24"/>
          <w:szCs w:val="24"/>
        </w:rPr>
        <w:t xml:space="preserve"> (HR)</w:t>
      </w:r>
      <w:r w:rsidR="00BD3D7D" w:rsidRPr="0046706A">
        <w:rPr>
          <w:bCs/>
          <w:sz w:val="24"/>
          <w:szCs w:val="24"/>
        </w:rPr>
        <w:t xml:space="preserve"> observance by law-enforcement</w:t>
      </w:r>
      <w:r w:rsidR="00926934">
        <w:rPr>
          <w:bCs/>
          <w:sz w:val="24"/>
          <w:szCs w:val="24"/>
        </w:rPr>
        <w:t xml:space="preserve"> agencies</w:t>
      </w:r>
      <w:r w:rsidR="00BD3D7D" w:rsidRPr="0046706A">
        <w:rPr>
          <w:bCs/>
          <w:sz w:val="24"/>
          <w:szCs w:val="24"/>
        </w:rPr>
        <w:t>. In 2004 participated in introducing in Ukraine a prototype of NPM</w:t>
      </w:r>
      <w:r w:rsidR="00926934">
        <w:rPr>
          <w:bCs/>
          <w:sz w:val="24"/>
          <w:szCs w:val="24"/>
        </w:rPr>
        <w:t xml:space="preserve"> which were </w:t>
      </w:r>
      <w:r w:rsidR="00BD3D7D" w:rsidRPr="0046706A">
        <w:rPr>
          <w:bCs/>
          <w:sz w:val="24"/>
          <w:szCs w:val="24"/>
        </w:rPr>
        <w:t xml:space="preserve">mobile groups on monitoring </w:t>
      </w:r>
      <w:r w:rsidR="00926934">
        <w:rPr>
          <w:bCs/>
          <w:sz w:val="24"/>
          <w:szCs w:val="24"/>
        </w:rPr>
        <w:t>HR observance within</w:t>
      </w:r>
      <w:r w:rsidR="00BD3D7D" w:rsidRPr="0046706A">
        <w:rPr>
          <w:bCs/>
          <w:sz w:val="24"/>
          <w:szCs w:val="24"/>
        </w:rPr>
        <w:t xml:space="preserve"> police. </w:t>
      </w:r>
    </w:p>
    <w:p w:rsidR="00BD3D7D" w:rsidRPr="0046706A" w:rsidRDefault="00BD3D7D" w:rsidP="00056711">
      <w:pPr>
        <w:overflowPunct/>
        <w:autoSpaceDE/>
        <w:autoSpaceDN/>
        <w:adjustRightInd/>
        <w:ind w:firstLine="567"/>
        <w:jc w:val="both"/>
        <w:textAlignment w:val="auto"/>
        <w:rPr>
          <w:bCs/>
          <w:sz w:val="24"/>
          <w:szCs w:val="24"/>
        </w:rPr>
      </w:pPr>
      <w:r w:rsidRPr="0046706A">
        <w:rPr>
          <w:bCs/>
          <w:sz w:val="24"/>
          <w:szCs w:val="24"/>
        </w:rPr>
        <w:t>Since 2008 until 2010 have worked as the Deputy Head of the HR Monitoring Department of the Ministry of Interior</w:t>
      </w:r>
      <w:r w:rsidR="00BC6C68">
        <w:rPr>
          <w:bCs/>
          <w:sz w:val="24"/>
          <w:szCs w:val="24"/>
        </w:rPr>
        <w:t xml:space="preserve">. </w:t>
      </w:r>
      <w:r w:rsidRPr="0046706A">
        <w:rPr>
          <w:bCs/>
          <w:sz w:val="24"/>
          <w:szCs w:val="24"/>
        </w:rPr>
        <w:t xml:space="preserve">During this </w:t>
      </w:r>
      <w:proofErr w:type="gramStart"/>
      <w:r w:rsidRPr="0046706A">
        <w:rPr>
          <w:bCs/>
          <w:sz w:val="24"/>
          <w:szCs w:val="24"/>
        </w:rPr>
        <w:t>period</w:t>
      </w:r>
      <w:proofErr w:type="gramEnd"/>
      <w:r w:rsidRPr="0046706A">
        <w:rPr>
          <w:bCs/>
          <w:sz w:val="24"/>
          <w:szCs w:val="24"/>
        </w:rPr>
        <w:t xml:space="preserve"> the Department together with NGOs have conducted more than 1000 monitoring visits to police stations all-across the Ukraine.</w:t>
      </w:r>
    </w:p>
    <w:p w:rsidR="00BD3D7D" w:rsidRPr="0046706A" w:rsidRDefault="00BD3D7D" w:rsidP="00056711">
      <w:pPr>
        <w:overflowPunct/>
        <w:autoSpaceDE/>
        <w:autoSpaceDN/>
        <w:adjustRightInd/>
        <w:ind w:firstLine="567"/>
        <w:jc w:val="both"/>
        <w:textAlignment w:val="auto"/>
        <w:rPr>
          <w:bCs/>
          <w:sz w:val="24"/>
          <w:szCs w:val="24"/>
        </w:rPr>
      </w:pPr>
      <w:r w:rsidRPr="0046706A">
        <w:rPr>
          <w:bCs/>
          <w:sz w:val="24"/>
          <w:szCs w:val="24"/>
        </w:rPr>
        <w:t>Since 2012 till 2016 have worked as the Head of NPM Department at the Ukrainian Ombudsman office, establishing the NPM from the very beginning (hiring and training the staff, developing public network</w:t>
      </w:r>
      <w:r w:rsidR="00926934">
        <w:rPr>
          <w:bCs/>
          <w:sz w:val="24"/>
          <w:szCs w:val="24"/>
        </w:rPr>
        <w:t xml:space="preserve"> of </w:t>
      </w:r>
      <w:r w:rsidR="00926934" w:rsidRPr="0046706A">
        <w:rPr>
          <w:bCs/>
          <w:sz w:val="24"/>
          <w:szCs w:val="24"/>
        </w:rPr>
        <w:t>monitors</w:t>
      </w:r>
      <w:r w:rsidRPr="0046706A">
        <w:rPr>
          <w:bCs/>
          <w:sz w:val="24"/>
          <w:szCs w:val="24"/>
        </w:rPr>
        <w:t>, establishing cooperation with other state institutions, etc.). For this period, the Depart</w:t>
      </w:r>
      <w:r w:rsidR="00926934">
        <w:rPr>
          <w:bCs/>
          <w:sz w:val="24"/>
          <w:szCs w:val="24"/>
        </w:rPr>
        <w:t>ment has</w:t>
      </w:r>
      <w:r w:rsidRPr="0046706A">
        <w:rPr>
          <w:bCs/>
          <w:sz w:val="24"/>
          <w:szCs w:val="24"/>
        </w:rPr>
        <w:t xml:space="preserve"> conducted more than 1100 visits to places of detention, published 3 Annual reports and 3 Special reports of the NPM</w:t>
      </w:r>
      <w:r w:rsidR="00BC6C68">
        <w:rPr>
          <w:bCs/>
          <w:sz w:val="24"/>
          <w:szCs w:val="24"/>
        </w:rPr>
        <w:t>.</w:t>
      </w:r>
    </w:p>
    <w:p w:rsidR="00FD2C0E" w:rsidRPr="00056711" w:rsidRDefault="00FD2C0E" w:rsidP="00056711">
      <w:pPr>
        <w:jc w:val="both"/>
        <w:rPr>
          <w:b/>
          <w:sz w:val="10"/>
          <w:szCs w:val="24"/>
        </w:rPr>
      </w:pPr>
    </w:p>
    <w:p w:rsidR="00A33AE2" w:rsidRPr="0046706A" w:rsidRDefault="00401FC2" w:rsidP="00056711">
      <w:pPr>
        <w:jc w:val="both"/>
        <w:rPr>
          <w:b/>
          <w:sz w:val="24"/>
          <w:szCs w:val="24"/>
        </w:rPr>
      </w:pPr>
      <w:r w:rsidRPr="0046706A">
        <w:rPr>
          <w:b/>
          <w:sz w:val="24"/>
          <w:szCs w:val="24"/>
        </w:rPr>
        <w:t>Current position/function</w:t>
      </w:r>
      <w:r w:rsidRPr="0046706A">
        <w:rPr>
          <w:sz w:val="24"/>
          <w:szCs w:val="24"/>
        </w:rPr>
        <w:t>:</w:t>
      </w:r>
      <w:r w:rsidR="00A33AE2" w:rsidRPr="0046706A">
        <w:rPr>
          <w:sz w:val="24"/>
          <w:szCs w:val="24"/>
        </w:rPr>
        <w:t xml:space="preserve"> Executive Director of the NGO “Expert Center for Human Rights”,</w:t>
      </w:r>
      <w:r w:rsidR="00A33AE2" w:rsidRPr="0046706A">
        <w:rPr>
          <w:b/>
          <w:sz w:val="24"/>
          <w:szCs w:val="24"/>
        </w:rPr>
        <w:t xml:space="preserve"> </w:t>
      </w:r>
      <w:hyperlink r:id="rId11" w:history="1">
        <w:r w:rsidR="00A33AE2" w:rsidRPr="0046706A">
          <w:rPr>
            <w:rStyle w:val="Hyperlink"/>
            <w:b/>
            <w:sz w:val="24"/>
            <w:szCs w:val="24"/>
          </w:rPr>
          <w:t>www.ecpl.com.ua</w:t>
        </w:r>
      </w:hyperlink>
    </w:p>
    <w:p w:rsidR="00FD2C0E" w:rsidRPr="00056711" w:rsidRDefault="00FD2C0E" w:rsidP="00056711">
      <w:pPr>
        <w:rPr>
          <w:b/>
          <w:sz w:val="10"/>
          <w:szCs w:val="24"/>
        </w:rPr>
      </w:pPr>
    </w:p>
    <w:p w:rsidR="00D91BB1" w:rsidRPr="0046706A" w:rsidRDefault="00D91BB1" w:rsidP="00056711">
      <w:pPr>
        <w:rPr>
          <w:rFonts w:ascii="Garamond" w:hAnsi="Garamond"/>
          <w:sz w:val="24"/>
          <w:szCs w:val="24"/>
        </w:rPr>
      </w:pPr>
      <w:r w:rsidRPr="0046706A">
        <w:rPr>
          <w:b/>
          <w:sz w:val="24"/>
          <w:szCs w:val="24"/>
        </w:rPr>
        <w:t>Educational background</w:t>
      </w:r>
      <w:r w:rsidRPr="0046706A">
        <w:rPr>
          <w:sz w:val="24"/>
          <w:szCs w:val="24"/>
        </w:rPr>
        <w:t>:</w:t>
      </w:r>
    </w:p>
    <w:p w:rsidR="00D67E6A" w:rsidRPr="0046706A" w:rsidRDefault="00D67E6A" w:rsidP="00056711">
      <w:pPr>
        <w:numPr>
          <w:ilvl w:val="0"/>
          <w:numId w:val="6"/>
        </w:numPr>
        <w:tabs>
          <w:tab w:val="left" w:pos="284"/>
        </w:tabs>
        <w:overflowPunct/>
        <w:autoSpaceDE/>
        <w:autoSpaceDN/>
        <w:adjustRightInd/>
        <w:ind w:left="0" w:firstLine="0"/>
        <w:jc w:val="both"/>
        <w:textAlignment w:val="auto"/>
        <w:rPr>
          <w:sz w:val="24"/>
          <w:szCs w:val="24"/>
        </w:rPr>
      </w:pPr>
      <w:r w:rsidRPr="0046706A">
        <w:rPr>
          <w:sz w:val="24"/>
          <w:szCs w:val="24"/>
        </w:rPr>
        <w:t>Master degrees in Sociology and Law (1999, 2000), PHD in Sociology (2003);</w:t>
      </w:r>
    </w:p>
    <w:p w:rsidR="00D67E6A" w:rsidRPr="0046706A" w:rsidRDefault="00D67E6A" w:rsidP="00056711">
      <w:pPr>
        <w:numPr>
          <w:ilvl w:val="0"/>
          <w:numId w:val="6"/>
        </w:numPr>
        <w:shd w:val="clear" w:color="auto" w:fill="FFFFFF"/>
        <w:tabs>
          <w:tab w:val="left" w:pos="284"/>
        </w:tabs>
        <w:ind w:left="0" w:firstLine="0"/>
        <w:jc w:val="both"/>
        <w:rPr>
          <w:b/>
          <w:bCs/>
          <w:sz w:val="24"/>
          <w:szCs w:val="24"/>
        </w:rPr>
      </w:pPr>
      <w:r w:rsidRPr="0046706A">
        <w:rPr>
          <w:sz w:val="24"/>
          <w:szCs w:val="24"/>
        </w:rPr>
        <w:t xml:space="preserve">Trainings in </w:t>
      </w:r>
      <w:r w:rsidR="00926934">
        <w:rPr>
          <w:sz w:val="24"/>
          <w:szCs w:val="24"/>
        </w:rPr>
        <w:t xml:space="preserve">a sphere of HR </w:t>
      </w:r>
      <w:r w:rsidRPr="0046706A">
        <w:rPr>
          <w:sz w:val="24"/>
          <w:szCs w:val="24"/>
        </w:rPr>
        <w:t xml:space="preserve">and law-enforcement: </w:t>
      </w:r>
      <w:r w:rsidRPr="0046706A">
        <w:rPr>
          <w:i/>
          <w:sz w:val="24"/>
          <w:szCs w:val="24"/>
        </w:rPr>
        <w:t>Investigating cases of torture: best practices</w:t>
      </w:r>
      <w:r w:rsidRPr="0046706A">
        <w:rPr>
          <w:sz w:val="24"/>
          <w:szCs w:val="24"/>
        </w:rPr>
        <w:t xml:space="preserve"> (</w:t>
      </w:r>
      <w:proofErr w:type="spellStart"/>
      <w:r w:rsidRPr="0046706A">
        <w:rPr>
          <w:sz w:val="24"/>
          <w:szCs w:val="24"/>
        </w:rPr>
        <w:t>CoE</w:t>
      </w:r>
      <w:proofErr w:type="spellEnd"/>
      <w:r w:rsidRPr="0046706A">
        <w:rPr>
          <w:sz w:val="24"/>
          <w:szCs w:val="24"/>
        </w:rPr>
        <w:t xml:space="preserve">, 2010); </w:t>
      </w:r>
      <w:r w:rsidRPr="0046706A">
        <w:rPr>
          <w:bCs/>
          <w:i/>
          <w:sz w:val="24"/>
          <w:szCs w:val="24"/>
        </w:rPr>
        <w:t xml:space="preserve">2nd Jean-Jacques Gautier NPM Symposium on Lesbian, Gay, Bisexual, Transgender and Intersex (LGBTI) deprived of liberty </w:t>
      </w:r>
      <w:r w:rsidRPr="0046706A">
        <w:rPr>
          <w:bCs/>
          <w:sz w:val="24"/>
          <w:szCs w:val="24"/>
        </w:rPr>
        <w:t>(APT, 2015)</w:t>
      </w:r>
      <w:r w:rsidR="00FD2C0E">
        <w:rPr>
          <w:bCs/>
          <w:i/>
          <w:sz w:val="24"/>
          <w:szCs w:val="24"/>
        </w:rPr>
        <w:t>; Workshop for NPMs “</w:t>
      </w:r>
      <w:r w:rsidRPr="0046706A">
        <w:rPr>
          <w:bCs/>
          <w:i/>
          <w:sz w:val="24"/>
          <w:szCs w:val="24"/>
        </w:rPr>
        <w:t xml:space="preserve">Implementing a preventive mandate” </w:t>
      </w:r>
      <w:r w:rsidRPr="0046706A">
        <w:rPr>
          <w:bCs/>
          <w:sz w:val="24"/>
          <w:szCs w:val="24"/>
        </w:rPr>
        <w:t>(APT, IOI, 2015), etc</w:t>
      </w:r>
      <w:r w:rsidRPr="0046706A">
        <w:rPr>
          <w:bCs/>
          <w:i/>
          <w:sz w:val="24"/>
          <w:szCs w:val="24"/>
        </w:rPr>
        <w:t>.</w:t>
      </w:r>
    </w:p>
    <w:p w:rsidR="00FD2C0E" w:rsidRPr="00056711" w:rsidRDefault="00FD2C0E" w:rsidP="00056711">
      <w:pPr>
        <w:rPr>
          <w:b/>
          <w:sz w:val="10"/>
          <w:szCs w:val="24"/>
        </w:rPr>
      </w:pPr>
    </w:p>
    <w:p w:rsidR="00401FC2" w:rsidRPr="0046706A" w:rsidRDefault="00401FC2" w:rsidP="00056711">
      <w:pPr>
        <w:rPr>
          <w:b/>
          <w:sz w:val="24"/>
          <w:szCs w:val="24"/>
        </w:rPr>
      </w:pPr>
      <w:r w:rsidRPr="0046706A">
        <w:rPr>
          <w:b/>
          <w:sz w:val="24"/>
          <w:szCs w:val="24"/>
        </w:rPr>
        <w:t>Main professional activities:</w:t>
      </w:r>
    </w:p>
    <w:p w:rsidR="00401FC2" w:rsidRPr="0046706A" w:rsidRDefault="00D217FE" w:rsidP="00056711">
      <w:pPr>
        <w:ind w:firstLine="567"/>
        <w:jc w:val="both"/>
        <w:rPr>
          <w:rFonts w:ascii="Garamond" w:hAnsi="Garamond"/>
          <w:sz w:val="24"/>
          <w:szCs w:val="24"/>
        </w:rPr>
      </w:pPr>
      <w:r w:rsidRPr="0046706A">
        <w:rPr>
          <w:sz w:val="24"/>
          <w:szCs w:val="24"/>
        </w:rPr>
        <w:t>Have a good research and training background. Regularly support Ukrainian NPM by conducting trainings for public monitors, drafting manuals and imp</w:t>
      </w:r>
      <w:r w:rsidR="00926934">
        <w:rPr>
          <w:sz w:val="24"/>
          <w:szCs w:val="24"/>
        </w:rPr>
        <w:t>roving monitoring tools</w:t>
      </w:r>
      <w:r w:rsidR="00056711">
        <w:rPr>
          <w:sz w:val="24"/>
          <w:szCs w:val="24"/>
        </w:rPr>
        <w:t xml:space="preserve"> as well as </w:t>
      </w:r>
      <w:r w:rsidR="00926934">
        <w:rPr>
          <w:sz w:val="24"/>
          <w:szCs w:val="24"/>
        </w:rPr>
        <w:t>carry out</w:t>
      </w:r>
      <w:r w:rsidRPr="0046706A">
        <w:rPr>
          <w:sz w:val="24"/>
          <w:szCs w:val="24"/>
        </w:rPr>
        <w:t xml:space="preserve"> studies on actual problems </w:t>
      </w:r>
      <w:r w:rsidR="0046706A" w:rsidRPr="0046706A">
        <w:rPr>
          <w:sz w:val="24"/>
          <w:szCs w:val="24"/>
        </w:rPr>
        <w:t xml:space="preserve">related to </w:t>
      </w:r>
      <w:r w:rsidR="00926934">
        <w:rPr>
          <w:sz w:val="24"/>
          <w:szCs w:val="24"/>
        </w:rPr>
        <w:t xml:space="preserve">HR </w:t>
      </w:r>
      <w:r w:rsidRPr="0046706A">
        <w:rPr>
          <w:sz w:val="24"/>
          <w:szCs w:val="24"/>
        </w:rPr>
        <w:t xml:space="preserve">in criminal justice sector, including ill-treatment practices (see publications below). </w:t>
      </w:r>
      <w:r w:rsidR="0046706A" w:rsidRPr="0046706A">
        <w:rPr>
          <w:sz w:val="24"/>
          <w:szCs w:val="24"/>
        </w:rPr>
        <w:t>Participate in working groups on reform</w:t>
      </w:r>
      <w:r w:rsidR="00926934">
        <w:rPr>
          <w:sz w:val="24"/>
          <w:szCs w:val="24"/>
        </w:rPr>
        <w:t>ations</w:t>
      </w:r>
      <w:r w:rsidR="0046706A" w:rsidRPr="0046706A">
        <w:rPr>
          <w:sz w:val="24"/>
          <w:szCs w:val="24"/>
        </w:rPr>
        <w:t xml:space="preserve"> </w:t>
      </w:r>
      <w:r w:rsidR="00926934">
        <w:rPr>
          <w:sz w:val="24"/>
          <w:szCs w:val="24"/>
        </w:rPr>
        <w:t>within the National Police, P</w:t>
      </w:r>
      <w:r w:rsidR="0046706A" w:rsidRPr="0046706A">
        <w:rPr>
          <w:sz w:val="24"/>
          <w:szCs w:val="24"/>
        </w:rPr>
        <w:t>rosecutor</w:t>
      </w:r>
      <w:r w:rsidR="00926934">
        <w:rPr>
          <w:sz w:val="24"/>
          <w:szCs w:val="24"/>
        </w:rPr>
        <w:t xml:space="preserve"> General`s O</w:t>
      </w:r>
      <w:r w:rsidR="00056711">
        <w:rPr>
          <w:sz w:val="24"/>
          <w:szCs w:val="24"/>
        </w:rPr>
        <w:t xml:space="preserve">ffice, Ministries of Justice and </w:t>
      </w:r>
      <w:r w:rsidR="0046706A" w:rsidRPr="0046706A">
        <w:rPr>
          <w:sz w:val="24"/>
          <w:szCs w:val="24"/>
        </w:rPr>
        <w:t>Health.</w:t>
      </w:r>
    </w:p>
    <w:p w:rsidR="00FD2C0E" w:rsidRPr="00056711" w:rsidRDefault="00FD2C0E" w:rsidP="00056711">
      <w:pPr>
        <w:jc w:val="both"/>
        <w:rPr>
          <w:b/>
          <w:sz w:val="10"/>
          <w:szCs w:val="24"/>
        </w:rPr>
      </w:pPr>
    </w:p>
    <w:p w:rsidR="00401FC2" w:rsidRPr="0046706A" w:rsidRDefault="00401FC2" w:rsidP="00056711">
      <w:pPr>
        <w:jc w:val="both"/>
        <w:rPr>
          <w:b/>
          <w:sz w:val="24"/>
          <w:szCs w:val="24"/>
        </w:rPr>
      </w:pPr>
      <w:r w:rsidRPr="0046706A">
        <w:rPr>
          <w:b/>
          <w:sz w:val="24"/>
          <w:szCs w:val="24"/>
        </w:rPr>
        <w:t xml:space="preserve">Other main activities in the field relevant to the mandate of </w:t>
      </w:r>
      <w:r w:rsidR="00D91BB1" w:rsidRPr="0046706A">
        <w:rPr>
          <w:b/>
          <w:sz w:val="24"/>
          <w:szCs w:val="24"/>
        </w:rPr>
        <w:t>the Subcommittee on Prevention of Torture</w:t>
      </w:r>
      <w:r w:rsidRPr="0046706A">
        <w:rPr>
          <w:b/>
          <w:sz w:val="24"/>
          <w:szCs w:val="24"/>
        </w:rPr>
        <w:t>:</w:t>
      </w:r>
    </w:p>
    <w:p w:rsidR="00D217FE" w:rsidRPr="0046706A" w:rsidRDefault="00FD2C0E" w:rsidP="00056711">
      <w:pPr>
        <w:ind w:firstLine="567"/>
        <w:jc w:val="both"/>
        <w:rPr>
          <w:sz w:val="24"/>
          <w:szCs w:val="24"/>
        </w:rPr>
      </w:pPr>
      <w:r>
        <w:rPr>
          <w:sz w:val="24"/>
          <w:szCs w:val="24"/>
        </w:rPr>
        <w:t>Permanently p</w:t>
      </w:r>
      <w:r w:rsidR="0046706A" w:rsidRPr="0046706A">
        <w:rPr>
          <w:sz w:val="24"/>
          <w:szCs w:val="24"/>
        </w:rPr>
        <w:t>rovide training for NPM colleagues from other countries</w:t>
      </w:r>
      <w:r>
        <w:rPr>
          <w:sz w:val="24"/>
          <w:szCs w:val="24"/>
        </w:rPr>
        <w:t>. O</w:t>
      </w:r>
      <w:r w:rsidR="00D217FE" w:rsidRPr="0046706A">
        <w:rPr>
          <w:sz w:val="24"/>
          <w:szCs w:val="24"/>
        </w:rPr>
        <w:t xml:space="preserve">n request of the Council of Europe in 2016-2017 </w:t>
      </w:r>
      <w:r>
        <w:rPr>
          <w:sz w:val="24"/>
          <w:szCs w:val="24"/>
        </w:rPr>
        <w:t xml:space="preserve">had </w:t>
      </w:r>
      <w:r w:rsidR="00D217FE" w:rsidRPr="0046706A">
        <w:rPr>
          <w:sz w:val="24"/>
          <w:szCs w:val="24"/>
        </w:rPr>
        <w:t xml:space="preserve">conducted trainings for NPMs of Moldova and Kazakhstan. </w:t>
      </w:r>
      <w:r w:rsidR="0046706A" w:rsidRPr="0046706A">
        <w:rPr>
          <w:sz w:val="24"/>
          <w:szCs w:val="24"/>
        </w:rPr>
        <w:t xml:space="preserve">Currently coordinate the research group studying the practices of documenting and investigating of ill-treatment </w:t>
      </w:r>
      <w:r>
        <w:rPr>
          <w:sz w:val="24"/>
          <w:szCs w:val="24"/>
        </w:rPr>
        <w:t xml:space="preserve">within </w:t>
      </w:r>
      <w:r w:rsidR="0046706A" w:rsidRPr="0046706A">
        <w:rPr>
          <w:sz w:val="24"/>
          <w:szCs w:val="24"/>
        </w:rPr>
        <w:t xml:space="preserve">police, </w:t>
      </w:r>
      <w:r>
        <w:rPr>
          <w:sz w:val="24"/>
          <w:szCs w:val="24"/>
        </w:rPr>
        <w:t>prison system,</w:t>
      </w:r>
      <w:r w:rsidR="0046706A" w:rsidRPr="0046706A">
        <w:rPr>
          <w:sz w:val="24"/>
          <w:szCs w:val="24"/>
        </w:rPr>
        <w:t xml:space="preserve"> psychiatric and social care institutions (for further implementation of the Istanbul protocol in Ukraine).</w:t>
      </w:r>
    </w:p>
    <w:p w:rsidR="00FD2C0E" w:rsidRPr="00056711" w:rsidRDefault="00FD2C0E" w:rsidP="00056711">
      <w:pPr>
        <w:jc w:val="both"/>
        <w:rPr>
          <w:b/>
          <w:sz w:val="10"/>
          <w:szCs w:val="24"/>
        </w:rPr>
      </w:pPr>
    </w:p>
    <w:p w:rsidR="00401FC2" w:rsidRDefault="00401FC2" w:rsidP="00056711">
      <w:pPr>
        <w:jc w:val="both"/>
        <w:rPr>
          <w:b/>
          <w:sz w:val="24"/>
          <w:szCs w:val="24"/>
        </w:rPr>
      </w:pPr>
      <w:r w:rsidRPr="0046706A">
        <w:rPr>
          <w:b/>
          <w:sz w:val="24"/>
          <w:szCs w:val="24"/>
        </w:rPr>
        <w:lastRenderedPageBreak/>
        <w:t>List of</w:t>
      </w:r>
      <w:r w:rsidR="00056711">
        <w:rPr>
          <w:b/>
          <w:sz w:val="24"/>
          <w:szCs w:val="24"/>
          <w:lang w:val="uk-UA"/>
        </w:rPr>
        <w:t xml:space="preserve"> the</w:t>
      </w:r>
      <w:r w:rsidRPr="0046706A">
        <w:rPr>
          <w:b/>
          <w:sz w:val="24"/>
          <w:szCs w:val="24"/>
        </w:rPr>
        <w:t xml:space="preserve"> most recent publications in the field</w:t>
      </w:r>
      <w:r w:rsidR="00D91BB1" w:rsidRPr="0046706A">
        <w:rPr>
          <w:b/>
          <w:sz w:val="24"/>
          <w:szCs w:val="24"/>
        </w:rPr>
        <w:t xml:space="preserve"> relevant to the mandate of the Subcommittee on Prevention of Torture</w:t>
      </w:r>
      <w:r w:rsidRPr="0046706A">
        <w:rPr>
          <w:b/>
          <w:sz w:val="24"/>
          <w:szCs w:val="24"/>
        </w:rPr>
        <w:t>:</w:t>
      </w:r>
    </w:p>
    <w:p w:rsidR="00217DF2" w:rsidRPr="00217DF2" w:rsidRDefault="00BC6C68" w:rsidP="00056711">
      <w:pPr>
        <w:numPr>
          <w:ilvl w:val="0"/>
          <w:numId w:val="7"/>
        </w:numPr>
        <w:tabs>
          <w:tab w:val="left" w:pos="426"/>
        </w:tabs>
        <w:overflowPunct/>
        <w:autoSpaceDE/>
        <w:autoSpaceDN/>
        <w:adjustRightInd/>
        <w:ind w:left="0" w:firstLine="0"/>
        <w:jc w:val="both"/>
        <w:textAlignment w:val="auto"/>
        <w:rPr>
          <w:sz w:val="24"/>
          <w:szCs w:val="24"/>
        </w:rPr>
      </w:pPr>
      <w:r w:rsidRPr="00217DF2">
        <w:rPr>
          <w:sz w:val="24"/>
          <w:szCs w:val="24"/>
        </w:rPr>
        <w:t xml:space="preserve">Study report </w:t>
      </w:r>
      <w:r>
        <w:rPr>
          <w:sz w:val="24"/>
          <w:szCs w:val="24"/>
        </w:rPr>
        <w:t>“</w:t>
      </w:r>
      <w:r w:rsidR="00217DF2" w:rsidRPr="00217DF2">
        <w:rPr>
          <w:sz w:val="24"/>
          <w:szCs w:val="24"/>
        </w:rPr>
        <w:t>Ill-treatment in the activities of the national police of Ukraine: types, scale, reasons</w:t>
      </w:r>
      <w:r>
        <w:rPr>
          <w:sz w:val="24"/>
          <w:szCs w:val="24"/>
        </w:rPr>
        <w:t>”</w:t>
      </w:r>
      <w:r w:rsidR="00217DF2" w:rsidRPr="00217DF2">
        <w:rPr>
          <w:sz w:val="24"/>
          <w:szCs w:val="24"/>
        </w:rPr>
        <w:t>, 2017</w:t>
      </w:r>
      <w:r w:rsidR="00217DF2" w:rsidRPr="00217DF2">
        <w:rPr>
          <w:rStyle w:val="FootnoteReference"/>
          <w:sz w:val="24"/>
          <w:szCs w:val="24"/>
        </w:rPr>
        <w:footnoteReference w:id="1"/>
      </w:r>
      <w:r w:rsidR="00217DF2" w:rsidRPr="00217DF2">
        <w:rPr>
          <w:sz w:val="24"/>
          <w:szCs w:val="24"/>
        </w:rPr>
        <w:t>;</w:t>
      </w:r>
    </w:p>
    <w:p w:rsidR="00217DF2" w:rsidRPr="00217DF2" w:rsidRDefault="00BC6C68" w:rsidP="00056711">
      <w:pPr>
        <w:numPr>
          <w:ilvl w:val="0"/>
          <w:numId w:val="7"/>
        </w:numPr>
        <w:tabs>
          <w:tab w:val="left" w:pos="426"/>
        </w:tabs>
        <w:overflowPunct/>
        <w:autoSpaceDE/>
        <w:autoSpaceDN/>
        <w:adjustRightInd/>
        <w:ind w:left="0" w:firstLine="0"/>
        <w:jc w:val="both"/>
        <w:textAlignment w:val="auto"/>
        <w:rPr>
          <w:sz w:val="24"/>
          <w:szCs w:val="24"/>
        </w:rPr>
      </w:pPr>
      <w:r w:rsidRPr="00217DF2">
        <w:rPr>
          <w:sz w:val="24"/>
          <w:szCs w:val="24"/>
        </w:rPr>
        <w:t xml:space="preserve">Study report </w:t>
      </w:r>
      <w:r>
        <w:rPr>
          <w:sz w:val="24"/>
          <w:szCs w:val="24"/>
        </w:rPr>
        <w:t>“</w:t>
      </w:r>
      <w:r w:rsidR="00217DF2" w:rsidRPr="00217DF2">
        <w:rPr>
          <w:sz w:val="24"/>
          <w:szCs w:val="24"/>
        </w:rPr>
        <w:t>Prison through the eyes of prisoners</w:t>
      </w:r>
      <w:r>
        <w:rPr>
          <w:sz w:val="24"/>
          <w:szCs w:val="24"/>
        </w:rPr>
        <w:t>”</w:t>
      </w:r>
      <w:r w:rsidR="00217DF2" w:rsidRPr="00217DF2">
        <w:rPr>
          <w:sz w:val="24"/>
          <w:szCs w:val="24"/>
        </w:rPr>
        <w:t>, 2017</w:t>
      </w:r>
      <w:r w:rsidR="00217DF2">
        <w:rPr>
          <w:rStyle w:val="FootnoteReference"/>
          <w:sz w:val="24"/>
          <w:szCs w:val="24"/>
        </w:rPr>
        <w:footnoteReference w:id="2"/>
      </w:r>
      <w:r w:rsidR="00217DF2" w:rsidRPr="00217DF2">
        <w:rPr>
          <w:sz w:val="24"/>
          <w:szCs w:val="24"/>
        </w:rPr>
        <w:t xml:space="preserve">; </w:t>
      </w:r>
    </w:p>
    <w:p w:rsidR="00401FC2" w:rsidRPr="00056711" w:rsidRDefault="00217DF2" w:rsidP="00056711">
      <w:pPr>
        <w:numPr>
          <w:ilvl w:val="0"/>
          <w:numId w:val="7"/>
        </w:numPr>
        <w:tabs>
          <w:tab w:val="left" w:pos="426"/>
        </w:tabs>
        <w:overflowPunct/>
        <w:autoSpaceDE/>
        <w:autoSpaceDN/>
        <w:adjustRightInd/>
        <w:ind w:left="0" w:firstLine="0"/>
        <w:jc w:val="both"/>
        <w:textAlignment w:val="auto"/>
        <w:rPr>
          <w:sz w:val="24"/>
          <w:szCs w:val="24"/>
        </w:rPr>
      </w:pPr>
      <w:r w:rsidRPr="00217DF2">
        <w:rPr>
          <w:sz w:val="24"/>
          <w:szCs w:val="24"/>
        </w:rPr>
        <w:t>Study report “The role of the public prosecutor at the pre-trial stage of criminal proceedings”, 2017</w:t>
      </w:r>
      <w:r w:rsidRPr="00217DF2">
        <w:rPr>
          <w:rStyle w:val="FootnoteReference"/>
          <w:sz w:val="24"/>
          <w:szCs w:val="24"/>
        </w:rPr>
        <w:footnoteReference w:id="3"/>
      </w:r>
      <w:r>
        <w:rPr>
          <w:sz w:val="24"/>
          <w:szCs w:val="24"/>
        </w:rPr>
        <w:t>.</w:t>
      </w:r>
    </w:p>
    <w:sectPr w:rsidR="00401FC2" w:rsidRPr="00056711" w:rsidSect="00FD2C0E">
      <w:endnotePr>
        <w:numFmt w:val="decimal"/>
      </w:endnotePr>
      <w:type w:val="continuous"/>
      <w:pgSz w:w="11905" w:h="16837"/>
      <w:pgMar w:top="709" w:right="1412"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B7" w:rsidRDefault="005A03B7" w:rsidP="00217DF2">
      <w:r>
        <w:separator/>
      </w:r>
    </w:p>
  </w:endnote>
  <w:endnote w:type="continuationSeparator" w:id="0">
    <w:p w:rsidR="005A03B7" w:rsidRDefault="005A03B7" w:rsidP="0021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B7" w:rsidRDefault="005A03B7" w:rsidP="00217DF2">
      <w:r>
        <w:separator/>
      </w:r>
    </w:p>
  </w:footnote>
  <w:footnote w:type="continuationSeparator" w:id="0">
    <w:p w:rsidR="005A03B7" w:rsidRDefault="005A03B7" w:rsidP="00217DF2">
      <w:r>
        <w:continuationSeparator/>
      </w:r>
    </w:p>
  </w:footnote>
  <w:footnote w:id="1">
    <w:p w:rsidR="00217DF2" w:rsidRPr="00056711" w:rsidRDefault="00217DF2">
      <w:pPr>
        <w:pStyle w:val="FootnoteText"/>
        <w:rPr>
          <w:sz w:val="18"/>
          <w:lang w:val="en-US"/>
        </w:rPr>
      </w:pPr>
      <w:r w:rsidRPr="00056711">
        <w:rPr>
          <w:rStyle w:val="FootnoteReference"/>
          <w:sz w:val="18"/>
        </w:rPr>
        <w:footnoteRef/>
      </w:r>
      <w:r w:rsidRPr="00056711">
        <w:rPr>
          <w:sz w:val="18"/>
        </w:rPr>
        <w:t xml:space="preserve"> </w:t>
      </w:r>
      <w:hyperlink r:id="rId1" w:history="1">
        <w:r w:rsidRPr="00056711">
          <w:rPr>
            <w:rStyle w:val="Hyperlink"/>
            <w:sz w:val="18"/>
          </w:rPr>
          <w:t>https://rm.coe.int/analytical-report-ill-treatment-in-the-activities-of-the-national-poli/16808b2928</w:t>
        </w:r>
      </w:hyperlink>
    </w:p>
  </w:footnote>
  <w:footnote w:id="2">
    <w:p w:rsidR="00217DF2" w:rsidRPr="00217DF2" w:rsidRDefault="00217DF2">
      <w:pPr>
        <w:pStyle w:val="FootnoteText"/>
        <w:rPr>
          <w:lang w:val="en-US"/>
        </w:rPr>
      </w:pPr>
      <w:r w:rsidRPr="00056711">
        <w:rPr>
          <w:rStyle w:val="FootnoteReference"/>
          <w:sz w:val="18"/>
        </w:rPr>
        <w:footnoteRef/>
      </w:r>
      <w:r w:rsidRPr="00056711">
        <w:rPr>
          <w:sz w:val="18"/>
          <w:lang w:val="en-US"/>
        </w:rPr>
        <w:t xml:space="preserve"> </w:t>
      </w:r>
      <w:hyperlink r:id="rId2" w:history="1">
        <w:r w:rsidRPr="00056711">
          <w:rPr>
            <w:rStyle w:val="Hyperlink"/>
            <w:sz w:val="18"/>
            <w:lang w:val="en-US"/>
          </w:rPr>
          <w:t>http://ecpl.com.ua/wp-content/uploads/2017/11/PRISON-THROUGH-THE-EYES-OF-PRISONERS.pdf</w:t>
        </w:r>
      </w:hyperlink>
    </w:p>
  </w:footnote>
  <w:footnote w:id="3">
    <w:p w:rsidR="00217DF2" w:rsidRPr="00DF3078" w:rsidRDefault="00217DF2" w:rsidP="00217DF2">
      <w:pPr>
        <w:pStyle w:val="FootnoteText"/>
        <w:rPr>
          <w:lang w:val="en-US"/>
        </w:rPr>
      </w:pPr>
      <w:r w:rsidRPr="00056711">
        <w:rPr>
          <w:rStyle w:val="FootnoteReference"/>
          <w:sz w:val="18"/>
        </w:rPr>
        <w:footnoteRef/>
      </w:r>
      <w:r w:rsidRPr="00056711">
        <w:rPr>
          <w:sz w:val="18"/>
          <w:lang w:val="en-US"/>
        </w:rPr>
        <w:t xml:space="preserve"> </w:t>
      </w:r>
      <w:hyperlink r:id="rId3" w:history="1">
        <w:r w:rsidRPr="00056711">
          <w:rPr>
            <w:rStyle w:val="Hyperlink"/>
            <w:sz w:val="18"/>
            <w:lang w:val="en-US"/>
          </w:rPr>
          <w:t>http://ecpl.com.ua/wp-content/uploads/2017/10/prokuror_engl.pdf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5E6"/>
    <w:multiLevelType w:val="hybridMultilevel"/>
    <w:tmpl w:val="D3C84C50"/>
    <w:lvl w:ilvl="0" w:tplc="3F202F1C">
      <w:start w:val="17"/>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15:restartNumberingAfterBreak="0">
    <w:nsid w:val="165165E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2BC3867"/>
    <w:multiLevelType w:val="hybridMultilevel"/>
    <w:tmpl w:val="1E0E415E"/>
    <w:lvl w:ilvl="0" w:tplc="404AA6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271052"/>
    <w:multiLevelType w:val="hybridMultilevel"/>
    <w:tmpl w:val="626C23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D701DC"/>
    <w:multiLevelType w:val="hybridMultilevel"/>
    <w:tmpl w:val="38CC3B1C"/>
    <w:lvl w:ilvl="0" w:tplc="20CC8784">
      <w:start w:val="17"/>
      <w:numFmt w:val="bullet"/>
      <w:lvlText w:val="-"/>
      <w:lvlJc w:val="left"/>
      <w:pPr>
        <w:ind w:left="1778" w:hanging="360"/>
      </w:pPr>
      <w:rPr>
        <w:rFonts w:ascii="Times New Roman" w:eastAsia="Times New Roman" w:hAnsi="Times New Roman" w:cs="Times New Roman" w:hint="default"/>
        <w:i/>
        <w:color w:val="auto"/>
        <w:sz w:val="28"/>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5" w15:restartNumberingAfterBreak="0">
    <w:nsid w:val="3F3C0F54"/>
    <w:multiLevelType w:val="hybridMultilevel"/>
    <w:tmpl w:val="8AA0A6AE"/>
    <w:lvl w:ilvl="0" w:tplc="404AA6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C5E46C6"/>
    <w:multiLevelType w:val="hybridMultilevel"/>
    <w:tmpl w:val="9C7CCA3C"/>
    <w:lvl w:ilvl="0" w:tplc="404AA6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1B"/>
    <w:rsid w:val="00056711"/>
    <w:rsid w:val="000B4DF0"/>
    <w:rsid w:val="000B7BB7"/>
    <w:rsid w:val="001B0EAD"/>
    <w:rsid w:val="001D6EAD"/>
    <w:rsid w:val="00217DF2"/>
    <w:rsid w:val="003256BC"/>
    <w:rsid w:val="003A3AE7"/>
    <w:rsid w:val="003E652D"/>
    <w:rsid w:val="00401FC2"/>
    <w:rsid w:val="0041512E"/>
    <w:rsid w:val="00443750"/>
    <w:rsid w:val="004520C6"/>
    <w:rsid w:val="0046706A"/>
    <w:rsid w:val="00506D41"/>
    <w:rsid w:val="005A03B7"/>
    <w:rsid w:val="00696E33"/>
    <w:rsid w:val="006D335C"/>
    <w:rsid w:val="00796BE0"/>
    <w:rsid w:val="007A33A8"/>
    <w:rsid w:val="00912DFC"/>
    <w:rsid w:val="00926934"/>
    <w:rsid w:val="00A33AE2"/>
    <w:rsid w:val="00BC6C68"/>
    <w:rsid w:val="00BD3D7D"/>
    <w:rsid w:val="00C6532B"/>
    <w:rsid w:val="00D217FE"/>
    <w:rsid w:val="00D3090E"/>
    <w:rsid w:val="00D67E6A"/>
    <w:rsid w:val="00D91BB1"/>
    <w:rsid w:val="00DB11F6"/>
    <w:rsid w:val="00DF19B8"/>
    <w:rsid w:val="00E22C3A"/>
    <w:rsid w:val="00F0651B"/>
    <w:rsid w:val="00F825BE"/>
    <w:rsid w:val="00F94411"/>
    <w:rsid w:val="00FD2C0E"/>
    <w:rsid w:val="00FD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FA3A23-68B5-4AEB-9FB3-0A98233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alloonText">
    <w:name w:val="Balloon Text"/>
    <w:basedOn w:val="Normal"/>
    <w:semiHidden/>
    <w:rsid w:val="00696E33"/>
    <w:rPr>
      <w:rFonts w:ascii="Tahoma" w:hAnsi="Tahoma" w:cs="Tahoma"/>
      <w:sz w:val="16"/>
      <w:szCs w:val="16"/>
    </w:rPr>
  </w:style>
  <w:style w:type="character" w:styleId="Hyperlink">
    <w:name w:val="Hyperlink"/>
    <w:rsid w:val="00A33AE2"/>
    <w:rPr>
      <w:color w:val="0563C1"/>
      <w:u w:val="single"/>
    </w:rPr>
  </w:style>
  <w:style w:type="character" w:customStyle="1" w:styleId="a">
    <w:name w:val="Незакрита згадка"/>
    <w:uiPriority w:val="99"/>
    <w:semiHidden/>
    <w:unhideWhenUsed/>
    <w:rsid w:val="00A33AE2"/>
    <w:rPr>
      <w:color w:val="605E5C"/>
      <w:shd w:val="clear" w:color="auto" w:fill="E1DFDD"/>
    </w:rPr>
  </w:style>
  <w:style w:type="paragraph" w:styleId="FootnoteText">
    <w:name w:val="footnote text"/>
    <w:basedOn w:val="Normal"/>
    <w:link w:val="FootnoteTextChar"/>
    <w:rsid w:val="00217DF2"/>
    <w:pPr>
      <w:overflowPunct/>
      <w:autoSpaceDE/>
      <w:autoSpaceDN/>
      <w:adjustRightInd/>
      <w:textAlignment w:val="auto"/>
    </w:pPr>
    <w:rPr>
      <w:lang w:val="ru-RU" w:eastAsia="ru-RU"/>
    </w:rPr>
  </w:style>
  <w:style w:type="character" w:customStyle="1" w:styleId="FootnoteTextChar">
    <w:name w:val="Footnote Text Char"/>
    <w:link w:val="FootnoteText"/>
    <w:rsid w:val="00217DF2"/>
    <w:rPr>
      <w:lang w:val="ru-RU" w:eastAsia="ru-RU"/>
    </w:rPr>
  </w:style>
  <w:style w:type="character" w:styleId="FootnoteReference">
    <w:name w:val="footnote reference"/>
    <w:rsid w:val="00217DF2"/>
    <w:rPr>
      <w:vertAlign w:val="superscript"/>
    </w:rPr>
  </w:style>
  <w:style w:type="paragraph" w:styleId="Header">
    <w:name w:val="header"/>
    <w:basedOn w:val="Normal"/>
    <w:link w:val="HeaderChar"/>
    <w:rsid w:val="00BC6C68"/>
    <w:pPr>
      <w:tabs>
        <w:tab w:val="center" w:pos="4819"/>
        <w:tab w:val="right" w:pos="9639"/>
      </w:tabs>
    </w:pPr>
  </w:style>
  <w:style w:type="character" w:customStyle="1" w:styleId="HeaderChar">
    <w:name w:val="Header Char"/>
    <w:link w:val="Header"/>
    <w:rsid w:val="00BC6C68"/>
    <w:rPr>
      <w:lang w:val="en-US" w:eastAsia="en-US"/>
    </w:rPr>
  </w:style>
  <w:style w:type="paragraph" w:styleId="Footer">
    <w:name w:val="footer"/>
    <w:basedOn w:val="Normal"/>
    <w:link w:val="FooterChar"/>
    <w:rsid w:val="00BC6C68"/>
    <w:pPr>
      <w:tabs>
        <w:tab w:val="center" w:pos="4819"/>
        <w:tab w:val="right" w:pos="9639"/>
      </w:tabs>
    </w:pPr>
  </w:style>
  <w:style w:type="character" w:customStyle="1" w:styleId="FooterChar">
    <w:name w:val="Footer Char"/>
    <w:link w:val="Footer"/>
    <w:rsid w:val="00BC6C6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pl.com.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cpl.com.ua/wp-content/uploads/2017/10/prokuror_engl.pdf" TargetMode="External"/><Relationship Id="rId2" Type="http://schemas.openxmlformats.org/officeDocument/2006/relationships/hyperlink" Target="http://ecpl.com.ua/wp-content/uploads/2017/11/PRISON-THROUGH-THE-EYES-OF-PRISONERS.pdf" TargetMode="External"/><Relationship Id="rId1" Type="http://schemas.openxmlformats.org/officeDocument/2006/relationships/hyperlink" Target="https://rm.coe.int/analytical-report-ill-treatment-in-the-activities-of-the-national-poli/16808b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3DB9-ACE7-4D0A-A45D-C9AA741AD00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32108F4-3632-40E9-A22E-4135196D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39409-C137-421B-8E9B-F6904792E9C5}">
  <ds:schemaRefs>
    <ds:schemaRef ds:uri="http://schemas.microsoft.com/sharepoint/v3/contenttype/forms"/>
  </ds:schemaRefs>
</ds:datastoreItem>
</file>

<file path=customXml/itemProps4.xml><?xml version="1.0" encoding="utf-8"?>
<ds:datastoreItem xmlns:ds="http://schemas.openxmlformats.org/officeDocument/2006/customXml" ds:itemID="{EA3BD9E9-F2D6-49AF-A210-4B1371BE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4</DocSecurity>
  <Lines>22</Lines>
  <Paragraphs>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ONU</Company>
  <LinksUpToDate>false</LinksUpToDate>
  <CharactersWithSpaces>3156</CharactersWithSpaces>
  <SharedDoc>false</SharedDoc>
  <HLinks>
    <vt:vector size="24" baseType="variant">
      <vt:variant>
        <vt:i4>3145764</vt:i4>
      </vt:variant>
      <vt:variant>
        <vt:i4>0</vt:i4>
      </vt:variant>
      <vt:variant>
        <vt:i4>0</vt:i4>
      </vt:variant>
      <vt:variant>
        <vt:i4>5</vt:i4>
      </vt:variant>
      <vt:variant>
        <vt:lpwstr>http://www.ecpl.com.ua/</vt:lpwstr>
      </vt:variant>
      <vt:variant>
        <vt:lpwstr/>
      </vt:variant>
      <vt:variant>
        <vt:i4>2883585</vt:i4>
      </vt:variant>
      <vt:variant>
        <vt:i4>6</vt:i4>
      </vt:variant>
      <vt:variant>
        <vt:i4>0</vt:i4>
      </vt:variant>
      <vt:variant>
        <vt:i4>5</vt:i4>
      </vt:variant>
      <vt:variant>
        <vt:lpwstr>http://ecpl.com.ua/wp-content/uploads/2017/10/prokuror_engl.pdf</vt:lpwstr>
      </vt:variant>
      <vt:variant>
        <vt:lpwstr/>
      </vt:variant>
      <vt:variant>
        <vt:i4>2424932</vt:i4>
      </vt:variant>
      <vt:variant>
        <vt:i4>3</vt:i4>
      </vt:variant>
      <vt:variant>
        <vt:i4>0</vt:i4>
      </vt:variant>
      <vt:variant>
        <vt:i4>5</vt:i4>
      </vt:variant>
      <vt:variant>
        <vt:lpwstr>http://ecpl.com.ua/wp-content/uploads/2017/11/PRISON-THROUGH-THE-EYES-OF-PRISONERS.pdf</vt:lpwstr>
      </vt:variant>
      <vt:variant>
        <vt:lpwstr/>
      </vt:variant>
      <vt:variant>
        <vt:i4>1507357</vt:i4>
      </vt:variant>
      <vt:variant>
        <vt:i4>0</vt:i4>
      </vt:variant>
      <vt:variant>
        <vt:i4>0</vt:i4>
      </vt:variant>
      <vt:variant>
        <vt:i4>5</vt:i4>
      </vt:variant>
      <vt:variant>
        <vt:lpwstr>https://rm.coe.int/analytical-report-ill-treatment-in-the-activities-of-the-national-poli/16808b2928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daniello</dc:creator>
  <cp:keywords/>
  <cp:lastModifiedBy>SERIDJ Youcef</cp:lastModifiedBy>
  <cp:revision>2</cp:revision>
  <cp:lastPrinted>2014-04-28T09:44:00Z</cp:lastPrinted>
  <dcterms:created xsi:type="dcterms:W3CDTF">2018-08-03T14:47:00Z</dcterms:created>
  <dcterms:modified xsi:type="dcterms:W3CDTF">2018-08-03T14:47:00Z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