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58D7" w14:textId="72565E35" w:rsidR="00750F35" w:rsidRPr="00B566F3" w:rsidRDefault="00750F35" w:rsidP="00D96EDE">
      <w:pPr>
        <w:tabs>
          <w:tab w:val="left" w:pos="567"/>
        </w:tabs>
        <w:snapToGrid w:val="0"/>
        <w:ind w:left="567" w:hanging="567"/>
        <w:jc w:val="center"/>
        <w:rPr>
          <w:rFonts w:ascii="Cambria" w:hAnsi="Cambria"/>
          <w:b/>
          <w:bCs/>
          <w:sz w:val="22"/>
          <w:szCs w:val="22"/>
        </w:rPr>
      </w:pPr>
      <w:bookmarkStart w:id="0" w:name="_GoBack"/>
      <w:bookmarkEnd w:id="0"/>
      <w:r w:rsidRPr="00B566F3">
        <w:rPr>
          <w:rFonts w:ascii="Cambria" w:hAnsi="Cambria"/>
          <w:noProof/>
        </w:rPr>
        <w:drawing>
          <wp:anchor distT="0" distB="0" distL="114300" distR="114300" simplePos="0" relativeHeight="251659264" behindDoc="1" locked="0" layoutInCell="1" allowOverlap="1" wp14:anchorId="57898A02" wp14:editId="2EC97186">
            <wp:simplePos x="0" y="0"/>
            <wp:positionH relativeFrom="page">
              <wp:posOffset>-65314</wp:posOffset>
            </wp:positionH>
            <wp:positionV relativeFrom="paragraph">
              <wp:posOffset>-741861</wp:posOffset>
            </wp:positionV>
            <wp:extent cx="7610384" cy="10885714"/>
            <wp:effectExtent l="0" t="0" r="0" b="0"/>
            <wp:wrapNone/>
            <wp:docPr id="4" name="Picture 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1387" cy="108871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DF92A" w14:textId="77777777" w:rsidR="00750F35" w:rsidRPr="00B566F3" w:rsidRDefault="00750F35" w:rsidP="00D96EDE">
      <w:pPr>
        <w:tabs>
          <w:tab w:val="left" w:pos="567"/>
        </w:tabs>
        <w:snapToGrid w:val="0"/>
        <w:ind w:left="567" w:hanging="567"/>
        <w:jc w:val="center"/>
        <w:rPr>
          <w:rFonts w:ascii="Cambria" w:hAnsi="Cambria"/>
          <w:b/>
          <w:bCs/>
          <w:sz w:val="22"/>
          <w:szCs w:val="22"/>
        </w:rPr>
      </w:pPr>
    </w:p>
    <w:p w14:paraId="6D83EF8E" w14:textId="77777777" w:rsidR="00750F35" w:rsidRPr="00B566F3" w:rsidRDefault="00750F35" w:rsidP="00D96EDE">
      <w:pPr>
        <w:tabs>
          <w:tab w:val="left" w:pos="567"/>
        </w:tabs>
        <w:snapToGrid w:val="0"/>
        <w:ind w:left="567" w:hanging="567"/>
        <w:jc w:val="center"/>
        <w:rPr>
          <w:rFonts w:ascii="Cambria" w:hAnsi="Cambria"/>
          <w:b/>
          <w:bCs/>
          <w:sz w:val="22"/>
          <w:szCs w:val="22"/>
        </w:rPr>
      </w:pPr>
    </w:p>
    <w:p w14:paraId="400AA1F6" w14:textId="1A91BEAD" w:rsidR="00750F35" w:rsidRPr="00B566F3" w:rsidRDefault="00750F35" w:rsidP="00D96EDE">
      <w:pPr>
        <w:tabs>
          <w:tab w:val="left" w:pos="567"/>
        </w:tabs>
        <w:snapToGrid w:val="0"/>
        <w:ind w:left="567" w:hanging="567"/>
        <w:jc w:val="center"/>
        <w:rPr>
          <w:rFonts w:ascii="Cambria" w:hAnsi="Cambria"/>
          <w:b/>
          <w:bCs/>
          <w:sz w:val="22"/>
          <w:szCs w:val="22"/>
        </w:rPr>
      </w:pPr>
    </w:p>
    <w:p w14:paraId="1C58B461" w14:textId="77777777" w:rsidR="00750F35" w:rsidRPr="00B566F3" w:rsidRDefault="00750F35" w:rsidP="00D96EDE">
      <w:pPr>
        <w:tabs>
          <w:tab w:val="left" w:pos="567"/>
        </w:tabs>
        <w:snapToGrid w:val="0"/>
        <w:ind w:left="567" w:hanging="567"/>
        <w:jc w:val="center"/>
        <w:rPr>
          <w:rFonts w:ascii="Cambria" w:hAnsi="Cambria"/>
          <w:b/>
          <w:bCs/>
          <w:sz w:val="22"/>
          <w:szCs w:val="22"/>
        </w:rPr>
      </w:pPr>
    </w:p>
    <w:p w14:paraId="0A6FD34B" w14:textId="77777777" w:rsidR="00750F35" w:rsidRPr="00B566F3" w:rsidRDefault="00750F35" w:rsidP="00D96EDE">
      <w:pPr>
        <w:tabs>
          <w:tab w:val="left" w:pos="567"/>
        </w:tabs>
        <w:snapToGrid w:val="0"/>
        <w:ind w:left="567" w:hanging="567"/>
        <w:jc w:val="center"/>
        <w:rPr>
          <w:rFonts w:ascii="Cambria" w:hAnsi="Cambria"/>
          <w:b/>
          <w:bCs/>
          <w:sz w:val="22"/>
          <w:szCs w:val="22"/>
        </w:rPr>
      </w:pPr>
    </w:p>
    <w:p w14:paraId="57A4174D" w14:textId="1E2AFDC6" w:rsidR="00BC7AC5" w:rsidRPr="00B566F3" w:rsidRDefault="00BC7AC5" w:rsidP="00D96EDE">
      <w:pPr>
        <w:tabs>
          <w:tab w:val="left" w:pos="567"/>
        </w:tabs>
        <w:snapToGrid w:val="0"/>
        <w:ind w:left="567" w:hanging="567"/>
        <w:jc w:val="center"/>
        <w:rPr>
          <w:rFonts w:ascii="Cambria" w:hAnsi="Cambria"/>
          <w:b/>
          <w:bCs/>
          <w:sz w:val="22"/>
          <w:szCs w:val="22"/>
        </w:rPr>
      </w:pPr>
      <w:r w:rsidRPr="00B566F3">
        <w:rPr>
          <w:rFonts w:ascii="Cambria" w:hAnsi="Cambria"/>
          <w:b/>
          <w:bCs/>
          <w:sz w:val="22"/>
          <w:szCs w:val="22"/>
        </w:rPr>
        <w:t>The Equal Rights Trust</w:t>
      </w:r>
    </w:p>
    <w:p w14:paraId="30799880" w14:textId="77777777" w:rsidR="00BC7AC5" w:rsidRPr="00B566F3" w:rsidRDefault="00BC7AC5" w:rsidP="00D96EDE">
      <w:pPr>
        <w:tabs>
          <w:tab w:val="left" w:pos="567"/>
        </w:tabs>
        <w:snapToGrid w:val="0"/>
        <w:ind w:left="567" w:hanging="567"/>
        <w:jc w:val="center"/>
        <w:rPr>
          <w:rFonts w:ascii="Cambria" w:hAnsi="Cambria"/>
          <w:sz w:val="22"/>
          <w:szCs w:val="22"/>
        </w:rPr>
      </w:pPr>
    </w:p>
    <w:p w14:paraId="07E234AE" w14:textId="32F7632A" w:rsidR="00BC7AC5" w:rsidRPr="00B566F3" w:rsidRDefault="00BC7AC5" w:rsidP="00D96EDE">
      <w:pPr>
        <w:tabs>
          <w:tab w:val="left" w:pos="567"/>
        </w:tabs>
        <w:snapToGrid w:val="0"/>
        <w:ind w:left="567" w:hanging="567"/>
        <w:jc w:val="center"/>
        <w:rPr>
          <w:rFonts w:ascii="Cambria" w:hAnsi="Cambria"/>
          <w:sz w:val="22"/>
          <w:szCs w:val="22"/>
        </w:rPr>
      </w:pPr>
      <w:r w:rsidRPr="00B566F3">
        <w:rPr>
          <w:rFonts w:ascii="Cambria" w:hAnsi="Cambria"/>
          <w:sz w:val="22"/>
          <w:szCs w:val="22"/>
        </w:rPr>
        <w:t>Response to the joint questionnaire by the Special Procedure mandate holders on the impact of the COVID-19 pandemic on the enjoyment of human rights</w:t>
      </w:r>
    </w:p>
    <w:p w14:paraId="2400A258" w14:textId="4760C8AF" w:rsidR="00BC7AC5" w:rsidRPr="00B566F3" w:rsidRDefault="00BC7AC5" w:rsidP="00D96EDE">
      <w:pPr>
        <w:tabs>
          <w:tab w:val="left" w:pos="567"/>
        </w:tabs>
        <w:snapToGrid w:val="0"/>
        <w:ind w:left="567" w:hanging="567"/>
        <w:jc w:val="center"/>
        <w:rPr>
          <w:rFonts w:ascii="Cambria" w:hAnsi="Cambria"/>
          <w:sz w:val="22"/>
          <w:szCs w:val="22"/>
        </w:rPr>
      </w:pPr>
    </w:p>
    <w:p w14:paraId="66FFBCAF" w14:textId="25546D72" w:rsidR="00BC7AC5" w:rsidRPr="00B566F3" w:rsidRDefault="00BC7AC5" w:rsidP="00D96EDE">
      <w:pPr>
        <w:tabs>
          <w:tab w:val="left" w:pos="567"/>
        </w:tabs>
        <w:snapToGrid w:val="0"/>
        <w:ind w:left="567" w:hanging="567"/>
        <w:jc w:val="right"/>
        <w:rPr>
          <w:rFonts w:ascii="Cambria" w:hAnsi="Cambria"/>
          <w:i/>
          <w:iCs/>
          <w:sz w:val="22"/>
          <w:szCs w:val="22"/>
        </w:rPr>
      </w:pPr>
      <w:r w:rsidRPr="00B566F3">
        <w:rPr>
          <w:rFonts w:ascii="Cambria" w:hAnsi="Cambria"/>
          <w:i/>
          <w:iCs/>
          <w:sz w:val="22"/>
          <w:szCs w:val="22"/>
        </w:rPr>
        <w:t>June 2020</w:t>
      </w:r>
    </w:p>
    <w:p w14:paraId="34610D7A" w14:textId="77777777" w:rsidR="00BC7AC5" w:rsidRPr="00B566F3" w:rsidRDefault="00BC7AC5" w:rsidP="00D96EDE">
      <w:pPr>
        <w:tabs>
          <w:tab w:val="left" w:pos="567"/>
        </w:tabs>
        <w:snapToGrid w:val="0"/>
        <w:ind w:left="567" w:hanging="567"/>
        <w:jc w:val="both"/>
        <w:rPr>
          <w:rFonts w:ascii="Cambria" w:hAnsi="Cambria"/>
          <w:b/>
          <w:bCs/>
          <w:sz w:val="22"/>
          <w:szCs w:val="22"/>
          <w:u w:val="single"/>
        </w:rPr>
      </w:pPr>
    </w:p>
    <w:p w14:paraId="7D3EFDFB" w14:textId="0C0B9BB4" w:rsidR="00917DF3" w:rsidRPr="00B566F3" w:rsidRDefault="00917DF3" w:rsidP="00D96EDE">
      <w:pPr>
        <w:tabs>
          <w:tab w:val="left" w:pos="567"/>
        </w:tabs>
        <w:snapToGrid w:val="0"/>
        <w:ind w:left="567" w:hanging="567"/>
        <w:jc w:val="both"/>
        <w:rPr>
          <w:rFonts w:ascii="Cambria" w:hAnsi="Cambria"/>
          <w:b/>
          <w:bCs/>
          <w:sz w:val="22"/>
          <w:szCs w:val="22"/>
          <w:u w:val="single"/>
        </w:rPr>
      </w:pPr>
      <w:r w:rsidRPr="00B566F3">
        <w:rPr>
          <w:rFonts w:ascii="Cambria" w:hAnsi="Cambria"/>
          <w:b/>
          <w:bCs/>
          <w:sz w:val="22"/>
          <w:szCs w:val="22"/>
          <w:u w:val="single"/>
        </w:rPr>
        <w:t xml:space="preserve">Introduction </w:t>
      </w:r>
    </w:p>
    <w:p w14:paraId="74A27779" w14:textId="77777777" w:rsidR="00917DF3" w:rsidRPr="00B566F3" w:rsidRDefault="00917DF3" w:rsidP="00D96EDE">
      <w:pPr>
        <w:tabs>
          <w:tab w:val="left" w:pos="567"/>
        </w:tabs>
        <w:snapToGrid w:val="0"/>
        <w:ind w:left="567" w:hanging="567"/>
        <w:contextualSpacing/>
        <w:jc w:val="both"/>
        <w:rPr>
          <w:rFonts w:ascii="Cambria" w:hAnsi="Cambria"/>
          <w:sz w:val="22"/>
          <w:szCs w:val="22"/>
        </w:rPr>
      </w:pPr>
    </w:p>
    <w:p w14:paraId="17CE4F60" w14:textId="6B78EB90" w:rsidR="00917DF3" w:rsidRPr="00B566F3" w:rsidRDefault="00917DF3" w:rsidP="00D96EDE">
      <w:pPr>
        <w:pStyle w:val="NormalWeb"/>
        <w:numPr>
          <w:ilvl w:val="0"/>
          <w:numId w:val="1"/>
        </w:numPr>
        <w:tabs>
          <w:tab w:val="left" w:pos="567"/>
        </w:tabs>
        <w:snapToGrid w:val="0"/>
        <w:spacing w:before="0" w:beforeAutospacing="0" w:after="0" w:afterAutospacing="0"/>
        <w:contextualSpacing/>
        <w:jc w:val="both"/>
        <w:rPr>
          <w:rFonts w:ascii="Cambria" w:hAnsi="Cambria"/>
          <w:sz w:val="22"/>
          <w:szCs w:val="22"/>
        </w:rPr>
      </w:pPr>
      <w:r w:rsidRPr="00B566F3">
        <w:rPr>
          <w:rFonts w:ascii="Cambria" w:hAnsi="Cambria"/>
          <w:sz w:val="22"/>
          <w:szCs w:val="22"/>
        </w:rPr>
        <w:t xml:space="preserve">The Equal Rights Trust (the Trust) is grateful for this opportunity to inform the </w:t>
      </w:r>
      <w:r w:rsidR="005B7772" w:rsidRPr="00B566F3">
        <w:rPr>
          <w:rFonts w:ascii="Cambria" w:hAnsi="Cambria"/>
          <w:sz w:val="22"/>
          <w:szCs w:val="22"/>
        </w:rPr>
        <w:t>Special Rapporteurs’ forthcoming thematic reports to the United Nations Human Rights Council or the General Assembly on the impact of the COVID-19 pandemic on the enjoyment of human rights.</w:t>
      </w:r>
    </w:p>
    <w:p w14:paraId="60C7D770" w14:textId="77777777" w:rsidR="00917DF3" w:rsidRPr="00B566F3" w:rsidRDefault="00917DF3" w:rsidP="00D96EDE">
      <w:pPr>
        <w:pStyle w:val="NormalWeb"/>
        <w:tabs>
          <w:tab w:val="left" w:pos="567"/>
        </w:tabs>
        <w:snapToGrid w:val="0"/>
        <w:spacing w:before="0" w:beforeAutospacing="0" w:after="0" w:afterAutospacing="0"/>
        <w:ind w:left="567" w:hanging="567"/>
        <w:contextualSpacing/>
        <w:jc w:val="both"/>
        <w:rPr>
          <w:rFonts w:ascii="Cambria" w:hAnsi="Cambria"/>
          <w:sz w:val="22"/>
          <w:szCs w:val="22"/>
        </w:rPr>
      </w:pPr>
    </w:p>
    <w:p w14:paraId="0FEEE0A3" w14:textId="77777777" w:rsidR="00917DF3"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lastRenderedPageBreak/>
        <w:t xml:space="preserve">The Trust is an independent international organisation whose mission is to eliminate all forms of discrimination and ensure everyone can participate in life on an equal basis. We work in partnership with equality defenders – civil society organisations (CSOs), lawyers, government representatives and others committed to using law to create an equal world – providing them with the technical, strategic, and practical support they need to secure the adoption and implementation of comprehensive equality laws. In connection with this work, we engage with UN bodies and procedures with the aim of increasing </w:t>
      </w:r>
      <w:r w:rsidRPr="00B566F3">
        <w:rPr>
          <w:rFonts w:ascii="Cambria" w:hAnsi="Cambria"/>
          <w:sz w:val="22"/>
          <w:szCs w:val="22"/>
        </w:rPr>
        <w:lastRenderedPageBreak/>
        <w:t>knowledge and understanding of equality law and its role in the realisation of other rights and development.</w:t>
      </w:r>
    </w:p>
    <w:p w14:paraId="5A2C8EDA" w14:textId="77777777" w:rsidR="00917DF3" w:rsidRPr="00B566F3" w:rsidRDefault="00917DF3" w:rsidP="00D96EDE">
      <w:pPr>
        <w:pStyle w:val="ListParagraph"/>
        <w:tabs>
          <w:tab w:val="left" w:pos="567"/>
        </w:tabs>
        <w:ind w:left="567" w:hanging="567"/>
        <w:rPr>
          <w:rFonts w:ascii="Cambria" w:hAnsi="Cambria"/>
          <w:color w:val="000000" w:themeColor="text1"/>
          <w:sz w:val="22"/>
          <w:szCs w:val="22"/>
        </w:rPr>
      </w:pPr>
    </w:p>
    <w:p w14:paraId="60BA38CC" w14:textId="7890C62E" w:rsidR="00917DF3" w:rsidRPr="00B566F3" w:rsidRDefault="009524E8"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color w:val="000000" w:themeColor="text1"/>
          <w:sz w:val="22"/>
          <w:szCs w:val="22"/>
        </w:rPr>
        <w:t xml:space="preserve">The </w:t>
      </w:r>
      <w:r w:rsidR="00917DF3" w:rsidRPr="00B566F3">
        <w:rPr>
          <w:rFonts w:ascii="Cambria" w:hAnsi="Cambria"/>
          <w:color w:val="000000" w:themeColor="text1"/>
          <w:sz w:val="22"/>
          <w:szCs w:val="22"/>
        </w:rPr>
        <w:t xml:space="preserve">COVID-19 </w:t>
      </w:r>
      <w:r w:rsidRPr="00B566F3">
        <w:rPr>
          <w:rFonts w:ascii="Cambria" w:hAnsi="Cambria"/>
          <w:color w:val="000000" w:themeColor="text1"/>
          <w:sz w:val="22"/>
          <w:szCs w:val="22"/>
        </w:rPr>
        <w:t>pandemic has transformed our world</w:t>
      </w:r>
      <w:r w:rsidR="00F750B0" w:rsidRPr="00B566F3">
        <w:rPr>
          <w:rFonts w:ascii="Cambria" w:hAnsi="Cambria"/>
          <w:color w:val="000000" w:themeColor="text1"/>
          <w:sz w:val="22"/>
          <w:szCs w:val="22"/>
        </w:rPr>
        <w:t>. A</w:t>
      </w:r>
      <w:r w:rsidR="00917DF3" w:rsidRPr="00B566F3">
        <w:rPr>
          <w:rFonts w:ascii="Cambria" w:hAnsi="Cambria"/>
          <w:color w:val="000000" w:themeColor="text1"/>
          <w:sz w:val="22"/>
          <w:szCs w:val="22"/>
        </w:rPr>
        <w:t>s of June 2020, the number of recorded cases has surpassed eight million, while families and friends are mourning the loss of more than 430,000 people.</w:t>
      </w:r>
      <w:r w:rsidR="00917DF3" w:rsidRPr="00B566F3">
        <w:rPr>
          <w:rFonts w:ascii="Cambria" w:hAnsi="Cambria"/>
          <w:color w:val="000000" w:themeColor="text1"/>
          <w:sz w:val="22"/>
          <w:szCs w:val="22"/>
          <w:vertAlign w:val="superscript"/>
        </w:rPr>
        <w:footnoteReference w:id="1"/>
      </w:r>
      <w:r w:rsidR="00917DF3" w:rsidRPr="00B566F3">
        <w:rPr>
          <w:rFonts w:ascii="Cambria" w:hAnsi="Cambria"/>
          <w:color w:val="000000" w:themeColor="text1"/>
          <w:sz w:val="22"/>
          <w:szCs w:val="22"/>
        </w:rPr>
        <w:t xml:space="preserve"> With the stated intention of controlling </w:t>
      </w:r>
      <w:r w:rsidR="00917DF3" w:rsidRPr="00B566F3">
        <w:rPr>
          <w:rFonts w:ascii="Cambria" w:hAnsi="Cambria"/>
          <w:color w:val="000000" w:themeColor="text1"/>
          <w:sz w:val="22"/>
          <w:szCs w:val="22"/>
        </w:rPr>
        <w:lastRenderedPageBreak/>
        <w:t xml:space="preserve">the spread of the virus and protecting lives, States </w:t>
      </w:r>
      <w:r w:rsidRPr="00B566F3">
        <w:rPr>
          <w:rFonts w:ascii="Cambria" w:hAnsi="Cambria"/>
          <w:color w:val="000000" w:themeColor="text1"/>
          <w:sz w:val="22"/>
          <w:szCs w:val="22"/>
        </w:rPr>
        <w:t xml:space="preserve">have </w:t>
      </w:r>
      <w:r w:rsidR="00917DF3" w:rsidRPr="00B566F3">
        <w:rPr>
          <w:rFonts w:ascii="Cambria" w:hAnsi="Cambria"/>
          <w:color w:val="000000" w:themeColor="text1"/>
          <w:sz w:val="22"/>
          <w:szCs w:val="22"/>
        </w:rPr>
        <w:t xml:space="preserve">implemented unprecedented restrictions on movement both within and between countries (“lockdowns”) </w:t>
      </w:r>
      <w:r w:rsidRPr="00B566F3">
        <w:rPr>
          <w:rFonts w:ascii="Cambria" w:hAnsi="Cambria"/>
          <w:color w:val="000000" w:themeColor="text1"/>
          <w:sz w:val="22"/>
          <w:szCs w:val="22"/>
        </w:rPr>
        <w:t>or adopted</w:t>
      </w:r>
      <w:r w:rsidR="00917DF3" w:rsidRPr="00B566F3">
        <w:rPr>
          <w:rFonts w:ascii="Cambria" w:hAnsi="Cambria"/>
          <w:color w:val="000000" w:themeColor="text1"/>
          <w:sz w:val="22"/>
          <w:szCs w:val="22"/>
        </w:rPr>
        <w:t xml:space="preserve"> other emergency measures, </w:t>
      </w:r>
      <w:r w:rsidR="00F750B0" w:rsidRPr="00B566F3">
        <w:rPr>
          <w:rFonts w:ascii="Cambria" w:hAnsi="Cambria"/>
          <w:color w:val="000000" w:themeColor="text1"/>
          <w:sz w:val="22"/>
          <w:szCs w:val="22"/>
        </w:rPr>
        <w:t xml:space="preserve">such as </w:t>
      </w:r>
      <w:r w:rsidRPr="00B566F3">
        <w:rPr>
          <w:rFonts w:ascii="Cambria" w:hAnsi="Cambria"/>
          <w:color w:val="000000" w:themeColor="text1"/>
          <w:sz w:val="22"/>
          <w:szCs w:val="22"/>
        </w:rPr>
        <w:t xml:space="preserve">closing </w:t>
      </w:r>
      <w:r w:rsidR="00917DF3" w:rsidRPr="00B566F3">
        <w:rPr>
          <w:rFonts w:ascii="Cambria" w:hAnsi="Cambria"/>
          <w:color w:val="000000" w:themeColor="text1"/>
          <w:sz w:val="22"/>
          <w:szCs w:val="22"/>
        </w:rPr>
        <w:t>school</w:t>
      </w:r>
      <w:r w:rsidRPr="00B566F3">
        <w:rPr>
          <w:rFonts w:ascii="Cambria" w:hAnsi="Cambria"/>
          <w:color w:val="000000" w:themeColor="text1"/>
          <w:sz w:val="22"/>
          <w:szCs w:val="22"/>
        </w:rPr>
        <w:t>s</w:t>
      </w:r>
      <w:r w:rsidR="00917DF3" w:rsidRPr="00B566F3">
        <w:rPr>
          <w:rFonts w:ascii="Cambria" w:hAnsi="Cambria"/>
          <w:color w:val="000000" w:themeColor="text1"/>
          <w:sz w:val="22"/>
          <w:szCs w:val="22"/>
        </w:rPr>
        <w:t xml:space="preserve"> and business</w:t>
      </w:r>
      <w:r w:rsidRPr="00B566F3">
        <w:rPr>
          <w:rFonts w:ascii="Cambria" w:hAnsi="Cambria"/>
          <w:color w:val="000000" w:themeColor="text1"/>
          <w:sz w:val="22"/>
          <w:szCs w:val="22"/>
        </w:rPr>
        <w:t>es</w:t>
      </w:r>
      <w:r w:rsidR="00917DF3" w:rsidRPr="00B566F3">
        <w:rPr>
          <w:rFonts w:ascii="Cambria" w:hAnsi="Cambria"/>
          <w:color w:val="000000" w:themeColor="text1"/>
          <w:sz w:val="22"/>
          <w:szCs w:val="22"/>
        </w:rPr>
        <w:t>, with significant and wide-ranging impacts on societies and economies.</w:t>
      </w:r>
    </w:p>
    <w:p w14:paraId="6321D687" w14:textId="77777777" w:rsidR="00917DF3" w:rsidRPr="00B566F3" w:rsidRDefault="00917DF3" w:rsidP="00D96EDE">
      <w:pPr>
        <w:pStyle w:val="ListParagraph"/>
        <w:tabs>
          <w:tab w:val="left" w:pos="567"/>
        </w:tabs>
        <w:ind w:left="567" w:hanging="567"/>
        <w:rPr>
          <w:rFonts w:ascii="Cambria" w:hAnsi="Cambria"/>
          <w:sz w:val="22"/>
          <w:szCs w:val="22"/>
        </w:rPr>
      </w:pPr>
    </w:p>
    <w:p w14:paraId="1EBC02E8" w14:textId="280A7023" w:rsidR="00B6348E"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As these measures have taken effect, it has become clear that, while the virus is indiscriminate, the impacts of state responses are not</w:t>
      </w:r>
      <w:r w:rsidRPr="00B566F3">
        <w:rPr>
          <w:rFonts w:ascii="Cambria" w:hAnsi="Cambria"/>
          <w:b/>
          <w:bCs/>
          <w:sz w:val="22"/>
          <w:szCs w:val="22"/>
        </w:rPr>
        <w:t>.</w:t>
      </w:r>
      <w:r w:rsidRPr="00B566F3">
        <w:rPr>
          <w:rFonts w:ascii="Cambria" w:hAnsi="Cambria"/>
          <w:sz w:val="22"/>
          <w:szCs w:val="22"/>
        </w:rPr>
        <w:t xml:space="preserve"> In </w:t>
      </w:r>
      <w:r w:rsidR="00F750B0" w:rsidRPr="00B566F3">
        <w:rPr>
          <w:rFonts w:ascii="Cambria" w:hAnsi="Cambria"/>
          <w:sz w:val="22"/>
          <w:szCs w:val="22"/>
        </w:rPr>
        <w:t xml:space="preserve">May 2020, the Equal Rights Trust brought together </w:t>
      </w:r>
      <w:r w:rsidR="00F750B0" w:rsidRPr="00B566F3">
        <w:rPr>
          <w:rFonts w:ascii="Cambria" w:hAnsi="Cambria"/>
          <w:sz w:val="22"/>
          <w:szCs w:val="22"/>
        </w:rPr>
        <w:lastRenderedPageBreak/>
        <w:t>an unprecedented coalition of leading global equality organisations to issue a joint Call to Action to express our shared grave concern that States were failing to meet their binding legal obligations to ensure non-discrimination in the enjoyment of human rights for all in their response to the pandemic. We noted that “</w:t>
      </w:r>
      <w:r w:rsidRPr="00B566F3">
        <w:rPr>
          <w:rFonts w:ascii="Cambria" w:hAnsi="Cambria"/>
          <w:sz w:val="22"/>
          <w:szCs w:val="22"/>
        </w:rPr>
        <w:t xml:space="preserve">there is clear and growing evidence that state responses in delivery of healthcare, in the implementation of </w:t>
      </w:r>
      <w:r w:rsidRPr="00B566F3">
        <w:rPr>
          <w:rFonts w:ascii="Cambria" w:hAnsi="Cambria"/>
          <w:sz w:val="22"/>
          <w:szCs w:val="22"/>
        </w:rPr>
        <w:lastRenderedPageBreak/>
        <w:t>lockdown and other emergency measures and in policies designed to mitigate economic impacts are having disproportionate and discriminatory impacts</w:t>
      </w:r>
      <w:r w:rsidR="00F750B0" w:rsidRPr="00B566F3">
        <w:rPr>
          <w:rFonts w:ascii="Cambria" w:hAnsi="Cambria"/>
          <w:sz w:val="22"/>
          <w:szCs w:val="22"/>
        </w:rPr>
        <w:t>”</w:t>
      </w:r>
      <w:r w:rsidRPr="00B566F3">
        <w:rPr>
          <w:rFonts w:ascii="Cambria" w:hAnsi="Cambria"/>
          <w:sz w:val="22"/>
          <w:szCs w:val="22"/>
        </w:rPr>
        <w:t>.</w:t>
      </w:r>
      <w:r w:rsidRPr="00B566F3">
        <w:rPr>
          <w:rFonts w:ascii="Cambria" w:hAnsi="Cambria"/>
          <w:sz w:val="22"/>
          <w:szCs w:val="22"/>
          <w:vertAlign w:val="superscript"/>
        </w:rPr>
        <w:footnoteReference w:id="2"/>
      </w:r>
      <w:r w:rsidRPr="00B566F3">
        <w:rPr>
          <w:rFonts w:ascii="Cambria" w:hAnsi="Cambria"/>
          <w:sz w:val="22"/>
          <w:szCs w:val="22"/>
        </w:rPr>
        <w:t xml:space="preserve"> </w:t>
      </w:r>
    </w:p>
    <w:p w14:paraId="2DC84BAF" w14:textId="77777777" w:rsidR="00B6348E" w:rsidRPr="00B566F3" w:rsidRDefault="00B6348E" w:rsidP="00D96EDE">
      <w:pPr>
        <w:pStyle w:val="ListParagraph"/>
        <w:tabs>
          <w:tab w:val="left" w:pos="567"/>
        </w:tabs>
        <w:ind w:left="567" w:hanging="567"/>
        <w:rPr>
          <w:rFonts w:ascii="Cambria" w:hAnsi="Cambria"/>
          <w:sz w:val="22"/>
          <w:szCs w:val="22"/>
        </w:rPr>
      </w:pPr>
    </w:p>
    <w:p w14:paraId="5C62A167" w14:textId="337CBC31" w:rsidR="00955E92"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lastRenderedPageBreak/>
        <w:t xml:space="preserve">These effects are being experienced by all groups exposed to discrimination, including, but not limited to, older persons, children, persons with disabilities, women, ethnic and religious minorities and indigenous peoples, LGBTI persons, persons living with HIV and AIDS, and migrants, refugees and stateless persons. They are impacting upon the enjoyment of rights ranging from freedom of movement to access to education and from access to information to an adequate standard of living, together, of course, with the rights to life and to health. Moreover, </w:t>
      </w:r>
      <w:r w:rsidR="00B6348E" w:rsidRPr="00B566F3">
        <w:rPr>
          <w:rFonts w:ascii="Cambria" w:hAnsi="Cambria"/>
          <w:sz w:val="22"/>
          <w:szCs w:val="22"/>
        </w:rPr>
        <w:t xml:space="preserve">as states emerge from lockdown or move into the next phase of </w:t>
      </w:r>
      <w:r w:rsidR="00B6348E" w:rsidRPr="00B566F3">
        <w:rPr>
          <w:rFonts w:ascii="Cambria" w:hAnsi="Cambria"/>
          <w:sz w:val="22"/>
          <w:szCs w:val="22"/>
        </w:rPr>
        <w:lastRenderedPageBreak/>
        <w:t>their response, it is clear that new patterns of discrimination will emerg</w:t>
      </w:r>
      <w:r w:rsidR="00955E92" w:rsidRPr="00B566F3">
        <w:rPr>
          <w:rFonts w:ascii="Cambria" w:hAnsi="Cambria"/>
          <w:sz w:val="22"/>
          <w:szCs w:val="22"/>
        </w:rPr>
        <w:t>e</w:t>
      </w:r>
      <w:r w:rsidR="00B6348E" w:rsidRPr="00B566F3">
        <w:rPr>
          <w:rFonts w:ascii="Cambria" w:hAnsi="Cambria"/>
          <w:sz w:val="22"/>
          <w:szCs w:val="22"/>
        </w:rPr>
        <w:t>.</w:t>
      </w:r>
      <w:r w:rsidR="00B6348E" w:rsidRPr="00B566F3">
        <w:rPr>
          <w:rFonts w:ascii="Cambria" w:hAnsi="Cambria"/>
        </w:rPr>
        <w:t xml:space="preserve"> </w:t>
      </w:r>
    </w:p>
    <w:p w14:paraId="376E9A68" w14:textId="77777777" w:rsidR="009524E8" w:rsidRPr="00B566F3" w:rsidRDefault="009524E8" w:rsidP="00D96EDE">
      <w:pPr>
        <w:pStyle w:val="ListParagraph"/>
        <w:tabs>
          <w:tab w:val="left" w:pos="567"/>
        </w:tabs>
        <w:ind w:left="567" w:hanging="567"/>
        <w:rPr>
          <w:rFonts w:ascii="Cambria" w:hAnsi="Cambria"/>
          <w:sz w:val="22"/>
          <w:szCs w:val="22"/>
        </w:rPr>
      </w:pPr>
    </w:p>
    <w:p w14:paraId="245F3C50" w14:textId="77777777" w:rsidR="00D9701B" w:rsidRPr="00B566F3" w:rsidRDefault="009524E8"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In this submission, we provide selected evidence of discriminatory impacts of state responses to the pandemic</w:t>
      </w:r>
      <w:r w:rsidR="00D9701B" w:rsidRPr="00B566F3">
        <w:rPr>
          <w:rFonts w:ascii="Cambria" w:hAnsi="Cambria"/>
          <w:sz w:val="22"/>
          <w:szCs w:val="22"/>
        </w:rPr>
        <w:t>. We also</w:t>
      </w:r>
      <w:r w:rsidRPr="00B566F3">
        <w:rPr>
          <w:rFonts w:ascii="Cambria" w:hAnsi="Cambria"/>
          <w:sz w:val="22"/>
          <w:szCs w:val="22"/>
        </w:rPr>
        <w:t xml:space="preserve"> highlight a number of areas in which new patterns of discrimination are emergent, or where discriminatory impacts </w:t>
      </w:r>
      <w:r w:rsidR="00D9701B" w:rsidRPr="00B566F3">
        <w:rPr>
          <w:rFonts w:ascii="Cambria" w:hAnsi="Cambria"/>
          <w:sz w:val="22"/>
          <w:szCs w:val="22"/>
        </w:rPr>
        <w:t xml:space="preserve">of proposed policies for the next phase of the pandemic </w:t>
      </w:r>
      <w:r w:rsidRPr="00B566F3">
        <w:rPr>
          <w:rFonts w:ascii="Cambria" w:hAnsi="Cambria"/>
          <w:sz w:val="22"/>
          <w:szCs w:val="22"/>
        </w:rPr>
        <w:t xml:space="preserve">can be anticipated. Our aim is not to be comprehensive, but rather to illustrate the </w:t>
      </w:r>
      <w:r w:rsidR="00D9701B" w:rsidRPr="00B566F3">
        <w:rPr>
          <w:rFonts w:ascii="Cambria" w:hAnsi="Cambria"/>
          <w:sz w:val="22"/>
          <w:szCs w:val="22"/>
        </w:rPr>
        <w:t xml:space="preserve">wide range of actual and potential discriminatory impacts and, in so doing, to demonstrate the need for states to take effective </w:t>
      </w:r>
      <w:r w:rsidR="00D9701B" w:rsidRPr="00B566F3">
        <w:rPr>
          <w:rFonts w:ascii="Cambria" w:hAnsi="Cambria"/>
          <w:sz w:val="22"/>
          <w:szCs w:val="22"/>
        </w:rPr>
        <w:lastRenderedPageBreak/>
        <w:t xml:space="preserve">measures to identify and eliminate these impacts, if they are to fulfil their non-discrimination obligations under international law. </w:t>
      </w:r>
    </w:p>
    <w:p w14:paraId="74998168" w14:textId="77777777" w:rsidR="00D9701B" w:rsidRPr="00B566F3" w:rsidRDefault="00D9701B" w:rsidP="00D96EDE">
      <w:pPr>
        <w:pStyle w:val="ListParagraph"/>
        <w:tabs>
          <w:tab w:val="left" w:pos="567"/>
        </w:tabs>
        <w:ind w:left="567" w:hanging="567"/>
        <w:rPr>
          <w:rFonts w:ascii="Cambria" w:hAnsi="Cambria"/>
          <w:sz w:val="22"/>
          <w:szCs w:val="22"/>
          <w:u w:val="single"/>
        </w:rPr>
      </w:pPr>
    </w:p>
    <w:p w14:paraId="77CDF2A2" w14:textId="6FC53044" w:rsidR="009524E8" w:rsidRPr="00B566F3" w:rsidRDefault="00D9701B" w:rsidP="00D96EDE">
      <w:pPr>
        <w:numPr>
          <w:ilvl w:val="0"/>
          <w:numId w:val="1"/>
        </w:numPr>
        <w:tabs>
          <w:tab w:val="left" w:pos="567"/>
        </w:tabs>
        <w:snapToGrid w:val="0"/>
        <w:contextualSpacing/>
        <w:jc w:val="both"/>
        <w:rPr>
          <w:rFonts w:ascii="Cambria" w:hAnsi="Cambria"/>
          <w:sz w:val="22"/>
          <w:szCs w:val="22"/>
          <w:u w:val="single"/>
        </w:rPr>
      </w:pPr>
      <w:r w:rsidRPr="00B566F3">
        <w:rPr>
          <w:rFonts w:ascii="Cambria" w:hAnsi="Cambria"/>
          <w:sz w:val="22"/>
          <w:szCs w:val="22"/>
          <w:u w:val="single"/>
        </w:rPr>
        <w:t>We</w:t>
      </w:r>
      <w:r w:rsidR="009524E8" w:rsidRPr="00B566F3">
        <w:rPr>
          <w:rFonts w:ascii="Cambria" w:hAnsi="Cambria"/>
          <w:sz w:val="22"/>
          <w:szCs w:val="22"/>
          <w:u w:val="single"/>
        </w:rPr>
        <w:t xml:space="preserve"> urge the Special Rapporteurs to </w:t>
      </w:r>
      <w:r w:rsidRPr="00B566F3">
        <w:rPr>
          <w:rFonts w:ascii="Cambria" w:hAnsi="Cambria"/>
          <w:sz w:val="22"/>
          <w:szCs w:val="22"/>
          <w:u w:val="single"/>
        </w:rPr>
        <w:t xml:space="preserve">join us in </w:t>
      </w:r>
      <w:r w:rsidR="009524E8" w:rsidRPr="00B566F3">
        <w:rPr>
          <w:rFonts w:ascii="Cambria" w:hAnsi="Cambria"/>
          <w:sz w:val="22"/>
          <w:szCs w:val="22"/>
          <w:u w:val="single"/>
        </w:rPr>
        <w:t>recommend</w:t>
      </w:r>
      <w:r w:rsidRPr="00B566F3">
        <w:rPr>
          <w:rFonts w:ascii="Cambria" w:hAnsi="Cambria"/>
          <w:sz w:val="22"/>
          <w:szCs w:val="22"/>
          <w:u w:val="single"/>
        </w:rPr>
        <w:t>ing</w:t>
      </w:r>
      <w:r w:rsidR="009524E8" w:rsidRPr="00B566F3">
        <w:rPr>
          <w:rFonts w:ascii="Cambria" w:hAnsi="Cambria"/>
          <w:sz w:val="22"/>
          <w:szCs w:val="22"/>
          <w:u w:val="single"/>
        </w:rPr>
        <w:t xml:space="preserve"> that states incorporate an equality impact assessment as an integral element of their ongoing public health, economic, and social policy responses to the crisis. It is only </w:t>
      </w:r>
      <w:r w:rsidRPr="00B566F3">
        <w:rPr>
          <w:rFonts w:ascii="Cambria" w:hAnsi="Cambria"/>
          <w:sz w:val="22"/>
          <w:szCs w:val="22"/>
          <w:u w:val="single"/>
        </w:rPr>
        <w:t xml:space="preserve">through integrating equality impact assessment into </w:t>
      </w:r>
      <w:r w:rsidR="009524E8" w:rsidRPr="00B566F3">
        <w:rPr>
          <w:rFonts w:ascii="Cambria" w:hAnsi="Cambria"/>
          <w:sz w:val="22"/>
          <w:szCs w:val="22"/>
          <w:u w:val="single"/>
        </w:rPr>
        <w:t>their policy responses that States can effectively discharge their binding non-discrimination obligations under international law.</w:t>
      </w:r>
    </w:p>
    <w:p w14:paraId="0B155D21" w14:textId="39E28975" w:rsidR="00917DF3" w:rsidRPr="00B566F3" w:rsidRDefault="00917DF3" w:rsidP="00D96EDE">
      <w:pPr>
        <w:tabs>
          <w:tab w:val="left" w:pos="567"/>
        </w:tabs>
        <w:snapToGrid w:val="0"/>
        <w:ind w:left="567" w:hanging="567"/>
        <w:contextualSpacing/>
        <w:jc w:val="both"/>
        <w:rPr>
          <w:rFonts w:ascii="Cambria" w:hAnsi="Cambria"/>
          <w:sz w:val="22"/>
          <w:szCs w:val="22"/>
        </w:rPr>
      </w:pPr>
    </w:p>
    <w:p w14:paraId="42C03115" w14:textId="7173E118" w:rsidR="00B6348E" w:rsidRPr="00B566F3" w:rsidRDefault="00B6348E" w:rsidP="00D96EDE">
      <w:pPr>
        <w:tabs>
          <w:tab w:val="left" w:pos="567"/>
        </w:tabs>
        <w:snapToGrid w:val="0"/>
        <w:ind w:left="567" w:hanging="567"/>
        <w:contextualSpacing/>
        <w:jc w:val="both"/>
        <w:rPr>
          <w:rFonts w:ascii="Cambria" w:hAnsi="Cambria"/>
          <w:b/>
          <w:bCs/>
          <w:sz w:val="22"/>
          <w:szCs w:val="22"/>
          <w:u w:val="single"/>
        </w:rPr>
      </w:pPr>
      <w:r w:rsidRPr="00B566F3">
        <w:rPr>
          <w:rFonts w:ascii="Cambria" w:hAnsi="Cambria"/>
          <w:b/>
          <w:bCs/>
          <w:sz w:val="22"/>
          <w:szCs w:val="22"/>
          <w:u w:val="single"/>
        </w:rPr>
        <w:t>States non-discrimination obligations under international human rights law</w:t>
      </w:r>
    </w:p>
    <w:p w14:paraId="2E292EC1" w14:textId="77777777" w:rsidR="00B6348E" w:rsidRPr="00B566F3" w:rsidRDefault="00B6348E" w:rsidP="00D96EDE">
      <w:pPr>
        <w:tabs>
          <w:tab w:val="left" w:pos="567"/>
        </w:tabs>
        <w:snapToGrid w:val="0"/>
        <w:ind w:left="567" w:hanging="567"/>
        <w:contextualSpacing/>
        <w:jc w:val="both"/>
        <w:rPr>
          <w:rFonts w:ascii="Cambria" w:hAnsi="Cambria"/>
          <w:sz w:val="22"/>
          <w:szCs w:val="22"/>
        </w:rPr>
      </w:pPr>
    </w:p>
    <w:p w14:paraId="7C246B89" w14:textId="1434CAD8" w:rsidR="00F750B0"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These discriminatory impacts are occurring despite the fact that almost every State in the world has accepted </w:t>
      </w:r>
      <w:r w:rsidR="003F491C" w:rsidRPr="00B566F3">
        <w:rPr>
          <w:rFonts w:ascii="Cambria" w:hAnsi="Cambria"/>
          <w:sz w:val="22"/>
          <w:szCs w:val="22"/>
        </w:rPr>
        <w:t>non-discrimination obligations</w:t>
      </w:r>
      <w:r w:rsidR="00F750B0" w:rsidRPr="00B566F3">
        <w:rPr>
          <w:rFonts w:ascii="Cambria" w:hAnsi="Cambria"/>
          <w:sz w:val="22"/>
          <w:szCs w:val="22"/>
          <w:lang w:val="en-US"/>
        </w:rPr>
        <w:t>,</w:t>
      </w:r>
      <w:r w:rsidR="003F491C" w:rsidRPr="00B566F3">
        <w:rPr>
          <w:rFonts w:ascii="Cambria" w:hAnsi="Cambria"/>
          <w:sz w:val="22"/>
          <w:szCs w:val="22"/>
        </w:rPr>
        <w:t xml:space="preserve"> through </w:t>
      </w:r>
      <w:r w:rsidR="00AC2CB0" w:rsidRPr="00B566F3">
        <w:rPr>
          <w:rFonts w:ascii="Cambria" w:hAnsi="Cambria"/>
          <w:i/>
          <w:iCs/>
          <w:sz w:val="22"/>
          <w:szCs w:val="22"/>
        </w:rPr>
        <w:t xml:space="preserve">inter alia </w:t>
      </w:r>
      <w:r w:rsidR="003F491C" w:rsidRPr="00B566F3">
        <w:rPr>
          <w:rFonts w:ascii="Cambria" w:hAnsi="Cambria"/>
          <w:sz w:val="22"/>
          <w:szCs w:val="22"/>
        </w:rPr>
        <w:t xml:space="preserve">ratification of </w:t>
      </w:r>
      <w:r w:rsidR="00893FEC" w:rsidRPr="00B566F3">
        <w:rPr>
          <w:rFonts w:ascii="Cambria" w:hAnsi="Cambria"/>
          <w:sz w:val="22"/>
          <w:szCs w:val="22"/>
        </w:rPr>
        <w:t xml:space="preserve">the International Covenant on Civil and Political Rights (ICCPR) and the International Covenant on Economic, Social and Cultural Rights </w:t>
      </w:r>
      <w:r w:rsidR="00893FEC" w:rsidRPr="00B566F3">
        <w:rPr>
          <w:rFonts w:ascii="Cambria" w:hAnsi="Cambria"/>
          <w:sz w:val="22"/>
          <w:szCs w:val="22"/>
        </w:rPr>
        <w:lastRenderedPageBreak/>
        <w:t>(ICESCR)</w:t>
      </w:r>
      <w:r w:rsidR="003F491C" w:rsidRPr="00B566F3">
        <w:rPr>
          <w:rFonts w:ascii="Cambria" w:hAnsi="Cambria"/>
          <w:sz w:val="22"/>
          <w:szCs w:val="22"/>
        </w:rPr>
        <w:t>.</w:t>
      </w:r>
      <w:r w:rsidR="00893FEC" w:rsidRPr="00B566F3">
        <w:rPr>
          <w:rStyle w:val="FootnoteReference"/>
          <w:rFonts w:ascii="Cambria" w:hAnsi="Cambria"/>
          <w:sz w:val="22"/>
          <w:szCs w:val="22"/>
        </w:rPr>
        <w:footnoteReference w:id="3"/>
      </w:r>
      <w:r w:rsidR="003F491C" w:rsidRPr="00B566F3">
        <w:rPr>
          <w:rFonts w:ascii="Cambria" w:hAnsi="Cambria"/>
          <w:sz w:val="22"/>
          <w:szCs w:val="22"/>
        </w:rPr>
        <w:t xml:space="preserve"> </w:t>
      </w:r>
      <w:r w:rsidR="00AC2CB0" w:rsidRPr="00B566F3">
        <w:rPr>
          <w:rFonts w:ascii="Cambria" w:hAnsi="Cambria"/>
          <w:sz w:val="22"/>
          <w:szCs w:val="22"/>
          <w:lang w:val="en-US"/>
        </w:rPr>
        <w:t xml:space="preserve">While many States have also accepted obligations to guarantee the rights to equality and non-discrimination under </w:t>
      </w:r>
      <w:r w:rsidR="00AC2CB0" w:rsidRPr="00B566F3">
        <w:rPr>
          <w:rFonts w:ascii="Cambria" w:hAnsi="Cambria"/>
          <w:sz w:val="22"/>
          <w:szCs w:val="22"/>
          <w:lang w:val="en-US"/>
        </w:rPr>
        <w:lastRenderedPageBreak/>
        <w:t>instruments to eliminate discrimination against women, discrimination on the basis of race and discrimination against persons with disabilities, w</w:t>
      </w:r>
      <w:r w:rsidR="003F491C" w:rsidRPr="00B566F3">
        <w:rPr>
          <w:rFonts w:ascii="Cambria" w:hAnsi="Cambria"/>
          <w:sz w:val="22"/>
          <w:szCs w:val="22"/>
        </w:rPr>
        <w:t xml:space="preserve">e focus on these </w:t>
      </w:r>
      <w:r w:rsidR="00A01A2F" w:rsidRPr="00B566F3">
        <w:rPr>
          <w:rFonts w:ascii="Cambria" w:hAnsi="Cambria"/>
          <w:sz w:val="22"/>
          <w:szCs w:val="22"/>
        </w:rPr>
        <w:t>instruments</w:t>
      </w:r>
      <w:r w:rsidR="003F491C" w:rsidRPr="00B566F3">
        <w:rPr>
          <w:rFonts w:ascii="Cambria" w:hAnsi="Cambria"/>
          <w:sz w:val="22"/>
          <w:szCs w:val="22"/>
        </w:rPr>
        <w:t xml:space="preserve"> as they have received almost universal recognition: 173 states have ratified the ICCPR and 170 states have ratified the ICESCR.</w:t>
      </w:r>
      <w:r w:rsidR="003F491C" w:rsidRPr="00B566F3">
        <w:rPr>
          <w:rStyle w:val="FootnoteReference"/>
          <w:rFonts w:ascii="Cambria" w:hAnsi="Cambria"/>
          <w:sz w:val="22"/>
          <w:szCs w:val="22"/>
        </w:rPr>
        <w:footnoteReference w:id="4"/>
      </w:r>
      <w:r w:rsidR="003F491C" w:rsidRPr="00B566F3">
        <w:rPr>
          <w:rFonts w:ascii="Cambria" w:hAnsi="Cambria"/>
          <w:sz w:val="22"/>
          <w:szCs w:val="22"/>
        </w:rPr>
        <w:t xml:space="preserve"> </w:t>
      </w:r>
    </w:p>
    <w:p w14:paraId="1D975785" w14:textId="77777777" w:rsidR="00F750B0" w:rsidRPr="00B566F3" w:rsidRDefault="00F750B0" w:rsidP="00D96EDE">
      <w:pPr>
        <w:tabs>
          <w:tab w:val="left" w:pos="567"/>
        </w:tabs>
        <w:snapToGrid w:val="0"/>
        <w:ind w:left="567" w:hanging="567"/>
        <w:contextualSpacing/>
        <w:jc w:val="both"/>
        <w:rPr>
          <w:rFonts w:ascii="Cambria" w:hAnsi="Cambria"/>
          <w:sz w:val="22"/>
          <w:szCs w:val="22"/>
        </w:rPr>
      </w:pPr>
    </w:p>
    <w:p w14:paraId="6B59970A" w14:textId="141C1563" w:rsidR="00AC2CB0" w:rsidRPr="00B566F3" w:rsidRDefault="00AC2CB0"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States’ non-discrimination obligations under these instruments apply to all: citizen and non-citizen, irrespective of their identity, status or beliefs. </w:t>
      </w:r>
      <w:r w:rsidRPr="00B566F3">
        <w:rPr>
          <w:rFonts w:ascii="Cambria" w:hAnsi="Cambria"/>
          <w:sz w:val="22"/>
          <w:szCs w:val="22"/>
          <w:lang w:val="en-US"/>
        </w:rPr>
        <w:t>The UN Human Rights Committee has stated that the rights in the ICCPR “apply to everyone, irrespective of reciprocity, and irrespective of his or her nationality or statelessness”.</w:t>
      </w:r>
      <w:r w:rsidRPr="00B566F3">
        <w:rPr>
          <w:rStyle w:val="FootnoteReference"/>
          <w:rFonts w:ascii="Cambria" w:hAnsi="Cambria"/>
          <w:sz w:val="22"/>
          <w:szCs w:val="22"/>
        </w:rPr>
        <w:footnoteReference w:id="5"/>
      </w:r>
      <w:r w:rsidRPr="00B566F3">
        <w:rPr>
          <w:rFonts w:ascii="Cambria" w:hAnsi="Cambria"/>
          <w:sz w:val="22"/>
          <w:szCs w:val="22"/>
          <w:lang w:val="en-US"/>
        </w:rPr>
        <w:t xml:space="preserve"> The Committee on Economic, Social and Cul</w:t>
      </w:r>
      <w:r w:rsidRPr="00B566F3">
        <w:rPr>
          <w:rFonts w:ascii="Cambria" w:hAnsi="Cambria"/>
          <w:sz w:val="22"/>
          <w:szCs w:val="22"/>
          <w:lang w:val="en-US"/>
        </w:rPr>
        <w:lastRenderedPageBreak/>
        <w:t>tural Rights has clarified that the list of grounds of discrimination provided in the ICESCR (and by implication in the ICCPR) is illustrative and that, irrespective of their omission from the original text of the Covenant, States are obligated to ensure non-discrimination on grounds such as age, disability, gender identity and sexual orientation.</w:t>
      </w:r>
      <w:r w:rsidRPr="00B566F3">
        <w:rPr>
          <w:rStyle w:val="FootnoteReference"/>
          <w:rFonts w:ascii="Cambria" w:hAnsi="Cambria"/>
          <w:sz w:val="22"/>
          <w:szCs w:val="22"/>
          <w:lang w:val="en-US"/>
        </w:rPr>
        <w:footnoteReference w:id="6"/>
      </w:r>
    </w:p>
    <w:p w14:paraId="67045C2F" w14:textId="77777777" w:rsidR="00AC2CB0" w:rsidRPr="00B566F3" w:rsidRDefault="00AC2CB0" w:rsidP="00D96EDE">
      <w:pPr>
        <w:pStyle w:val="ListParagraph"/>
        <w:tabs>
          <w:tab w:val="left" w:pos="567"/>
        </w:tabs>
        <w:ind w:left="567" w:hanging="567"/>
        <w:rPr>
          <w:rFonts w:ascii="Cambria" w:hAnsi="Cambria"/>
          <w:sz w:val="22"/>
          <w:szCs w:val="22"/>
        </w:rPr>
      </w:pPr>
    </w:p>
    <w:p w14:paraId="24C82B05" w14:textId="63E56069" w:rsidR="00AC2CB0" w:rsidRPr="00B566F3" w:rsidRDefault="00A01A2F"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At a bare minimum</w:t>
      </w:r>
      <w:r w:rsidR="00AC2CB0" w:rsidRPr="00B566F3">
        <w:rPr>
          <w:rFonts w:ascii="Cambria" w:hAnsi="Cambria"/>
          <w:sz w:val="22"/>
          <w:szCs w:val="22"/>
        </w:rPr>
        <w:t>, t</w:t>
      </w:r>
      <w:r w:rsidRPr="00B566F3">
        <w:rPr>
          <w:rFonts w:ascii="Cambria" w:hAnsi="Cambria"/>
          <w:sz w:val="22"/>
          <w:szCs w:val="22"/>
        </w:rPr>
        <w:t>hese</w:t>
      </w:r>
      <w:r w:rsidR="003F491C" w:rsidRPr="00B566F3">
        <w:rPr>
          <w:rFonts w:ascii="Cambria" w:hAnsi="Cambria"/>
          <w:sz w:val="22"/>
          <w:szCs w:val="22"/>
        </w:rPr>
        <w:t xml:space="preserve"> obligations </w:t>
      </w:r>
      <w:r w:rsidRPr="00B566F3">
        <w:rPr>
          <w:rFonts w:ascii="Cambria" w:hAnsi="Cambria"/>
          <w:sz w:val="22"/>
          <w:szCs w:val="22"/>
        </w:rPr>
        <w:t xml:space="preserve">require, that </w:t>
      </w:r>
      <w:r w:rsidR="003F491C" w:rsidRPr="00B566F3">
        <w:rPr>
          <w:rFonts w:ascii="Cambria" w:hAnsi="Cambria"/>
          <w:sz w:val="22"/>
          <w:szCs w:val="22"/>
        </w:rPr>
        <w:t xml:space="preserve">the State does not discriminate in its actions, </w:t>
      </w:r>
      <w:r w:rsidR="00917DF3" w:rsidRPr="00B566F3">
        <w:rPr>
          <w:rFonts w:ascii="Cambria" w:hAnsi="Cambria"/>
          <w:sz w:val="22"/>
          <w:szCs w:val="22"/>
        </w:rPr>
        <w:t xml:space="preserve">whether through law, policy or practice. They also create a duty to provide effective protection from all forms of discrimination by private actors and to make reasonable accommodation when required. </w:t>
      </w:r>
      <w:r w:rsidR="00AC2CB0" w:rsidRPr="00B566F3">
        <w:rPr>
          <w:rFonts w:ascii="Cambria" w:hAnsi="Cambria"/>
          <w:sz w:val="22"/>
          <w:szCs w:val="22"/>
          <w:lang w:val="en-US"/>
        </w:rPr>
        <w:t xml:space="preserve">The CESCR, for example, has noted that states are required to ensure that their “constitution, laws and policy documents do not </w:t>
      </w:r>
      <w:r w:rsidR="00AC2CB0" w:rsidRPr="00B566F3">
        <w:rPr>
          <w:rFonts w:ascii="Cambria" w:hAnsi="Cambria"/>
          <w:sz w:val="22"/>
          <w:szCs w:val="22"/>
          <w:lang w:val="en-US"/>
        </w:rPr>
        <w:lastRenderedPageBreak/>
        <w:t>discriminate”, to refrain from discriminatory actions and to “take concrete, deliberate and targeted measures” to eliminate discrimination, in particular through the adoption of legislation.</w:t>
      </w:r>
      <w:r w:rsidR="00AC2CB0" w:rsidRPr="00B566F3">
        <w:rPr>
          <w:rStyle w:val="FootnoteReference"/>
          <w:rFonts w:ascii="Cambria" w:hAnsi="Cambria"/>
          <w:sz w:val="22"/>
          <w:szCs w:val="22"/>
        </w:rPr>
        <w:t xml:space="preserve"> </w:t>
      </w:r>
      <w:r w:rsidR="00AC2CB0" w:rsidRPr="00B566F3">
        <w:rPr>
          <w:rStyle w:val="FootnoteReference"/>
          <w:rFonts w:ascii="Cambria" w:hAnsi="Cambria"/>
          <w:sz w:val="22"/>
          <w:szCs w:val="22"/>
        </w:rPr>
        <w:footnoteReference w:id="7"/>
      </w:r>
      <w:r w:rsidR="00AC2CB0" w:rsidRPr="00B566F3">
        <w:rPr>
          <w:rFonts w:ascii="Cambria" w:hAnsi="Cambria"/>
          <w:sz w:val="22"/>
          <w:szCs w:val="22"/>
          <w:lang w:val="en-US"/>
        </w:rPr>
        <w:t xml:space="preserve"> </w:t>
      </w:r>
    </w:p>
    <w:p w14:paraId="2E271C7C" w14:textId="77777777" w:rsidR="00AC2CB0" w:rsidRPr="00B566F3" w:rsidRDefault="00AC2CB0" w:rsidP="00D96EDE">
      <w:pPr>
        <w:pStyle w:val="ListParagraph"/>
        <w:tabs>
          <w:tab w:val="left" w:pos="567"/>
        </w:tabs>
        <w:ind w:left="567" w:hanging="567"/>
        <w:rPr>
          <w:rFonts w:ascii="Cambria" w:hAnsi="Cambria"/>
          <w:sz w:val="22"/>
          <w:szCs w:val="22"/>
        </w:rPr>
      </w:pPr>
    </w:p>
    <w:p w14:paraId="5A765EDD" w14:textId="0AAF4C85" w:rsidR="00A01A2F" w:rsidRPr="00B566F3" w:rsidRDefault="00AC2CB0"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The CESCR has noted that non-discrimination obligations are</w:t>
      </w:r>
      <w:r w:rsidR="00917DF3" w:rsidRPr="00B566F3">
        <w:rPr>
          <w:rFonts w:ascii="Cambria" w:hAnsi="Cambria"/>
          <w:sz w:val="22"/>
          <w:szCs w:val="22"/>
        </w:rPr>
        <w:t xml:space="preserve"> “immediate and cross-cutting”.</w:t>
      </w:r>
      <w:r w:rsidR="00917DF3" w:rsidRPr="00B566F3">
        <w:rPr>
          <w:rStyle w:val="FootnoteReference"/>
          <w:rFonts w:ascii="Cambria" w:hAnsi="Cambria"/>
          <w:sz w:val="22"/>
          <w:szCs w:val="22"/>
        </w:rPr>
        <w:footnoteReference w:id="8"/>
      </w:r>
      <w:r w:rsidR="00917DF3" w:rsidRPr="00B566F3">
        <w:rPr>
          <w:rFonts w:ascii="Cambria" w:hAnsi="Cambria"/>
          <w:sz w:val="22"/>
          <w:szCs w:val="22"/>
        </w:rPr>
        <w:t xml:space="preserve"> </w:t>
      </w:r>
      <w:r w:rsidR="00D9701B" w:rsidRPr="00B566F3">
        <w:rPr>
          <w:rFonts w:ascii="Cambria" w:hAnsi="Cambria"/>
          <w:sz w:val="22"/>
          <w:szCs w:val="22"/>
        </w:rPr>
        <w:t xml:space="preserve">These obligations apply irrespective of whether the discriminatory impact is intended or </w:t>
      </w:r>
      <w:r w:rsidR="00D9701B" w:rsidRPr="00B566F3">
        <w:rPr>
          <w:rFonts w:ascii="Cambria" w:hAnsi="Cambria"/>
          <w:sz w:val="22"/>
          <w:szCs w:val="22"/>
        </w:rPr>
        <w:lastRenderedPageBreak/>
        <w:t xml:space="preserve">foreseen: as the Human Rights Committee has noted, </w:t>
      </w:r>
      <w:r w:rsidR="00761FF6" w:rsidRPr="00B566F3">
        <w:rPr>
          <w:rFonts w:ascii="Cambria" w:hAnsi="Cambria"/>
          <w:sz w:val="22"/>
          <w:szCs w:val="22"/>
        </w:rPr>
        <w:t>in order to meet their obligations</w:t>
      </w:r>
      <w:r w:rsidR="00D9701B" w:rsidRPr="00B566F3">
        <w:rPr>
          <w:rFonts w:ascii="Cambria" w:hAnsi="Cambria"/>
          <w:sz w:val="22"/>
          <w:szCs w:val="22"/>
        </w:rPr>
        <w:t xml:space="preserve"> to guarantee the enjoyment of rights without discrimination</w:t>
      </w:r>
      <w:r w:rsidR="00761FF6" w:rsidRPr="00B566F3">
        <w:rPr>
          <w:rFonts w:ascii="Cambria" w:hAnsi="Cambria"/>
          <w:sz w:val="22"/>
          <w:szCs w:val="22"/>
        </w:rPr>
        <w:t>, states are required to eliminate discrimination in both purpose and effect</w:t>
      </w:r>
      <w:r w:rsidR="00D9701B" w:rsidRPr="00B566F3">
        <w:rPr>
          <w:rFonts w:ascii="Cambria" w:hAnsi="Cambria"/>
          <w:sz w:val="22"/>
          <w:szCs w:val="22"/>
        </w:rPr>
        <w:t>.</w:t>
      </w:r>
      <w:r w:rsidR="00D9701B" w:rsidRPr="00B566F3">
        <w:rPr>
          <w:rStyle w:val="FootnoteReference"/>
          <w:rFonts w:ascii="Cambria" w:hAnsi="Cambria"/>
          <w:sz w:val="22"/>
          <w:szCs w:val="22"/>
        </w:rPr>
        <w:footnoteReference w:id="9"/>
      </w:r>
      <w:r w:rsidR="00D9701B" w:rsidRPr="00B566F3">
        <w:rPr>
          <w:rFonts w:ascii="Cambria" w:hAnsi="Cambria"/>
          <w:sz w:val="22"/>
          <w:szCs w:val="22"/>
        </w:rPr>
        <w:t xml:space="preserve"> </w:t>
      </w:r>
      <w:r w:rsidR="009524E8" w:rsidRPr="00B566F3">
        <w:rPr>
          <w:rFonts w:ascii="Cambria" w:hAnsi="Cambria"/>
          <w:sz w:val="22"/>
          <w:szCs w:val="22"/>
        </w:rPr>
        <w:t xml:space="preserve">Crucially, </w:t>
      </w:r>
      <w:r w:rsidR="00D9701B" w:rsidRPr="00B566F3">
        <w:rPr>
          <w:rFonts w:ascii="Cambria" w:hAnsi="Cambria"/>
          <w:sz w:val="22"/>
          <w:szCs w:val="22"/>
        </w:rPr>
        <w:t>t</w:t>
      </w:r>
      <w:r w:rsidR="009524E8" w:rsidRPr="00B566F3">
        <w:rPr>
          <w:rFonts w:ascii="Cambria" w:hAnsi="Cambria"/>
          <w:sz w:val="22"/>
          <w:szCs w:val="22"/>
          <w:lang w:val="en-US"/>
        </w:rPr>
        <w:t>he Committee has</w:t>
      </w:r>
      <w:r w:rsidR="00761FF6" w:rsidRPr="00B566F3">
        <w:rPr>
          <w:rFonts w:ascii="Cambria" w:hAnsi="Cambria"/>
          <w:sz w:val="22"/>
          <w:szCs w:val="22"/>
          <w:lang w:val="en-US"/>
        </w:rPr>
        <w:t xml:space="preserve"> also </w:t>
      </w:r>
      <w:r w:rsidR="009524E8" w:rsidRPr="00B566F3">
        <w:rPr>
          <w:rFonts w:ascii="Cambria" w:hAnsi="Cambria"/>
          <w:sz w:val="22"/>
          <w:szCs w:val="22"/>
          <w:lang w:val="en-US"/>
        </w:rPr>
        <w:t xml:space="preserve">stated that one of the conditions for limiting the </w:t>
      </w:r>
      <w:r w:rsidR="009524E8" w:rsidRPr="00B566F3">
        <w:rPr>
          <w:rFonts w:ascii="Cambria" w:hAnsi="Cambria"/>
          <w:sz w:val="22"/>
          <w:szCs w:val="22"/>
          <w:lang w:val="en-US"/>
        </w:rPr>
        <w:lastRenderedPageBreak/>
        <w:t>enjoyment of human rights in times of emergency is that measures taken do not discriminate.</w:t>
      </w:r>
      <w:r w:rsidR="009524E8" w:rsidRPr="00B566F3">
        <w:rPr>
          <w:rStyle w:val="FootnoteReference"/>
          <w:rFonts w:ascii="Cambria" w:hAnsi="Cambria"/>
          <w:sz w:val="22"/>
          <w:szCs w:val="22"/>
          <w:lang w:val="en-US"/>
        </w:rPr>
        <w:footnoteReference w:id="10"/>
      </w:r>
    </w:p>
    <w:p w14:paraId="109881EF" w14:textId="77777777" w:rsidR="009524E8" w:rsidRPr="00B566F3" w:rsidRDefault="009524E8" w:rsidP="00D96EDE">
      <w:pPr>
        <w:pStyle w:val="ListParagraph"/>
        <w:tabs>
          <w:tab w:val="left" w:pos="567"/>
        </w:tabs>
        <w:ind w:left="567" w:hanging="567"/>
        <w:rPr>
          <w:rFonts w:ascii="Cambria" w:hAnsi="Cambria"/>
          <w:sz w:val="22"/>
          <w:szCs w:val="22"/>
        </w:rPr>
      </w:pPr>
    </w:p>
    <w:p w14:paraId="56334FE1" w14:textId="4A242ADC" w:rsidR="00917DF3" w:rsidRPr="00B566F3" w:rsidRDefault="00917DF3" w:rsidP="00D96EDE">
      <w:pPr>
        <w:tabs>
          <w:tab w:val="left" w:pos="567"/>
        </w:tabs>
        <w:ind w:left="567" w:hanging="567"/>
        <w:rPr>
          <w:rFonts w:ascii="Cambria" w:hAnsi="Cambria"/>
          <w:b/>
          <w:bCs/>
          <w:sz w:val="22"/>
          <w:szCs w:val="22"/>
          <w:u w:val="single"/>
        </w:rPr>
      </w:pPr>
      <w:r w:rsidRPr="00B566F3">
        <w:rPr>
          <w:rFonts w:ascii="Cambria" w:hAnsi="Cambria"/>
          <w:b/>
          <w:bCs/>
          <w:sz w:val="22"/>
          <w:szCs w:val="22"/>
          <w:u w:val="single"/>
        </w:rPr>
        <w:t>Discriminatory impacts of state responses to the pandemic: an emerging picture</w:t>
      </w:r>
    </w:p>
    <w:p w14:paraId="688D2062" w14:textId="77777777" w:rsidR="00917DF3" w:rsidRPr="00B566F3" w:rsidRDefault="00917DF3" w:rsidP="00D96EDE">
      <w:pPr>
        <w:tabs>
          <w:tab w:val="left" w:pos="567"/>
        </w:tabs>
        <w:ind w:left="567" w:hanging="567"/>
        <w:rPr>
          <w:rFonts w:ascii="Cambria" w:hAnsi="Cambria"/>
          <w:b/>
          <w:bCs/>
          <w:sz w:val="22"/>
          <w:szCs w:val="22"/>
          <w:u w:val="single"/>
        </w:rPr>
      </w:pPr>
    </w:p>
    <w:p w14:paraId="220C00A3" w14:textId="2E5426F7" w:rsidR="00955E92" w:rsidRPr="00B566F3" w:rsidRDefault="00761FF6"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lastRenderedPageBreak/>
        <w:t>D</w:t>
      </w:r>
      <w:r w:rsidR="00917DF3" w:rsidRPr="00B566F3">
        <w:rPr>
          <w:rFonts w:ascii="Cambria" w:hAnsi="Cambria"/>
          <w:sz w:val="22"/>
          <w:szCs w:val="22"/>
        </w:rPr>
        <w:t xml:space="preserve">iscrimination, both direct and indirect, is at the heart of the human rights crisis engendered by state responses to the pandemic. While the full range of discriminatory impacts of state responses is not yet clear – and some apparent patterns of discrimination have yet to be verified – there is already compelling evidence of discrimination affecting various groups’ enjoyment of their human rights in different areas of life. These patterns extend across characteristics, and indeed across the intersection of characteristics. Moreover, </w:t>
      </w:r>
      <w:r w:rsidR="00955E92" w:rsidRPr="00B566F3">
        <w:rPr>
          <w:rFonts w:ascii="Cambria" w:hAnsi="Cambria"/>
          <w:sz w:val="22"/>
          <w:szCs w:val="22"/>
        </w:rPr>
        <w:t xml:space="preserve">as some states begin to end their lockdowns and others move into the next phase of </w:t>
      </w:r>
      <w:r w:rsidR="00955E92" w:rsidRPr="00B566F3">
        <w:rPr>
          <w:rFonts w:ascii="Cambria" w:hAnsi="Cambria"/>
          <w:sz w:val="22"/>
          <w:szCs w:val="22"/>
        </w:rPr>
        <w:lastRenderedPageBreak/>
        <w:t>their response</w:t>
      </w:r>
      <w:r w:rsidR="00917DF3" w:rsidRPr="00B566F3">
        <w:rPr>
          <w:rFonts w:ascii="Cambria" w:hAnsi="Cambria"/>
          <w:sz w:val="22"/>
          <w:szCs w:val="22"/>
        </w:rPr>
        <w:t xml:space="preserve">, there are credible warnings about the emerging and potential discriminatory impacts of state responses. </w:t>
      </w:r>
    </w:p>
    <w:p w14:paraId="13A762C4" w14:textId="77777777" w:rsidR="00955E92" w:rsidRPr="00B566F3" w:rsidRDefault="00955E92" w:rsidP="00D96EDE">
      <w:pPr>
        <w:tabs>
          <w:tab w:val="left" w:pos="567"/>
        </w:tabs>
        <w:snapToGrid w:val="0"/>
        <w:ind w:left="567" w:hanging="567"/>
        <w:contextualSpacing/>
        <w:jc w:val="both"/>
        <w:rPr>
          <w:rFonts w:ascii="Cambria" w:hAnsi="Cambria"/>
          <w:sz w:val="22"/>
          <w:szCs w:val="22"/>
        </w:rPr>
      </w:pPr>
    </w:p>
    <w:p w14:paraId="384C903D" w14:textId="7C03FA62" w:rsidR="00917DF3"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This section offers selected examples of evidenced and emerging impacts. </w:t>
      </w:r>
      <w:r w:rsidR="00955E92" w:rsidRPr="00B566F3">
        <w:rPr>
          <w:rFonts w:ascii="Cambria" w:hAnsi="Cambria"/>
          <w:sz w:val="22"/>
          <w:szCs w:val="22"/>
        </w:rPr>
        <w:t xml:space="preserve">We should </w:t>
      </w:r>
      <w:r w:rsidR="00761FF6" w:rsidRPr="00B566F3">
        <w:rPr>
          <w:rFonts w:ascii="Cambria" w:hAnsi="Cambria"/>
          <w:sz w:val="22"/>
          <w:szCs w:val="22"/>
        </w:rPr>
        <w:t>reiterate for</w:t>
      </w:r>
      <w:r w:rsidR="00955E92" w:rsidRPr="00B566F3">
        <w:rPr>
          <w:rFonts w:ascii="Cambria" w:hAnsi="Cambria"/>
          <w:sz w:val="22"/>
          <w:szCs w:val="22"/>
        </w:rPr>
        <w:t xml:space="preserve"> the avoidance of doubt that the examples provided here are illustrative, not </w:t>
      </w:r>
      <w:r w:rsidR="0091315F" w:rsidRPr="00B566F3">
        <w:rPr>
          <w:rFonts w:ascii="Cambria" w:hAnsi="Cambria"/>
          <w:sz w:val="22"/>
          <w:szCs w:val="22"/>
        </w:rPr>
        <w:t xml:space="preserve">comprehensive nor </w:t>
      </w:r>
      <w:r w:rsidR="00955E92" w:rsidRPr="00B566F3">
        <w:rPr>
          <w:rFonts w:ascii="Cambria" w:hAnsi="Cambria"/>
          <w:sz w:val="22"/>
          <w:szCs w:val="22"/>
        </w:rPr>
        <w:t>ex</w:t>
      </w:r>
      <w:r w:rsidR="0091315F" w:rsidRPr="00B566F3">
        <w:rPr>
          <w:rFonts w:ascii="Cambria" w:hAnsi="Cambria"/>
          <w:sz w:val="22"/>
          <w:szCs w:val="22"/>
        </w:rPr>
        <w:t xml:space="preserve">haustive. New evidence is emerging with each week, while new policy measures are having novel discriminatory effects and consequences. </w:t>
      </w:r>
      <w:r w:rsidRPr="00B566F3">
        <w:rPr>
          <w:rFonts w:ascii="Cambria" w:hAnsi="Cambria"/>
          <w:sz w:val="22"/>
          <w:szCs w:val="22"/>
        </w:rPr>
        <w:t xml:space="preserve">Many discriminatory impacts have yet to be </w:t>
      </w:r>
      <w:r w:rsidR="0091315F" w:rsidRPr="00B566F3">
        <w:rPr>
          <w:rFonts w:ascii="Cambria" w:hAnsi="Cambria"/>
          <w:sz w:val="22"/>
          <w:szCs w:val="22"/>
        </w:rPr>
        <w:t>fully documented or verified, while other discriminatory impacts are as yet only anticipated.</w:t>
      </w:r>
      <w:r w:rsidRPr="00B566F3">
        <w:rPr>
          <w:rFonts w:ascii="Cambria" w:hAnsi="Cambria"/>
          <w:sz w:val="22"/>
          <w:szCs w:val="22"/>
        </w:rPr>
        <w:t xml:space="preserve"> </w:t>
      </w:r>
      <w:r w:rsidR="0091315F" w:rsidRPr="00B566F3">
        <w:rPr>
          <w:rFonts w:ascii="Cambria" w:hAnsi="Cambria"/>
          <w:sz w:val="22"/>
          <w:szCs w:val="22"/>
        </w:rPr>
        <w:t xml:space="preserve">As such, </w:t>
      </w:r>
      <w:r w:rsidR="0091315F" w:rsidRPr="00B566F3">
        <w:rPr>
          <w:rFonts w:ascii="Cambria" w:hAnsi="Cambria"/>
          <w:sz w:val="22"/>
          <w:szCs w:val="22"/>
        </w:rPr>
        <w:lastRenderedPageBreak/>
        <w:t>these examples are provided with the purpose of demonstrating the breadth, depth and severity of the problem, and to underline the fact that it is only through proactive, pre-emptive equality impact assessment of their policy responses that states can identify and understand the actual and potential discriminatory impacts of their responses and take effective measures to eliminate these impacts.</w:t>
      </w:r>
    </w:p>
    <w:p w14:paraId="0488EA5F" w14:textId="1393E8B3" w:rsidR="00917DF3" w:rsidRPr="00B566F3" w:rsidRDefault="00917DF3" w:rsidP="00D96EDE">
      <w:pPr>
        <w:tabs>
          <w:tab w:val="left" w:pos="567"/>
        </w:tabs>
        <w:snapToGrid w:val="0"/>
        <w:ind w:left="567" w:hanging="567"/>
        <w:contextualSpacing/>
        <w:jc w:val="both"/>
        <w:rPr>
          <w:rFonts w:ascii="Cambria" w:hAnsi="Cambria"/>
          <w:sz w:val="22"/>
          <w:szCs w:val="22"/>
        </w:rPr>
      </w:pPr>
    </w:p>
    <w:p w14:paraId="014D0B15" w14:textId="77777777" w:rsidR="00917DF3" w:rsidRPr="00B566F3" w:rsidRDefault="00917DF3" w:rsidP="00D96EDE">
      <w:pPr>
        <w:pStyle w:val="ListParagraph"/>
        <w:numPr>
          <w:ilvl w:val="0"/>
          <w:numId w:val="2"/>
        </w:numPr>
        <w:tabs>
          <w:tab w:val="left" w:pos="567"/>
        </w:tabs>
        <w:ind w:left="567" w:hanging="567"/>
        <w:rPr>
          <w:rFonts w:ascii="Cambria" w:hAnsi="Cambria"/>
          <w:b/>
          <w:bCs/>
          <w:i/>
          <w:iCs/>
          <w:sz w:val="22"/>
          <w:szCs w:val="22"/>
        </w:rPr>
      </w:pPr>
      <w:bookmarkStart w:id="1" w:name="_Toc43724913"/>
      <w:r w:rsidRPr="00B566F3">
        <w:rPr>
          <w:rFonts w:ascii="Cambria" w:hAnsi="Cambria"/>
          <w:b/>
          <w:bCs/>
          <w:i/>
          <w:iCs/>
          <w:sz w:val="22"/>
          <w:szCs w:val="22"/>
        </w:rPr>
        <w:t>Evidenced impacts</w:t>
      </w:r>
    </w:p>
    <w:p w14:paraId="03AEC467" w14:textId="77777777" w:rsidR="00917DF3" w:rsidRPr="00B566F3" w:rsidRDefault="00917DF3" w:rsidP="00D96EDE">
      <w:pPr>
        <w:tabs>
          <w:tab w:val="left" w:pos="567"/>
        </w:tabs>
        <w:ind w:left="567" w:hanging="567"/>
        <w:rPr>
          <w:rFonts w:ascii="Cambria" w:hAnsi="Cambria"/>
          <w:sz w:val="22"/>
          <w:szCs w:val="22"/>
        </w:rPr>
      </w:pPr>
    </w:p>
    <w:bookmarkEnd w:id="1"/>
    <w:p w14:paraId="62B1577E" w14:textId="5815C2AF" w:rsidR="00917DF3" w:rsidRPr="00B566F3" w:rsidRDefault="00917DF3" w:rsidP="00D96EDE">
      <w:pPr>
        <w:tabs>
          <w:tab w:val="left" w:pos="567"/>
        </w:tabs>
        <w:ind w:left="567" w:hanging="567"/>
        <w:rPr>
          <w:rFonts w:ascii="Cambria" w:hAnsi="Cambria"/>
          <w:sz w:val="22"/>
          <w:szCs w:val="22"/>
          <w:u w:val="single"/>
        </w:rPr>
      </w:pPr>
      <w:r w:rsidRPr="00B566F3">
        <w:rPr>
          <w:rFonts w:ascii="Cambria" w:hAnsi="Cambria"/>
          <w:sz w:val="22"/>
          <w:szCs w:val="22"/>
          <w:u w:val="single"/>
        </w:rPr>
        <w:t>Right to health</w:t>
      </w:r>
    </w:p>
    <w:p w14:paraId="2C52D89F" w14:textId="77777777" w:rsidR="00917DF3" w:rsidRPr="00B566F3" w:rsidRDefault="00917DF3" w:rsidP="00D96EDE">
      <w:pPr>
        <w:tabs>
          <w:tab w:val="left" w:pos="567"/>
        </w:tabs>
        <w:snapToGrid w:val="0"/>
        <w:ind w:left="567" w:hanging="567"/>
        <w:contextualSpacing/>
        <w:jc w:val="both"/>
        <w:rPr>
          <w:rFonts w:ascii="Cambria" w:hAnsi="Cambria"/>
          <w:sz w:val="22"/>
          <w:szCs w:val="22"/>
        </w:rPr>
      </w:pPr>
    </w:p>
    <w:p w14:paraId="245A2A18" w14:textId="250515F7" w:rsidR="00917DF3" w:rsidRPr="00B566F3" w:rsidRDefault="00761FF6"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Lockdown and other containment strategies adopted by many States to control the spread of the virus have not being applied equally in all settings, resulting in discrimination in respect of the right to health. </w:t>
      </w:r>
      <w:r w:rsidR="00C63048" w:rsidRPr="00B566F3">
        <w:rPr>
          <w:rFonts w:ascii="Cambria" w:hAnsi="Cambria"/>
          <w:sz w:val="22"/>
          <w:szCs w:val="22"/>
        </w:rPr>
        <w:t>Early in the crisis</w:t>
      </w:r>
      <w:r w:rsidRPr="00B566F3">
        <w:rPr>
          <w:rFonts w:ascii="Cambria" w:hAnsi="Cambria"/>
          <w:sz w:val="22"/>
          <w:szCs w:val="22"/>
        </w:rPr>
        <w:t xml:space="preserve">, the UN Independent Expert on the enjoyment of all human rights by older persons </w:t>
      </w:r>
      <w:r w:rsidR="00C63048" w:rsidRPr="00B566F3">
        <w:rPr>
          <w:rFonts w:ascii="Cambria" w:hAnsi="Cambria"/>
          <w:sz w:val="22"/>
          <w:szCs w:val="22"/>
        </w:rPr>
        <w:t>noted</w:t>
      </w:r>
      <w:r w:rsidRPr="00B566F3">
        <w:rPr>
          <w:rFonts w:ascii="Cambria" w:hAnsi="Cambria"/>
          <w:sz w:val="22"/>
          <w:szCs w:val="22"/>
        </w:rPr>
        <w:t xml:space="preserve"> that "[r]eports of abandoned older persons in care </w:t>
      </w:r>
      <w:r w:rsidRPr="00B566F3">
        <w:rPr>
          <w:rFonts w:ascii="Cambria" w:hAnsi="Cambria"/>
          <w:sz w:val="22"/>
          <w:szCs w:val="22"/>
        </w:rPr>
        <w:lastRenderedPageBreak/>
        <w:t>homes or of dead corpses found in nursing homes are alarming”</w:t>
      </w:r>
      <w:r w:rsidR="00C63048" w:rsidRPr="00B566F3">
        <w:rPr>
          <w:rFonts w:ascii="Cambria" w:hAnsi="Cambria"/>
          <w:sz w:val="22"/>
          <w:szCs w:val="22"/>
        </w:rPr>
        <w:t>.</w:t>
      </w:r>
      <w:r w:rsidR="006D6594" w:rsidRPr="00B566F3">
        <w:rPr>
          <w:rStyle w:val="FootnoteReference"/>
          <w:rFonts w:ascii="Cambria" w:hAnsi="Cambria"/>
          <w:sz w:val="22"/>
          <w:szCs w:val="22"/>
        </w:rPr>
        <w:footnoteReference w:id="11"/>
      </w:r>
      <w:r w:rsidRPr="00B566F3">
        <w:rPr>
          <w:rFonts w:ascii="Cambria" w:hAnsi="Cambria"/>
          <w:sz w:val="22"/>
          <w:szCs w:val="22"/>
        </w:rPr>
        <w:t xml:space="preserve"> </w:t>
      </w:r>
      <w:r w:rsidR="00C63048" w:rsidRPr="00B566F3">
        <w:rPr>
          <w:rFonts w:ascii="Cambria" w:hAnsi="Cambria"/>
          <w:sz w:val="22"/>
          <w:szCs w:val="22"/>
        </w:rPr>
        <w:t xml:space="preserve">Conversely, the UN Special Rapporteur on the rights of persons with disabilities noted that "containment measures, such as social distancing and self-isolation, may be impossible </w:t>
      </w:r>
      <w:r w:rsidR="00C63048" w:rsidRPr="00B566F3">
        <w:rPr>
          <w:rFonts w:ascii="Cambria" w:hAnsi="Cambria"/>
          <w:sz w:val="22"/>
          <w:szCs w:val="22"/>
        </w:rPr>
        <w:lastRenderedPageBreak/>
        <w:t>for those who rely on the support of others to eat, dress and bathe".</w:t>
      </w:r>
      <w:r w:rsidR="006D6594" w:rsidRPr="00B566F3">
        <w:rPr>
          <w:rStyle w:val="FootnoteReference"/>
          <w:rFonts w:ascii="Cambria" w:hAnsi="Cambria"/>
          <w:sz w:val="22"/>
          <w:szCs w:val="22"/>
        </w:rPr>
        <w:footnoteReference w:id="12"/>
      </w:r>
      <w:r w:rsidR="00C63048" w:rsidRPr="00B566F3">
        <w:rPr>
          <w:rFonts w:ascii="Cambria" w:hAnsi="Cambria"/>
          <w:sz w:val="22"/>
          <w:szCs w:val="22"/>
        </w:rPr>
        <w:t xml:space="preserve"> Despite these warnings, the</w:t>
      </w:r>
      <w:r w:rsidRPr="00B566F3">
        <w:rPr>
          <w:rFonts w:ascii="Cambria" w:hAnsi="Cambria"/>
          <w:sz w:val="22"/>
          <w:szCs w:val="22"/>
        </w:rPr>
        <w:t xml:space="preserve">re are ongoing concerns </w:t>
      </w:r>
      <w:r w:rsidRPr="00B566F3">
        <w:rPr>
          <w:rFonts w:ascii="Cambria" w:hAnsi="Cambria"/>
          <w:sz w:val="22"/>
          <w:szCs w:val="22"/>
        </w:rPr>
        <w:lastRenderedPageBreak/>
        <w:t>that older persons and persons with disabilities living in residential care facilities may be denied medical care.</w:t>
      </w:r>
      <w:r w:rsidRPr="00B566F3">
        <w:rPr>
          <w:rStyle w:val="FootnoteReference"/>
          <w:rFonts w:ascii="Cambria" w:hAnsi="Cambria"/>
          <w:sz w:val="22"/>
          <w:szCs w:val="22"/>
        </w:rPr>
        <w:footnoteReference w:id="13"/>
      </w:r>
      <w:r w:rsidRPr="00B566F3">
        <w:rPr>
          <w:rFonts w:ascii="Cambria" w:hAnsi="Cambria"/>
          <w:sz w:val="22"/>
          <w:szCs w:val="22"/>
        </w:rPr>
        <w:t xml:space="preserve"> </w:t>
      </w:r>
      <w:r w:rsidR="002D4CA4" w:rsidRPr="00B566F3">
        <w:rPr>
          <w:rFonts w:ascii="Cambria" w:hAnsi="Cambria"/>
          <w:sz w:val="22"/>
          <w:szCs w:val="22"/>
        </w:rPr>
        <w:t>O</w:t>
      </w:r>
      <w:r w:rsidR="001C3EB8" w:rsidRPr="00B566F3">
        <w:rPr>
          <w:rFonts w:ascii="Cambria" w:hAnsi="Cambria"/>
          <w:sz w:val="22"/>
          <w:szCs w:val="22"/>
        </w:rPr>
        <w:t xml:space="preserve">lder people make up the majority of reported COVID-19 deaths, </w:t>
      </w:r>
      <w:r w:rsidR="002D4CA4" w:rsidRPr="00B566F3">
        <w:rPr>
          <w:rFonts w:ascii="Cambria" w:hAnsi="Cambria"/>
          <w:sz w:val="22"/>
          <w:szCs w:val="22"/>
        </w:rPr>
        <w:t xml:space="preserve">yet there is a </w:t>
      </w:r>
      <w:r w:rsidR="001C3EB8" w:rsidRPr="00B566F3">
        <w:rPr>
          <w:rFonts w:ascii="Cambria" w:hAnsi="Cambria"/>
          <w:sz w:val="22"/>
          <w:szCs w:val="22"/>
        </w:rPr>
        <w:t xml:space="preserve">lack of age-disaggregated </w:t>
      </w:r>
      <w:r w:rsidR="00F64C61" w:rsidRPr="00B566F3">
        <w:rPr>
          <w:rFonts w:ascii="Cambria" w:hAnsi="Cambria"/>
          <w:sz w:val="22"/>
          <w:szCs w:val="22"/>
        </w:rPr>
        <w:t xml:space="preserve">mortality data in many </w:t>
      </w:r>
      <w:r w:rsidR="00F64C61" w:rsidRPr="00B566F3">
        <w:rPr>
          <w:rFonts w:ascii="Cambria" w:hAnsi="Cambria"/>
          <w:sz w:val="22"/>
          <w:szCs w:val="22"/>
        </w:rPr>
        <w:lastRenderedPageBreak/>
        <w:t>State</w:t>
      </w:r>
      <w:r w:rsidR="002D4CA4" w:rsidRPr="00B566F3">
        <w:rPr>
          <w:rFonts w:ascii="Cambria" w:hAnsi="Cambria"/>
          <w:sz w:val="22"/>
          <w:szCs w:val="22"/>
        </w:rPr>
        <w:t xml:space="preserve">, </w:t>
      </w:r>
      <w:r w:rsidR="00F64C61" w:rsidRPr="00B566F3">
        <w:rPr>
          <w:rFonts w:ascii="Cambria" w:hAnsi="Cambria"/>
          <w:sz w:val="22"/>
          <w:szCs w:val="22"/>
        </w:rPr>
        <w:t>mea</w:t>
      </w:r>
      <w:r w:rsidR="002D4CA4" w:rsidRPr="00B566F3">
        <w:rPr>
          <w:rFonts w:ascii="Cambria" w:hAnsi="Cambria"/>
          <w:sz w:val="22"/>
          <w:szCs w:val="22"/>
        </w:rPr>
        <w:t xml:space="preserve">ning </w:t>
      </w:r>
      <w:r w:rsidR="00F64C61" w:rsidRPr="00B566F3">
        <w:rPr>
          <w:rFonts w:ascii="Cambria" w:hAnsi="Cambria"/>
          <w:sz w:val="22"/>
          <w:szCs w:val="22"/>
        </w:rPr>
        <w:t xml:space="preserve">that the true impact of the pandemic on older people may </w:t>
      </w:r>
      <w:r w:rsidRPr="00B566F3">
        <w:rPr>
          <w:rFonts w:ascii="Cambria" w:hAnsi="Cambria"/>
          <w:sz w:val="22"/>
          <w:szCs w:val="22"/>
        </w:rPr>
        <w:t>be significantly</w:t>
      </w:r>
      <w:r w:rsidR="00F64C61" w:rsidRPr="00B566F3">
        <w:rPr>
          <w:rFonts w:ascii="Cambria" w:hAnsi="Cambria"/>
          <w:sz w:val="22"/>
          <w:szCs w:val="22"/>
        </w:rPr>
        <w:t xml:space="preserve"> understated.</w:t>
      </w:r>
      <w:r w:rsidR="00F64C61" w:rsidRPr="00B566F3">
        <w:rPr>
          <w:rStyle w:val="FootnoteReference"/>
          <w:rFonts w:ascii="Cambria" w:hAnsi="Cambria"/>
          <w:sz w:val="22"/>
          <w:szCs w:val="22"/>
        </w:rPr>
        <w:footnoteReference w:id="14"/>
      </w:r>
      <w:r w:rsidR="00F64C61" w:rsidRPr="00B566F3">
        <w:rPr>
          <w:rFonts w:ascii="Cambria" w:hAnsi="Cambria"/>
          <w:sz w:val="22"/>
          <w:szCs w:val="22"/>
        </w:rPr>
        <w:t xml:space="preserve"> </w:t>
      </w:r>
    </w:p>
    <w:p w14:paraId="209F2B92" w14:textId="77777777" w:rsidR="00C63048" w:rsidRPr="00B566F3" w:rsidRDefault="00C63048" w:rsidP="00D96EDE">
      <w:pPr>
        <w:tabs>
          <w:tab w:val="left" w:pos="567"/>
        </w:tabs>
        <w:snapToGrid w:val="0"/>
        <w:ind w:left="567" w:hanging="567"/>
        <w:contextualSpacing/>
        <w:jc w:val="both"/>
        <w:rPr>
          <w:rFonts w:ascii="Cambria" w:hAnsi="Cambria"/>
          <w:sz w:val="22"/>
          <w:szCs w:val="22"/>
        </w:rPr>
      </w:pPr>
    </w:p>
    <w:p w14:paraId="2BC3609D" w14:textId="5720430B" w:rsidR="00917DF3"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The crisis has also exposed the way in which pre-existing inequalities between ethnic groups </w:t>
      </w:r>
      <w:r w:rsidR="00C63048" w:rsidRPr="00B566F3">
        <w:rPr>
          <w:rFonts w:ascii="Cambria" w:hAnsi="Cambria"/>
          <w:sz w:val="22"/>
          <w:szCs w:val="22"/>
        </w:rPr>
        <w:t xml:space="preserve">in certain states </w:t>
      </w:r>
      <w:r w:rsidRPr="00B566F3">
        <w:rPr>
          <w:rFonts w:ascii="Cambria" w:hAnsi="Cambria"/>
          <w:sz w:val="22"/>
          <w:szCs w:val="22"/>
        </w:rPr>
        <w:t xml:space="preserve">can result in discrimination in health. </w:t>
      </w:r>
      <w:r w:rsidR="00C63048" w:rsidRPr="00B566F3">
        <w:rPr>
          <w:rFonts w:ascii="Cambria" w:hAnsi="Cambria"/>
          <w:sz w:val="22"/>
          <w:szCs w:val="22"/>
        </w:rPr>
        <w:t>For example, in England, a</w:t>
      </w:r>
      <w:r w:rsidRPr="00B566F3">
        <w:rPr>
          <w:rFonts w:ascii="Cambria" w:hAnsi="Cambria"/>
          <w:sz w:val="22"/>
          <w:szCs w:val="22"/>
        </w:rPr>
        <w:t xml:space="preserve"> June </w:t>
      </w:r>
      <w:r w:rsidRPr="00B566F3">
        <w:rPr>
          <w:rFonts w:ascii="Cambria" w:hAnsi="Cambria"/>
          <w:sz w:val="22"/>
          <w:szCs w:val="22"/>
        </w:rPr>
        <w:lastRenderedPageBreak/>
        <w:t xml:space="preserve">2020 review from Public Health England found that the highest age standardised diagnosis rates of COVID-19 per 100,000 population were </w:t>
      </w:r>
      <w:r w:rsidR="00C63048" w:rsidRPr="00B566F3">
        <w:rPr>
          <w:rFonts w:ascii="Cambria" w:hAnsi="Cambria"/>
          <w:sz w:val="22"/>
          <w:szCs w:val="22"/>
        </w:rPr>
        <w:t xml:space="preserve">among </w:t>
      </w:r>
      <w:r w:rsidRPr="00B566F3">
        <w:rPr>
          <w:rFonts w:ascii="Cambria" w:hAnsi="Cambria"/>
          <w:sz w:val="22"/>
          <w:szCs w:val="22"/>
        </w:rPr>
        <w:t xml:space="preserve">people </w:t>
      </w:r>
      <w:r w:rsidR="00C63048" w:rsidRPr="00B566F3">
        <w:rPr>
          <w:rFonts w:ascii="Cambria" w:hAnsi="Cambria"/>
          <w:sz w:val="22"/>
          <w:szCs w:val="22"/>
        </w:rPr>
        <w:t>from</w:t>
      </w:r>
      <w:r w:rsidRPr="00B566F3">
        <w:rPr>
          <w:rFonts w:ascii="Cambria" w:hAnsi="Cambria"/>
          <w:sz w:val="22"/>
          <w:szCs w:val="22"/>
        </w:rPr>
        <w:t xml:space="preserve"> Black ethnic groups (486 in females and 649 in males) and the lowest were in people </w:t>
      </w:r>
      <w:r w:rsidR="00C63048" w:rsidRPr="00B566F3">
        <w:rPr>
          <w:rFonts w:ascii="Cambria" w:hAnsi="Cambria"/>
          <w:sz w:val="22"/>
          <w:szCs w:val="22"/>
        </w:rPr>
        <w:t>from</w:t>
      </w:r>
      <w:r w:rsidRPr="00B566F3">
        <w:rPr>
          <w:rFonts w:ascii="Cambria" w:hAnsi="Cambria"/>
          <w:sz w:val="22"/>
          <w:szCs w:val="22"/>
        </w:rPr>
        <w:t xml:space="preserve"> White ethnic groups (220 in females and 224 in makes).</w:t>
      </w:r>
      <w:r w:rsidRPr="00B566F3">
        <w:rPr>
          <w:rFonts w:ascii="Cambria" w:hAnsi="Cambria"/>
          <w:sz w:val="22"/>
          <w:szCs w:val="22"/>
          <w:vertAlign w:val="superscript"/>
        </w:rPr>
        <w:footnoteReference w:id="15"/>
      </w:r>
      <w:r w:rsidRPr="00B566F3">
        <w:rPr>
          <w:rFonts w:ascii="Cambria" w:hAnsi="Cambria"/>
          <w:sz w:val="22"/>
          <w:szCs w:val="22"/>
        </w:rPr>
        <w:t xml:space="preserve"> The review note</w:t>
      </w:r>
      <w:r w:rsidR="00C63048" w:rsidRPr="00B566F3">
        <w:rPr>
          <w:rFonts w:ascii="Cambria" w:hAnsi="Cambria"/>
          <w:sz w:val="22"/>
          <w:szCs w:val="22"/>
        </w:rPr>
        <w:t>d that:</w:t>
      </w:r>
    </w:p>
    <w:p w14:paraId="4DB79A2C" w14:textId="77777777" w:rsidR="00C63048" w:rsidRPr="00B566F3" w:rsidRDefault="00C63048" w:rsidP="00D96EDE">
      <w:pPr>
        <w:pStyle w:val="ListParagraph"/>
        <w:tabs>
          <w:tab w:val="left" w:pos="567"/>
        </w:tabs>
        <w:ind w:left="567" w:hanging="567"/>
        <w:rPr>
          <w:rFonts w:ascii="Cambria" w:hAnsi="Cambria"/>
          <w:sz w:val="22"/>
          <w:szCs w:val="22"/>
        </w:rPr>
      </w:pPr>
    </w:p>
    <w:p w14:paraId="015E3F01" w14:textId="7BECEE62" w:rsidR="00917DF3" w:rsidRPr="00B566F3" w:rsidRDefault="00C5228E" w:rsidP="00D96EDE">
      <w:pPr>
        <w:tabs>
          <w:tab w:val="left" w:pos="567"/>
        </w:tabs>
        <w:ind w:left="567" w:hanging="567"/>
        <w:jc w:val="both"/>
        <w:rPr>
          <w:rFonts w:ascii="Cambria" w:hAnsi="Cambria"/>
          <w:i/>
          <w:iCs/>
          <w:sz w:val="22"/>
          <w:szCs w:val="22"/>
        </w:rPr>
      </w:pPr>
      <w:r w:rsidRPr="00B566F3">
        <w:rPr>
          <w:rFonts w:ascii="Cambria" w:hAnsi="Cambria"/>
          <w:i/>
          <w:iCs/>
          <w:sz w:val="22"/>
          <w:szCs w:val="22"/>
        </w:rPr>
        <w:tab/>
      </w:r>
      <w:r w:rsidR="00917DF3" w:rsidRPr="00B566F3">
        <w:rPr>
          <w:rFonts w:ascii="Cambria" w:hAnsi="Cambria"/>
          <w:i/>
          <w:iCs/>
          <w:sz w:val="22"/>
          <w:szCs w:val="22"/>
        </w:rPr>
        <w:t>Health inequalities known to affect the BAME communities in England may be increasing the risk of transmission (overcrowded housing, reliance on transport, living in population centres) and the risk of mortality (high underlying risk of co-morbid</w:t>
      </w:r>
      <w:r w:rsidR="00917DF3" w:rsidRPr="00B566F3">
        <w:rPr>
          <w:rFonts w:ascii="Cambria" w:hAnsi="Cambria"/>
          <w:i/>
          <w:iCs/>
          <w:sz w:val="22"/>
          <w:szCs w:val="22"/>
        </w:rPr>
        <w:lastRenderedPageBreak/>
        <w:t>ities: CVD, diabetes, obesity). Furthermore, the measures to control the spread of the COVID-19 across the country may have led to further economic or housing instability.</w:t>
      </w:r>
      <w:r w:rsidR="00C63048" w:rsidRPr="00B566F3">
        <w:rPr>
          <w:rFonts w:ascii="Cambria" w:hAnsi="Cambria"/>
          <w:i/>
          <w:iCs/>
          <w:sz w:val="22"/>
          <w:szCs w:val="22"/>
          <w:vertAlign w:val="superscript"/>
        </w:rPr>
        <w:footnoteReference w:id="16"/>
      </w:r>
    </w:p>
    <w:p w14:paraId="25F3DF8F" w14:textId="77777777" w:rsidR="00917DF3" w:rsidRPr="00B566F3" w:rsidRDefault="00917DF3" w:rsidP="00D96EDE">
      <w:pPr>
        <w:tabs>
          <w:tab w:val="left" w:pos="567"/>
        </w:tabs>
        <w:ind w:left="567" w:hanging="567"/>
        <w:rPr>
          <w:rFonts w:ascii="Cambria" w:hAnsi="Cambria"/>
          <w:sz w:val="22"/>
          <w:szCs w:val="22"/>
        </w:rPr>
      </w:pPr>
    </w:p>
    <w:p w14:paraId="1B427122" w14:textId="4AA3E94B" w:rsidR="00917DF3" w:rsidRPr="00B566F3" w:rsidRDefault="00917DF3" w:rsidP="00D96EDE">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Similarly, </w:t>
      </w:r>
      <w:r w:rsidR="00C63048" w:rsidRPr="00B566F3">
        <w:rPr>
          <w:rFonts w:ascii="Cambria" w:hAnsi="Cambria"/>
          <w:sz w:val="22"/>
          <w:szCs w:val="22"/>
        </w:rPr>
        <w:t>a</w:t>
      </w:r>
      <w:r w:rsidRPr="00B566F3">
        <w:rPr>
          <w:rFonts w:ascii="Cambria" w:hAnsi="Cambria"/>
          <w:sz w:val="22"/>
          <w:szCs w:val="22"/>
        </w:rPr>
        <w:t xml:space="preserve"> </w:t>
      </w:r>
      <w:r w:rsidR="00C63048" w:rsidRPr="00B566F3">
        <w:rPr>
          <w:rFonts w:ascii="Cambria" w:hAnsi="Cambria"/>
          <w:sz w:val="22"/>
          <w:szCs w:val="22"/>
        </w:rPr>
        <w:t xml:space="preserve">June 2020 </w:t>
      </w:r>
      <w:r w:rsidRPr="00B566F3">
        <w:rPr>
          <w:rFonts w:ascii="Cambria" w:hAnsi="Cambria"/>
          <w:sz w:val="22"/>
          <w:szCs w:val="22"/>
        </w:rPr>
        <w:t>study</w:t>
      </w:r>
      <w:r w:rsidR="00C63048" w:rsidRPr="00B566F3">
        <w:rPr>
          <w:rFonts w:ascii="Cambria" w:hAnsi="Cambria"/>
          <w:sz w:val="22"/>
          <w:szCs w:val="22"/>
        </w:rPr>
        <w:t xml:space="preserve"> by the APM Research Lab in the United States of America, which</w:t>
      </w:r>
      <w:r w:rsidRPr="00B566F3">
        <w:rPr>
          <w:rFonts w:ascii="Cambria" w:hAnsi="Cambria"/>
          <w:sz w:val="22"/>
          <w:szCs w:val="22"/>
        </w:rPr>
        <w:t xml:space="preserve"> compiled mortality data for </w:t>
      </w:r>
      <w:r w:rsidRPr="00B566F3">
        <w:rPr>
          <w:rFonts w:ascii="Cambria" w:hAnsi="Cambria"/>
          <w:sz w:val="22"/>
          <w:szCs w:val="22"/>
        </w:rPr>
        <w:lastRenderedPageBreak/>
        <w:t xml:space="preserve">Washington D.C. and 43 </w:t>
      </w:r>
      <w:r w:rsidR="00C63048" w:rsidRPr="00B566F3">
        <w:rPr>
          <w:rFonts w:ascii="Cambria" w:hAnsi="Cambria"/>
          <w:sz w:val="22"/>
          <w:szCs w:val="22"/>
        </w:rPr>
        <w:t>states, found significant racial disparities</w:t>
      </w:r>
      <w:r w:rsidRPr="00B566F3">
        <w:rPr>
          <w:rFonts w:ascii="Cambria" w:hAnsi="Cambria"/>
          <w:sz w:val="22"/>
          <w:szCs w:val="22"/>
        </w:rPr>
        <w:t>.</w:t>
      </w:r>
      <w:r w:rsidRPr="00B566F3">
        <w:rPr>
          <w:rFonts w:ascii="Cambria" w:hAnsi="Cambria"/>
          <w:sz w:val="22"/>
          <w:szCs w:val="22"/>
          <w:vertAlign w:val="superscript"/>
        </w:rPr>
        <w:footnoteReference w:id="17"/>
      </w:r>
      <w:r w:rsidRPr="00B566F3">
        <w:rPr>
          <w:rFonts w:ascii="Cambria" w:hAnsi="Cambria"/>
          <w:sz w:val="22"/>
          <w:szCs w:val="22"/>
        </w:rPr>
        <w:t xml:space="preserve"> It not</w:t>
      </w:r>
      <w:r w:rsidR="00C63048" w:rsidRPr="00B566F3">
        <w:rPr>
          <w:rFonts w:ascii="Cambria" w:hAnsi="Cambria"/>
          <w:sz w:val="22"/>
          <w:szCs w:val="22"/>
        </w:rPr>
        <w:t>ed</w:t>
      </w:r>
      <w:r w:rsidRPr="00B566F3">
        <w:rPr>
          <w:rFonts w:ascii="Cambria" w:hAnsi="Cambria"/>
          <w:sz w:val="22"/>
          <w:szCs w:val="22"/>
        </w:rPr>
        <w:t xml:space="preserve"> that almost 22,000 Black people have died from COVID-19 in the US</w:t>
      </w:r>
      <w:r w:rsidR="00C63048" w:rsidRPr="00B566F3">
        <w:rPr>
          <w:rFonts w:ascii="Cambria" w:hAnsi="Cambria"/>
          <w:sz w:val="22"/>
          <w:szCs w:val="22"/>
        </w:rPr>
        <w:t>A</w:t>
      </w:r>
      <w:r w:rsidRPr="00B566F3">
        <w:rPr>
          <w:rFonts w:ascii="Cambria" w:hAnsi="Cambria"/>
          <w:sz w:val="22"/>
          <w:szCs w:val="22"/>
        </w:rPr>
        <w:t>, accounting for about a quarter of overall deaths</w:t>
      </w:r>
      <w:r w:rsidR="00C63048" w:rsidRPr="00B566F3">
        <w:rPr>
          <w:rFonts w:ascii="Cambria" w:hAnsi="Cambria"/>
          <w:sz w:val="22"/>
          <w:szCs w:val="22"/>
        </w:rPr>
        <w:t>, despite const</w:t>
      </w:r>
      <w:r w:rsidR="00186ADE" w:rsidRPr="00B566F3">
        <w:rPr>
          <w:rFonts w:ascii="Cambria" w:hAnsi="Cambria"/>
          <w:sz w:val="22"/>
          <w:szCs w:val="22"/>
        </w:rPr>
        <w:t>itutin</w:t>
      </w:r>
      <w:r w:rsidRPr="00B566F3">
        <w:rPr>
          <w:rFonts w:ascii="Cambria" w:hAnsi="Cambria"/>
          <w:sz w:val="22"/>
          <w:szCs w:val="22"/>
        </w:rPr>
        <w:t xml:space="preserve">g </w:t>
      </w:r>
      <w:r w:rsidR="00C63048" w:rsidRPr="00B566F3">
        <w:rPr>
          <w:rFonts w:ascii="Cambria" w:hAnsi="Cambria"/>
          <w:sz w:val="22"/>
          <w:szCs w:val="22"/>
        </w:rPr>
        <w:t>only approximately</w:t>
      </w:r>
      <w:r w:rsidRPr="00B566F3">
        <w:rPr>
          <w:rFonts w:ascii="Cambria" w:hAnsi="Cambria"/>
          <w:sz w:val="22"/>
          <w:szCs w:val="22"/>
        </w:rPr>
        <w:t xml:space="preserve"> 13</w:t>
      </w:r>
      <w:r w:rsidR="00186ADE" w:rsidRPr="00B566F3">
        <w:rPr>
          <w:rFonts w:ascii="Cambria" w:hAnsi="Cambria"/>
          <w:sz w:val="22"/>
          <w:szCs w:val="22"/>
        </w:rPr>
        <w:t>%</w:t>
      </w:r>
      <w:r w:rsidRPr="00B566F3">
        <w:rPr>
          <w:rFonts w:ascii="Cambria" w:hAnsi="Cambria"/>
          <w:sz w:val="22"/>
          <w:szCs w:val="22"/>
        </w:rPr>
        <w:t xml:space="preserve"> of the population. </w:t>
      </w:r>
      <w:r w:rsidR="00314F38" w:rsidRPr="00B566F3">
        <w:rPr>
          <w:rFonts w:ascii="Cambria" w:hAnsi="Cambria"/>
          <w:sz w:val="22"/>
          <w:szCs w:val="22"/>
        </w:rPr>
        <w:t xml:space="preserve">Moreover, </w:t>
      </w:r>
      <w:r w:rsidRPr="00B566F3">
        <w:rPr>
          <w:rFonts w:ascii="Cambria" w:hAnsi="Cambria"/>
          <w:sz w:val="22"/>
          <w:szCs w:val="22"/>
        </w:rPr>
        <w:t xml:space="preserve">a study </w:t>
      </w:r>
      <w:r w:rsidR="00314F38" w:rsidRPr="00B566F3">
        <w:rPr>
          <w:rFonts w:ascii="Cambria" w:hAnsi="Cambria"/>
          <w:sz w:val="22"/>
          <w:szCs w:val="22"/>
        </w:rPr>
        <w:t xml:space="preserve">in Brazil </w:t>
      </w:r>
      <w:r w:rsidRPr="00B566F3">
        <w:rPr>
          <w:rFonts w:ascii="Cambria" w:hAnsi="Cambria"/>
          <w:sz w:val="22"/>
          <w:szCs w:val="22"/>
        </w:rPr>
        <w:t>by the Nucleus of Health Operations and Intelligence</w:t>
      </w:r>
      <w:r w:rsidR="00314F38" w:rsidRPr="00B566F3">
        <w:rPr>
          <w:rFonts w:ascii="Cambria" w:hAnsi="Cambria"/>
          <w:sz w:val="22"/>
          <w:szCs w:val="22"/>
        </w:rPr>
        <w:t xml:space="preserve">, </w:t>
      </w:r>
      <w:r w:rsidR="00590E30" w:rsidRPr="00B566F3">
        <w:rPr>
          <w:rFonts w:ascii="Cambria" w:hAnsi="Cambria"/>
          <w:sz w:val="22"/>
          <w:szCs w:val="22"/>
        </w:rPr>
        <w:t>found</w:t>
      </w:r>
      <w:r w:rsidRPr="00B566F3">
        <w:rPr>
          <w:rFonts w:ascii="Cambria" w:hAnsi="Cambria"/>
          <w:sz w:val="22"/>
          <w:szCs w:val="22"/>
        </w:rPr>
        <w:t xml:space="preserve"> evidence that the COVID-19 pandemic is killing proportionately more </w:t>
      </w:r>
      <w:r w:rsidR="000E56D7" w:rsidRPr="00B566F3">
        <w:rPr>
          <w:rFonts w:ascii="Cambria" w:hAnsi="Cambria"/>
          <w:sz w:val="22"/>
          <w:szCs w:val="22"/>
        </w:rPr>
        <w:t>b</w:t>
      </w:r>
      <w:r w:rsidRPr="00B566F3">
        <w:rPr>
          <w:rFonts w:ascii="Cambria" w:hAnsi="Cambria"/>
          <w:sz w:val="22"/>
          <w:szCs w:val="22"/>
        </w:rPr>
        <w:t xml:space="preserve">lack Brazilians than </w:t>
      </w:r>
      <w:r w:rsidRPr="00B566F3">
        <w:rPr>
          <w:rFonts w:ascii="Cambria" w:hAnsi="Cambria"/>
          <w:sz w:val="22"/>
          <w:szCs w:val="22"/>
        </w:rPr>
        <w:lastRenderedPageBreak/>
        <w:t>whites, exposing</w:t>
      </w:r>
      <w:r w:rsidR="00590E30" w:rsidRPr="00B566F3">
        <w:rPr>
          <w:rFonts w:ascii="Cambria" w:hAnsi="Cambria"/>
          <w:sz w:val="22"/>
          <w:szCs w:val="22"/>
        </w:rPr>
        <w:t xml:space="preserve"> underlying </w:t>
      </w:r>
      <w:r w:rsidRPr="00B566F3">
        <w:rPr>
          <w:rFonts w:ascii="Cambria" w:hAnsi="Cambria"/>
          <w:sz w:val="22"/>
          <w:szCs w:val="22"/>
        </w:rPr>
        <w:t>inequalities.</w:t>
      </w:r>
      <w:r w:rsidR="00314F38" w:rsidRPr="00B566F3">
        <w:rPr>
          <w:rFonts w:ascii="Cambria" w:hAnsi="Cambria"/>
          <w:sz w:val="22"/>
          <w:szCs w:val="22"/>
          <w:vertAlign w:val="superscript"/>
        </w:rPr>
        <w:footnoteReference w:id="18"/>
      </w:r>
      <w:r w:rsidR="00314F38" w:rsidRPr="00B566F3">
        <w:rPr>
          <w:rFonts w:ascii="Cambria" w:hAnsi="Cambria"/>
          <w:sz w:val="22"/>
          <w:szCs w:val="22"/>
        </w:rPr>
        <w:t xml:space="preserve"> </w:t>
      </w:r>
      <w:r w:rsidRPr="00B566F3">
        <w:rPr>
          <w:rFonts w:ascii="Cambria" w:hAnsi="Cambria"/>
          <w:sz w:val="22"/>
          <w:szCs w:val="22"/>
        </w:rPr>
        <w:t xml:space="preserve"> </w:t>
      </w:r>
      <w:r w:rsidR="00314F38" w:rsidRPr="00B566F3">
        <w:rPr>
          <w:rFonts w:ascii="Cambria" w:hAnsi="Cambria"/>
          <w:sz w:val="22"/>
          <w:szCs w:val="22"/>
        </w:rPr>
        <w:t xml:space="preserve">The study examined </w:t>
      </w:r>
      <w:r w:rsidRPr="00B566F3">
        <w:rPr>
          <w:rFonts w:ascii="Cambria" w:hAnsi="Cambria"/>
          <w:sz w:val="22"/>
          <w:szCs w:val="22"/>
        </w:rPr>
        <w:t>health service data on 30,000 patients diagnosed with COVID-19, who had either recovered or died by 18 May 2020</w:t>
      </w:r>
      <w:r w:rsidR="00314F38" w:rsidRPr="00B566F3">
        <w:rPr>
          <w:rFonts w:ascii="Cambria" w:hAnsi="Cambria"/>
          <w:sz w:val="22"/>
          <w:szCs w:val="22"/>
        </w:rPr>
        <w:t>:</w:t>
      </w:r>
      <w:r w:rsidRPr="00B566F3">
        <w:rPr>
          <w:rFonts w:ascii="Cambria" w:hAnsi="Cambria"/>
          <w:sz w:val="22"/>
          <w:szCs w:val="22"/>
        </w:rPr>
        <w:t xml:space="preserve"> It found that 55% of the Black and mixed-race patients died, compared to 38% of White patients. </w:t>
      </w:r>
    </w:p>
    <w:p w14:paraId="0D39C2A5" w14:textId="77777777" w:rsidR="00C5228E" w:rsidRPr="00B566F3" w:rsidRDefault="00C5228E" w:rsidP="00C5228E">
      <w:pPr>
        <w:snapToGrid w:val="0"/>
        <w:contextualSpacing/>
        <w:jc w:val="both"/>
        <w:rPr>
          <w:rFonts w:ascii="Cambria" w:hAnsi="Cambria"/>
          <w:sz w:val="22"/>
          <w:szCs w:val="22"/>
        </w:rPr>
      </w:pPr>
    </w:p>
    <w:p w14:paraId="1C47144E" w14:textId="00683229" w:rsidR="00917DF3"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There is </w:t>
      </w:r>
      <w:r w:rsidR="00314F38" w:rsidRPr="00B566F3">
        <w:rPr>
          <w:rFonts w:ascii="Cambria" w:hAnsi="Cambria"/>
          <w:sz w:val="22"/>
          <w:szCs w:val="22"/>
        </w:rPr>
        <w:t xml:space="preserve">also </w:t>
      </w:r>
      <w:r w:rsidRPr="00B566F3">
        <w:rPr>
          <w:rFonts w:ascii="Cambria" w:hAnsi="Cambria"/>
          <w:sz w:val="22"/>
          <w:szCs w:val="22"/>
        </w:rPr>
        <w:t>evidence that indigenous persons</w:t>
      </w:r>
      <w:r w:rsidRPr="00B566F3">
        <w:rPr>
          <w:rFonts w:ascii="Cambria" w:hAnsi="Cambria"/>
          <w:b/>
          <w:bCs/>
          <w:sz w:val="22"/>
          <w:szCs w:val="22"/>
        </w:rPr>
        <w:t xml:space="preserve"> </w:t>
      </w:r>
      <w:r w:rsidRPr="00B566F3">
        <w:rPr>
          <w:rFonts w:ascii="Cambria" w:hAnsi="Cambria"/>
          <w:sz w:val="22"/>
          <w:szCs w:val="22"/>
        </w:rPr>
        <w:t>have been disproportionately impacted by Covid-19. In the US</w:t>
      </w:r>
      <w:r w:rsidRPr="00B566F3">
        <w:rPr>
          <w:rFonts w:ascii="Cambria" w:hAnsi="Cambria"/>
          <w:b/>
          <w:bCs/>
          <w:sz w:val="22"/>
          <w:szCs w:val="22"/>
        </w:rPr>
        <w:t xml:space="preserve">, </w:t>
      </w:r>
      <w:r w:rsidRPr="00B566F3">
        <w:rPr>
          <w:rFonts w:ascii="Cambria" w:hAnsi="Cambria"/>
          <w:sz w:val="22"/>
          <w:szCs w:val="22"/>
        </w:rPr>
        <w:t>reports have shown that the Navajo Nation has one of the highest Covid-19 infection rates per capita in the US.</w:t>
      </w:r>
      <w:r w:rsidRPr="00B566F3">
        <w:rPr>
          <w:rFonts w:ascii="Cambria" w:hAnsi="Cambria"/>
          <w:sz w:val="22"/>
          <w:szCs w:val="22"/>
          <w:vertAlign w:val="superscript"/>
        </w:rPr>
        <w:footnoteReference w:id="19"/>
      </w:r>
      <w:r w:rsidRPr="00B566F3">
        <w:rPr>
          <w:rFonts w:ascii="Cambria" w:hAnsi="Cambria"/>
          <w:sz w:val="22"/>
          <w:szCs w:val="22"/>
        </w:rPr>
        <w:t xml:space="preserve"> The Navajo Na</w:t>
      </w:r>
      <w:r w:rsidRPr="00B566F3">
        <w:rPr>
          <w:rFonts w:ascii="Cambria" w:hAnsi="Cambria"/>
          <w:sz w:val="22"/>
          <w:szCs w:val="22"/>
        </w:rPr>
        <w:lastRenderedPageBreak/>
        <w:t>tion is reported to have instated one of the country’s most extensive lockdown orders, but inadequate infrastructure and lack of access to basic needs is intensifying the crisis; 30% of the population does not have access to running water in their homes.</w:t>
      </w:r>
      <w:r w:rsidR="00314F38" w:rsidRPr="00B566F3">
        <w:rPr>
          <w:rFonts w:ascii="Cambria" w:hAnsi="Cambria"/>
          <w:sz w:val="22"/>
          <w:szCs w:val="22"/>
          <w:vertAlign w:val="superscript"/>
        </w:rPr>
        <w:footnoteReference w:id="20"/>
      </w:r>
      <w:r w:rsidRPr="00B566F3">
        <w:rPr>
          <w:rFonts w:ascii="Cambria" w:hAnsi="Cambria"/>
          <w:sz w:val="22"/>
          <w:szCs w:val="22"/>
        </w:rPr>
        <w:t>According to figures compiled by the Articulation of Indigenous Peoples of Brazil (APIB), the country’s principal indigenous federation, 9.1</w:t>
      </w:r>
      <w:r w:rsidR="00314F38" w:rsidRPr="00B566F3">
        <w:rPr>
          <w:rFonts w:ascii="Cambria" w:hAnsi="Cambria"/>
          <w:sz w:val="22"/>
          <w:szCs w:val="22"/>
        </w:rPr>
        <w:t>%</w:t>
      </w:r>
      <w:r w:rsidRPr="00B566F3">
        <w:rPr>
          <w:rFonts w:ascii="Cambria" w:hAnsi="Cambria"/>
          <w:sz w:val="22"/>
          <w:szCs w:val="22"/>
        </w:rPr>
        <w:t xml:space="preserve"> of indigenous people who contract the disease </w:t>
      </w:r>
      <w:r w:rsidR="00314F38" w:rsidRPr="00B566F3">
        <w:rPr>
          <w:rFonts w:ascii="Cambria" w:hAnsi="Cambria"/>
          <w:sz w:val="22"/>
          <w:szCs w:val="22"/>
        </w:rPr>
        <w:t>die</w:t>
      </w:r>
      <w:r w:rsidRPr="00B566F3">
        <w:rPr>
          <w:rFonts w:ascii="Cambria" w:hAnsi="Cambria"/>
          <w:sz w:val="22"/>
          <w:szCs w:val="22"/>
        </w:rPr>
        <w:t>, nearly double the 5.2</w:t>
      </w:r>
      <w:r w:rsidR="00314F38" w:rsidRPr="00B566F3">
        <w:rPr>
          <w:rFonts w:ascii="Cambria" w:hAnsi="Cambria"/>
          <w:sz w:val="22"/>
          <w:szCs w:val="22"/>
        </w:rPr>
        <w:t xml:space="preserve">% </w:t>
      </w:r>
      <w:r w:rsidRPr="00B566F3">
        <w:rPr>
          <w:rFonts w:ascii="Cambria" w:hAnsi="Cambria"/>
          <w:sz w:val="22"/>
          <w:szCs w:val="22"/>
        </w:rPr>
        <w:t xml:space="preserve">rate among the general </w:t>
      </w:r>
      <w:r w:rsidRPr="00B566F3">
        <w:rPr>
          <w:rFonts w:ascii="Cambria" w:hAnsi="Cambria"/>
          <w:sz w:val="22"/>
          <w:szCs w:val="22"/>
        </w:rPr>
        <w:lastRenderedPageBreak/>
        <w:t>Brazilian population.</w:t>
      </w:r>
      <w:r w:rsidRPr="00B566F3">
        <w:rPr>
          <w:rFonts w:ascii="Cambria" w:hAnsi="Cambria"/>
          <w:sz w:val="22"/>
          <w:szCs w:val="22"/>
          <w:vertAlign w:val="superscript"/>
        </w:rPr>
        <w:footnoteReference w:id="21"/>
      </w:r>
      <w:r w:rsidRPr="00B566F3">
        <w:rPr>
          <w:rFonts w:ascii="Cambria" w:hAnsi="Cambria"/>
          <w:sz w:val="22"/>
          <w:szCs w:val="22"/>
        </w:rPr>
        <w:t xml:space="preserve"> In Canada, while public health officials are expressing cautious optimism that efforts to contain </w:t>
      </w:r>
      <w:r w:rsidRPr="00B566F3">
        <w:rPr>
          <w:rFonts w:ascii="Cambria" w:hAnsi="Cambria"/>
          <w:sz w:val="22"/>
          <w:szCs w:val="22"/>
        </w:rPr>
        <w:lastRenderedPageBreak/>
        <w:t>COVID-19 are proving effective, Human Rights Watch highlights that indigenous communities are still at risk because of the systemic inequities and discrimination they face.</w:t>
      </w:r>
      <w:r w:rsidRPr="00B566F3">
        <w:rPr>
          <w:rFonts w:ascii="Cambria" w:hAnsi="Cambria"/>
          <w:sz w:val="22"/>
          <w:szCs w:val="22"/>
          <w:vertAlign w:val="superscript"/>
        </w:rPr>
        <w:footnoteReference w:id="22"/>
      </w:r>
      <w:r w:rsidRPr="00B566F3">
        <w:rPr>
          <w:rFonts w:ascii="Cambria" w:hAnsi="Cambria"/>
          <w:sz w:val="22"/>
          <w:szCs w:val="22"/>
        </w:rPr>
        <w:t xml:space="preserve"> </w:t>
      </w:r>
    </w:p>
    <w:p w14:paraId="1573DA2E" w14:textId="56AE8EDD" w:rsidR="00917DF3" w:rsidRPr="00B566F3" w:rsidRDefault="00917DF3" w:rsidP="006B3CC7">
      <w:pPr>
        <w:tabs>
          <w:tab w:val="left" w:pos="567"/>
        </w:tabs>
        <w:ind w:left="567" w:hanging="567"/>
        <w:jc w:val="both"/>
        <w:rPr>
          <w:rFonts w:ascii="Cambria" w:hAnsi="Cambria"/>
          <w:sz w:val="22"/>
          <w:szCs w:val="22"/>
        </w:rPr>
      </w:pPr>
    </w:p>
    <w:p w14:paraId="01AB9386" w14:textId="00AD6C37" w:rsidR="00917DF3" w:rsidRPr="00B566F3" w:rsidRDefault="00917DF3" w:rsidP="006B3CC7">
      <w:pPr>
        <w:tabs>
          <w:tab w:val="left" w:pos="567"/>
        </w:tabs>
        <w:ind w:left="567" w:hanging="567"/>
        <w:jc w:val="both"/>
        <w:rPr>
          <w:rFonts w:ascii="Cambria" w:hAnsi="Cambria"/>
          <w:sz w:val="22"/>
          <w:szCs w:val="22"/>
          <w:u w:val="single"/>
        </w:rPr>
      </w:pPr>
      <w:r w:rsidRPr="00B566F3">
        <w:rPr>
          <w:rFonts w:ascii="Cambria" w:hAnsi="Cambria"/>
          <w:sz w:val="22"/>
          <w:szCs w:val="22"/>
          <w:u w:val="single"/>
        </w:rPr>
        <w:t>Discriminatory violence and hate speech</w:t>
      </w:r>
    </w:p>
    <w:p w14:paraId="181D2F42" w14:textId="77777777" w:rsidR="00917DF3" w:rsidRPr="00B566F3" w:rsidRDefault="00917DF3" w:rsidP="006B3CC7">
      <w:pPr>
        <w:tabs>
          <w:tab w:val="left" w:pos="567"/>
        </w:tabs>
        <w:ind w:left="567" w:hanging="567"/>
        <w:jc w:val="both"/>
        <w:rPr>
          <w:rFonts w:ascii="Cambria" w:hAnsi="Cambria"/>
          <w:sz w:val="22"/>
          <w:szCs w:val="22"/>
          <w:u w:val="single"/>
        </w:rPr>
      </w:pPr>
    </w:p>
    <w:p w14:paraId="4DFDB594" w14:textId="77777777" w:rsidR="00314F38"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Many groups at risk of discrimination have been exposed to increased discriminatory violence and hate speech as a result of the crisis. There have been reports of racist and xenophobic hate speech and hate crimes being committed against individuals perceived as Asian, as well as other ethnic and religious groups.</w:t>
      </w:r>
      <w:r w:rsidRPr="00B566F3">
        <w:rPr>
          <w:rFonts w:ascii="Cambria" w:hAnsi="Cambria"/>
          <w:sz w:val="22"/>
          <w:szCs w:val="22"/>
          <w:vertAlign w:val="superscript"/>
        </w:rPr>
        <w:footnoteReference w:id="23"/>
      </w:r>
      <w:r w:rsidRPr="00B566F3">
        <w:rPr>
          <w:rFonts w:ascii="Cambria" w:hAnsi="Cambria"/>
          <w:sz w:val="22"/>
          <w:szCs w:val="22"/>
        </w:rPr>
        <w:t xml:space="preserve"> </w:t>
      </w:r>
      <w:r w:rsidR="00314F38" w:rsidRPr="00B566F3">
        <w:rPr>
          <w:rFonts w:ascii="Cambria" w:hAnsi="Cambria"/>
          <w:sz w:val="22"/>
          <w:szCs w:val="22"/>
        </w:rPr>
        <w:t xml:space="preserve">In India, </w:t>
      </w:r>
      <w:r w:rsidRPr="00B566F3">
        <w:rPr>
          <w:rFonts w:ascii="Cambria" w:hAnsi="Cambria"/>
          <w:sz w:val="22"/>
          <w:szCs w:val="22"/>
        </w:rPr>
        <w:t xml:space="preserve">Muslims </w:t>
      </w:r>
      <w:r w:rsidR="00314F38" w:rsidRPr="00B566F3">
        <w:rPr>
          <w:rFonts w:ascii="Cambria" w:hAnsi="Cambria"/>
          <w:sz w:val="22"/>
          <w:szCs w:val="22"/>
        </w:rPr>
        <w:t>have been</w:t>
      </w:r>
      <w:r w:rsidRPr="00B566F3">
        <w:rPr>
          <w:rFonts w:ascii="Cambria" w:hAnsi="Cambria"/>
          <w:sz w:val="22"/>
          <w:szCs w:val="22"/>
        </w:rPr>
        <w:t xml:space="preserve"> scapegoated as </w:t>
      </w:r>
      <w:r w:rsidR="00314F38" w:rsidRPr="00B566F3">
        <w:rPr>
          <w:rFonts w:ascii="Cambria" w:hAnsi="Cambria"/>
          <w:sz w:val="22"/>
          <w:szCs w:val="22"/>
        </w:rPr>
        <w:t>“</w:t>
      </w:r>
      <w:r w:rsidRPr="00B566F3">
        <w:rPr>
          <w:rFonts w:ascii="Cambria" w:hAnsi="Cambria"/>
          <w:sz w:val="22"/>
          <w:szCs w:val="22"/>
        </w:rPr>
        <w:t>vectors</w:t>
      </w:r>
      <w:r w:rsidR="00314F38" w:rsidRPr="00B566F3">
        <w:rPr>
          <w:rFonts w:ascii="Cambria" w:hAnsi="Cambria"/>
          <w:sz w:val="22"/>
          <w:szCs w:val="22"/>
        </w:rPr>
        <w:t>”</w:t>
      </w:r>
      <w:r w:rsidRPr="00B566F3">
        <w:rPr>
          <w:rFonts w:ascii="Cambria" w:hAnsi="Cambria"/>
          <w:sz w:val="22"/>
          <w:szCs w:val="22"/>
        </w:rPr>
        <w:t xml:space="preserve"> </w:t>
      </w:r>
      <w:r w:rsidRPr="00B566F3">
        <w:rPr>
          <w:rFonts w:ascii="Cambria" w:hAnsi="Cambria"/>
          <w:sz w:val="22"/>
          <w:szCs w:val="22"/>
        </w:rPr>
        <w:lastRenderedPageBreak/>
        <w:t>of the disease.</w:t>
      </w:r>
      <w:r w:rsidRPr="00B566F3">
        <w:rPr>
          <w:rFonts w:ascii="Cambria" w:hAnsi="Cambria"/>
          <w:sz w:val="22"/>
          <w:szCs w:val="22"/>
          <w:vertAlign w:val="superscript"/>
        </w:rPr>
        <w:footnoteReference w:id="24"/>
      </w:r>
      <w:r w:rsidRPr="00B566F3">
        <w:rPr>
          <w:rFonts w:ascii="Cambria" w:hAnsi="Cambria"/>
          <w:sz w:val="22"/>
          <w:szCs w:val="22"/>
        </w:rPr>
        <w:t xml:space="preserve"> </w:t>
      </w:r>
      <w:r w:rsidR="00314F38" w:rsidRPr="00B566F3">
        <w:rPr>
          <w:rFonts w:ascii="Cambria" w:hAnsi="Cambria"/>
          <w:sz w:val="22"/>
          <w:szCs w:val="22"/>
        </w:rPr>
        <w:t>After public a</w:t>
      </w:r>
      <w:r w:rsidRPr="00B566F3">
        <w:rPr>
          <w:rFonts w:ascii="Cambria" w:hAnsi="Cambria"/>
          <w:sz w:val="22"/>
          <w:szCs w:val="22"/>
        </w:rPr>
        <w:t>uthorities blamed a Muslim religious gathering of the Tablighi Jamaat movement in Delhi for the spread of the pandemic</w:t>
      </w:r>
      <w:r w:rsidR="00314F38" w:rsidRPr="00B566F3">
        <w:rPr>
          <w:rFonts w:ascii="Cambria" w:hAnsi="Cambria"/>
          <w:sz w:val="22"/>
          <w:szCs w:val="22"/>
        </w:rPr>
        <w:t>,</w:t>
      </w:r>
      <w:r w:rsidRPr="00B566F3">
        <w:rPr>
          <w:rFonts w:ascii="Cambria" w:hAnsi="Cambria"/>
          <w:sz w:val="22"/>
          <w:szCs w:val="22"/>
        </w:rPr>
        <w:t xml:space="preserve"> Online disinformation campaigns ensued, with #CoronaJihad trending on Twitter and the religious gathering being labelled as </w:t>
      </w:r>
      <w:r w:rsidR="00314F38" w:rsidRPr="00B566F3">
        <w:rPr>
          <w:rFonts w:ascii="Cambria" w:hAnsi="Cambria"/>
          <w:sz w:val="22"/>
          <w:szCs w:val="22"/>
        </w:rPr>
        <w:t>“</w:t>
      </w:r>
      <w:r w:rsidRPr="00B566F3">
        <w:rPr>
          <w:rFonts w:ascii="Cambria" w:hAnsi="Cambria"/>
          <w:sz w:val="22"/>
          <w:szCs w:val="22"/>
        </w:rPr>
        <w:t>corona terrorism</w:t>
      </w:r>
      <w:r w:rsidR="00314F38" w:rsidRPr="00B566F3">
        <w:rPr>
          <w:rFonts w:ascii="Cambria" w:hAnsi="Cambria"/>
          <w:sz w:val="22"/>
          <w:szCs w:val="22"/>
        </w:rPr>
        <w:t>”</w:t>
      </w:r>
      <w:r w:rsidRPr="00B566F3">
        <w:rPr>
          <w:rFonts w:ascii="Cambria" w:hAnsi="Cambria"/>
          <w:sz w:val="22"/>
          <w:szCs w:val="22"/>
        </w:rPr>
        <w:t>.</w:t>
      </w:r>
      <w:r w:rsidRPr="00B566F3">
        <w:rPr>
          <w:rFonts w:ascii="Cambria" w:hAnsi="Cambria"/>
          <w:sz w:val="22"/>
          <w:szCs w:val="22"/>
          <w:vertAlign w:val="superscript"/>
        </w:rPr>
        <w:footnoteReference w:id="25"/>
      </w:r>
      <w:r w:rsidRPr="00B566F3">
        <w:rPr>
          <w:rFonts w:ascii="Cambria" w:hAnsi="Cambria"/>
          <w:sz w:val="22"/>
          <w:szCs w:val="22"/>
        </w:rPr>
        <w:t xml:space="preserve"> </w:t>
      </w:r>
    </w:p>
    <w:p w14:paraId="3FEC91C8" w14:textId="77777777" w:rsidR="00314F38" w:rsidRPr="00B566F3" w:rsidRDefault="00314F38" w:rsidP="006B3CC7">
      <w:pPr>
        <w:tabs>
          <w:tab w:val="left" w:pos="567"/>
        </w:tabs>
        <w:snapToGrid w:val="0"/>
        <w:ind w:left="567" w:hanging="567"/>
        <w:contextualSpacing/>
        <w:jc w:val="both"/>
        <w:rPr>
          <w:rFonts w:ascii="Cambria" w:hAnsi="Cambria"/>
          <w:sz w:val="22"/>
          <w:szCs w:val="22"/>
        </w:rPr>
      </w:pPr>
    </w:p>
    <w:p w14:paraId="24882781" w14:textId="192BC9E2" w:rsidR="00917DF3"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lastRenderedPageBreak/>
        <w:t>Ageism against older people has trended on social media</w:t>
      </w:r>
      <w:r w:rsidRPr="00B566F3">
        <w:rPr>
          <w:rFonts w:ascii="Cambria" w:hAnsi="Cambria"/>
          <w:sz w:val="22"/>
          <w:szCs w:val="22"/>
          <w:vertAlign w:val="superscript"/>
        </w:rPr>
        <w:footnoteReference w:id="26"/>
      </w:r>
      <w:r w:rsidRPr="00B566F3">
        <w:rPr>
          <w:rFonts w:ascii="Cambria" w:hAnsi="Cambria"/>
          <w:sz w:val="22"/>
          <w:szCs w:val="22"/>
        </w:rPr>
        <w:t xml:space="preserve"> and the worth of saving older people’s lives has been called into </w:t>
      </w:r>
      <w:r w:rsidRPr="00B566F3">
        <w:rPr>
          <w:rFonts w:ascii="Cambria" w:hAnsi="Cambria"/>
          <w:sz w:val="22"/>
          <w:szCs w:val="22"/>
        </w:rPr>
        <w:lastRenderedPageBreak/>
        <w:t>question;</w:t>
      </w:r>
      <w:r w:rsidRPr="00B566F3">
        <w:rPr>
          <w:rFonts w:ascii="Cambria" w:hAnsi="Cambria"/>
          <w:sz w:val="22"/>
          <w:szCs w:val="22"/>
          <w:vertAlign w:val="superscript"/>
        </w:rPr>
        <w:footnoteReference w:id="27"/>
      </w:r>
      <w:r w:rsidRPr="00B566F3">
        <w:rPr>
          <w:rFonts w:ascii="Cambria" w:hAnsi="Cambria"/>
          <w:sz w:val="22"/>
          <w:szCs w:val="22"/>
        </w:rPr>
        <w:t xml:space="preserve"> in one instance, a UK journalist suggested “culling” older people would have a beneficial economic effect.</w:t>
      </w:r>
      <w:r w:rsidRPr="00B566F3">
        <w:rPr>
          <w:rFonts w:ascii="Cambria" w:hAnsi="Cambria"/>
          <w:sz w:val="22"/>
          <w:szCs w:val="22"/>
          <w:vertAlign w:val="superscript"/>
        </w:rPr>
        <w:footnoteReference w:id="28"/>
      </w:r>
      <w:r w:rsidRPr="00B566F3">
        <w:rPr>
          <w:rFonts w:ascii="Cambria" w:hAnsi="Cambria"/>
          <w:sz w:val="22"/>
          <w:szCs w:val="22"/>
        </w:rPr>
        <w:t xml:space="preserve"> </w:t>
      </w:r>
    </w:p>
    <w:p w14:paraId="4BD2B222" w14:textId="77777777" w:rsidR="00572474" w:rsidRPr="00B566F3" w:rsidRDefault="00572474" w:rsidP="006B3CC7">
      <w:pPr>
        <w:tabs>
          <w:tab w:val="left" w:pos="567"/>
        </w:tabs>
        <w:snapToGrid w:val="0"/>
        <w:ind w:left="567" w:hanging="567"/>
        <w:contextualSpacing/>
        <w:jc w:val="both"/>
        <w:rPr>
          <w:rFonts w:ascii="Cambria" w:hAnsi="Cambria"/>
          <w:sz w:val="22"/>
          <w:szCs w:val="22"/>
        </w:rPr>
      </w:pPr>
    </w:p>
    <w:p w14:paraId="2B0CF94D" w14:textId="53541BF3" w:rsidR="00917DF3"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The </w:t>
      </w:r>
      <w:r w:rsidR="00314F38" w:rsidRPr="00B566F3">
        <w:rPr>
          <w:rFonts w:ascii="Cambria" w:hAnsi="Cambria"/>
          <w:sz w:val="22"/>
          <w:szCs w:val="22"/>
        </w:rPr>
        <w:t>Office of the High Commissioner for Human Rights</w:t>
      </w:r>
      <w:r w:rsidRPr="00B566F3">
        <w:rPr>
          <w:rFonts w:ascii="Cambria" w:hAnsi="Cambria"/>
          <w:sz w:val="22"/>
          <w:szCs w:val="22"/>
        </w:rPr>
        <w:t xml:space="preserve"> has noted that “LGBTI people have previously been blamed for disasters, both manmade and natural, and there are scattered reports of this happening in the context of the COVID-19 pandemic”.</w:t>
      </w:r>
      <w:r w:rsidRPr="00B566F3">
        <w:rPr>
          <w:rFonts w:ascii="Cambria" w:hAnsi="Cambria"/>
          <w:sz w:val="22"/>
          <w:szCs w:val="22"/>
          <w:vertAlign w:val="superscript"/>
        </w:rPr>
        <w:footnoteReference w:id="29"/>
      </w:r>
      <w:r w:rsidRPr="00B566F3">
        <w:rPr>
          <w:rFonts w:ascii="Cambria" w:hAnsi="Cambria"/>
          <w:sz w:val="22"/>
          <w:szCs w:val="22"/>
        </w:rPr>
        <w:t xml:space="preserve"> These reports include a priest in Poland stating that Covid-19 is divine punishment for homosexuality and abortion,</w:t>
      </w:r>
      <w:r w:rsidRPr="00B566F3">
        <w:rPr>
          <w:rFonts w:ascii="Cambria" w:hAnsi="Cambria"/>
          <w:sz w:val="22"/>
          <w:szCs w:val="22"/>
          <w:vertAlign w:val="superscript"/>
        </w:rPr>
        <w:footnoteReference w:id="30"/>
      </w:r>
      <w:r w:rsidRPr="00B566F3">
        <w:rPr>
          <w:rFonts w:ascii="Cambria" w:hAnsi="Cambria"/>
          <w:sz w:val="22"/>
          <w:szCs w:val="22"/>
        </w:rPr>
        <w:t xml:space="preserve"> and a DUP councillor in Northern Ireland suggesting the pandemic was the “judgement of God” on the legalisation of abortion and same sex marriage in Northern Ireland, and an “immoral and corrupt government”.</w:t>
      </w:r>
      <w:r w:rsidRPr="00B566F3">
        <w:rPr>
          <w:rFonts w:ascii="Cambria" w:hAnsi="Cambria"/>
          <w:sz w:val="22"/>
          <w:szCs w:val="22"/>
          <w:vertAlign w:val="superscript"/>
        </w:rPr>
        <w:footnoteReference w:id="31"/>
      </w:r>
      <w:r w:rsidRPr="00B566F3">
        <w:rPr>
          <w:rFonts w:ascii="Cambria" w:hAnsi="Cambria"/>
          <w:sz w:val="22"/>
          <w:szCs w:val="22"/>
        </w:rPr>
        <w:t xml:space="preserve"> </w:t>
      </w:r>
    </w:p>
    <w:p w14:paraId="359CA4D4" w14:textId="77777777" w:rsidR="00917DF3" w:rsidRPr="00B566F3" w:rsidRDefault="00917DF3" w:rsidP="006B3CC7">
      <w:pPr>
        <w:tabs>
          <w:tab w:val="left" w:pos="567"/>
        </w:tabs>
        <w:snapToGrid w:val="0"/>
        <w:ind w:left="567" w:hanging="567"/>
        <w:contextualSpacing/>
        <w:jc w:val="both"/>
        <w:rPr>
          <w:rFonts w:ascii="Cambria" w:hAnsi="Cambria"/>
          <w:sz w:val="22"/>
          <w:szCs w:val="22"/>
        </w:rPr>
      </w:pPr>
    </w:p>
    <w:p w14:paraId="29947A15" w14:textId="77777777" w:rsidR="00917DF3"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There is also emerging evidence of an increase in domestic violence against women during lockdowns in a number of States.</w:t>
      </w:r>
      <w:r w:rsidRPr="00B566F3">
        <w:rPr>
          <w:rFonts w:ascii="Cambria" w:hAnsi="Cambria"/>
          <w:sz w:val="22"/>
          <w:szCs w:val="22"/>
          <w:vertAlign w:val="superscript"/>
        </w:rPr>
        <w:footnoteReference w:id="32"/>
      </w:r>
      <w:r w:rsidRPr="00B566F3">
        <w:rPr>
          <w:rFonts w:ascii="Cambria" w:hAnsi="Cambria"/>
          <w:sz w:val="22"/>
          <w:szCs w:val="22"/>
        </w:rPr>
        <w:t xml:space="preserve"> The European Network for Equality Bodies, Equinet, has reported that national equality bodies have identified increased domestic violence against women resulting from State imposed lockdowns.</w:t>
      </w:r>
      <w:r w:rsidRPr="00B566F3">
        <w:rPr>
          <w:rFonts w:ascii="Cambria" w:hAnsi="Cambria"/>
          <w:sz w:val="22"/>
          <w:szCs w:val="22"/>
          <w:vertAlign w:val="superscript"/>
        </w:rPr>
        <w:footnoteReference w:id="33"/>
      </w:r>
      <w:r w:rsidRPr="00B566F3">
        <w:rPr>
          <w:rFonts w:ascii="Cambria" w:hAnsi="Cambria"/>
          <w:sz w:val="22"/>
          <w:szCs w:val="22"/>
        </w:rPr>
        <w:t xml:space="preserve"> </w:t>
      </w:r>
    </w:p>
    <w:p w14:paraId="401C354C" w14:textId="1DA642E4" w:rsidR="00917DF3" w:rsidRPr="00B566F3" w:rsidRDefault="00917DF3" w:rsidP="006B3CC7">
      <w:pPr>
        <w:tabs>
          <w:tab w:val="left" w:pos="567"/>
        </w:tabs>
        <w:ind w:left="567" w:hanging="567"/>
        <w:jc w:val="both"/>
        <w:rPr>
          <w:rFonts w:ascii="Cambria" w:hAnsi="Cambria"/>
          <w:sz w:val="22"/>
          <w:szCs w:val="22"/>
        </w:rPr>
      </w:pPr>
    </w:p>
    <w:p w14:paraId="0E60E92B" w14:textId="631652D9" w:rsidR="00917DF3" w:rsidRPr="00B566F3" w:rsidRDefault="00917DF3" w:rsidP="006B3CC7">
      <w:pPr>
        <w:tabs>
          <w:tab w:val="left" w:pos="567"/>
        </w:tabs>
        <w:ind w:left="567" w:hanging="567"/>
        <w:jc w:val="both"/>
        <w:rPr>
          <w:rFonts w:ascii="Cambria" w:hAnsi="Cambria"/>
          <w:sz w:val="22"/>
          <w:szCs w:val="22"/>
          <w:u w:val="single"/>
        </w:rPr>
      </w:pPr>
      <w:r w:rsidRPr="00B566F3">
        <w:rPr>
          <w:rFonts w:ascii="Cambria" w:hAnsi="Cambria"/>
          <w:sz w:val="22"/>
          <w:szCs w:val="22"/>
          <w:u w:val="single"/>
        </w:rPr>
        <w:t>Freedom of assembly and polic</w:t>
      </w:r>
      <w:r w:rsidR="005B6434" w:rsidRPr="00B566F3">
        <w:rPr>
          <w:rFonts w:ascii="Cambria" w:hAnsi="Cambria"/>
          <w:sz w:val="22"/>
          <w:szCs w:val="22"/>
          <w:u w:val="single"/>
        </w:rPr>
        <w:t>e</w:t>
      </w:r>
      <w:r w:rsidRPr="00B566F3">
        <w:rPr>
          <w:rFonts w:ascii="Cambria" w:hAnsi="Cambria"/>
          <w:sz w:val="22"/>
          <w:szCs w:val="22"/>
          <w:u w:val="single"/>
        </w:rPr>
        <w:t xml:space="preserve"> brutality</w:t>
      </w:r>
    </w:p>
    <w:p w14:paraId="7D17743D" w14:textId="77777777" w:rsidR="00917DF3" w:rsidRPr="00B566F3" w:rsidRDefault="00917DF3" w:rsidP="006B3CC7">
      <w:pPr>
        <w:tabs>
          <w:tab w:val="left" w:pos="567"/>
        </w:tabs>
        <w:ind w:left="567" w:hanging="567"/>
        <w:jc w:val="both"/>
        <w:rPr>
          <w:rFonts w:ascii="Cambria" w:hAnsi="Cambria"/>
          <w:sz w:val="22"/>
          <w:szCs w:val="22"/>
          <w:u w:val="single"/>
        </w:rPr>
      </w:pPr>
    </w:p>
    <w:p w14:paraId="34412803" w14:textId="22A417F4" w:rsidR="00065D9A" w:rsidRPr="00B566F3" w:rsidRDefault="005B6434" w:rsidP="00065D9A">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Examples have also been recorded of discrimination in respect of freedom of expression, assembly and association. </w:t>
      </w:r>
      <w:r w:rsidR="00917DF3" w:rsidRPr="00B566F3">
        <w:rPr>
          <w:rFonts w:ascii="Cambria" w:hAnsi="Cambria"/>
          <w:sz w:val="22"/>
          <w:szCs w:val="22"/>
        </w:rPr>
        <w:t xml:space="preserve">In Kyrgyzstan, </w:t>
      </w:r>
      <w:r w:rsidRPr="00B566F3">
        <w:rPr>
          <w:rFonts w:ascii="Cambria" w:hAnsi="Cambria"/>
          <w:sz w:val="22"/>
          <w:szCs w:val="22"/>
        </w:rPr>
        <w:t xml:space="preserve">for example, </w:t>
      </w:r>
      <w:r w:rsidR="00917DF3" w:rsidRPr="00B566F3">
        <w:rPr>
          <w:rFonts w:ascii="Cambria" w:hAnsi="Cambria"/>
          <w:sz w:val="22"/>
          <w:szCs w:val="22"/>
        </w:rPr>
        <w:t>following a decision to ban mass rallies citing COVID-19,</w:t>
      </w:r>
      <w:r w:rsidR="00917DF3" w:rsidRPr="00B566F3">
        <w:rPr>
          <w:rFonts w:ascii="Cambria" w:hAnsi="Cambria"/>
          <w:sz w:val="22"/>
          <w:szCs w:val="22"/>
          <w:vertAlign w:val="superscript"/>
        </w:rPr>
        <w:footnoteReference w:id="34"/>
      </w:r>
      <w:r w:rsidR="00917DF3" w:rsidRPr="00B566F3">
        <w:rPr>
          <w:rFonts w:ascii="Cambria" w:hAnsi="Cambria"/>
          <w:sz w:val="22"/>
          <w:szCs w:val="22"/>
        </w:rPr>
        <w:t xml:space="preserve"> a march for International Women’s Day was dispersed,</w:t>
      </w:r>
      <w:r w:rsidR="00917DF3" w:rsidRPr="00B566F3">
        <w:rPr>
          <w:rFonts w:ascii="Cambria" w:hAnsi="Cambria"/>
          <w:sz w:val="22"/>
          <w:szCs w:val="22"/>
          <w:vertAlign w:val="superscript"/>
        </w:rPr>
        <w:footnoteReference w:id="35"/>
      </w:r>
      <w:r w:rsidR="00917DF3" w:rsidRPr="00B566F3">
        <w:rPr>
          <w:rFonts w:ascii="Cambria" w:hAnsi="Cambria"/>
          <w:sz w:val="22"/>
          <w:szCs w:val="22"/>
        </w:rPr>
        <w:t xml:space="preserve"> while at the same time, a large group of men were permitted to participate in a traditional ceremony to ward off coronavirus.</w:t>
      </w:r>
      <w:r w:rsidR="00917DF3" w:rsidRPr="00B566F3">
        <w:rPr>
          <w:rFonts w:ascii="Cambria" w:hAnsi="Cambria"/>
          <w:sz w:val="22"/>
          <w:szCs w:val="22"/>
          <w:vertAlign w:val="superscript"/>
        </w:rPr>
        <w:footnoteReference w:id="36"/>
      </w:r>
      <w:r w:rsidR="00917DF3" w:rsidRPr="00B566F3">
        <w:rPr>
          <w:rFonts w:ascii="Cambria" w:hAnsi="Cambria"/>
          <w:sz w:val="22"/>
          <w:szCs w:val="22"/>
        </w:rPr>
        <w:t xml:space="preserve"> There have been reports from Uganda of police targeting LGBTI organisations under the pretext of enforcing presidential directives to combat the spread of COVID-19.</w:t>
      </w:r>
      <w:r w:rsidR="00917DF3" w:rsidRPr="00B566F3">
        <w:rPr>
          <w:rFonts w:ascii="Cambria" w:hAnsi="Cambria"/>
          <w:sz w:val="22"/>
          <w:szCs w:val="22"/>
          <w:vertAlign w:val="superscript"/>
        </w:rPr>
        <w:footnoteReference w:id="37"/>
      </w:r>
      <w:r w:rsidR="00917DF3" w:rsidRPr="00B566F3">
        <w:rPr>
          <w:rFonts w:ascii="Cambria" w:hAnsi="Cambria"/>
          <w:sz w:val="22"/>
          <w:szCs w:val="22"/>
        </w:rPr>
        <w:t xml:space="preserve"> Nairobi, Kenya</w:t>
      </w:r>
      <w:r w:rsidR="00AC37EA" w:rsidRPr="00B566F3">
        <w:rPr>
          <w:rFonts w:ascii="Cambria" w:hAnsi="Cambria"/>
          <w:sz w:val="22"/>
          <w:szCs w:val="22"/>
        </w:rPr>
        <w:t>,</w:t>
      </w:r>
      <w:r w:rsidR="00917DF3" w:rsidRPr="00B566F3">
        <w:rPr>
          <w:rFonts w:ascii="Cambria" w:hAnsi="Cambria"/>
          <w:sz w:val="22"/>
          <w:szCs w:val="22"/>
        </w:rPr>
        <w:t xml:space="preserve"> has seen an increase in police brutality and extrajudicial killings since the implementation of a dusk-till-dawn curfew in March 2020 with the stated aim of mitigating the spread of COVID-19.</w:t>
      </w:r>
      <w:r w:rsidR="00917DF3" w:rsidRPr="00B566F3">
        <w:rPr>
          <w:rFonts w:ascii="Cambria" w:hAnsi="Cambria"/>
          <w:sz w:val="22"/>
          <w:szCs w:val="22"/>
          <w:vertAlign w:val="superscript"/>
        </w:rPr>
        <w:footnoteReference w:id="38"/>
      </w:r>
      <w:r w:rsidR="00917DF3" w:rsidRPr="00B566F3">
        <w:rPr>
          <w:rFonts w:ascii="Cambria" w:hAnsi="Cambria"/>
          <w:sz w:val="22"/>
          <w:szCs w:val="22"/>
        </w:rPr>
        <w:t xml:space="preserve"> </w:t>
      </w:r>
    </w:p>
    <w:p w14:paraId="60A76F85" w14:textId="77777777" w:rsidR="00065D9A" w:rsidRPr="00B566F3" w:rsidRDefault="00065D9A" w:rsidP="00065D9A">
      <w:pPr>
        <w:snapToGrid w:val="0"/>
        <w:contextualSpacing/>
        <w:jc w:val="both"/>
        <w:rPr>
          <w:rFonts w:ascii="Cambria" w:hAnsi="Cambria"/>
          <w:sz w:val="22"/>
          <w:szCs w:val="22"/>
        </w:rPr>
      </w:pPr>
    </w:p>
    <w:p w14:paraId="6348B5E7" w14:textId="365FE50A" w:rsidR="00917DF3" w:rsidRPr="00B566F3" w:rsidRDefault="00065D9A" w:rsidP="00065D9A">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I</w:t>
      </w:r>
      <w:r w:rsidR="00917DF3" w:rsidRPr="00B566F3">
        <w:rPr>
          <w:rFonts w:ascii="Cambria" w:hAnsi="Cambria"/>
          <w:sz w:val="22"/>
          <w:szCs w:val="22"/>
        </w:rPr>
        <w:t>n the US</w:t>
      </w:r>
      <w:r w:rsidR="005B6434" w:rsidRPr="00B566F3">
        <w:rPr>
          <w:rFonts w:ascii="Cambria" w:hAnsi="Cambria"/>
          <w:sz w:val="22"/>
          <w:szCs w:val="22"/>
        </w:rPr>
        <w:t>A</w:t>
      </w:r>
      <w:r w:rsidR="00917DF3" w:rsidRPr="00B566F3">
        <w:rPr>
          <w:rFonts w:ascii="Cambria" w:hAnsi="Cambria"/>
          <w:sz w:val="22"/>
          <w:szCs w:val="22"/>
        </w:rPr>
        <w:t>, protests in May</w:t>
      </w:r>
      <w:r w:rsidR="005B6434" w:rsidRPr="00B566F3">
        <w:rPr>
          <w:rFonts w:ascii="Cambria" w:hAnsi="Cambria"/>
          <w:sz w:val="22"/>
          <w:szCs w:val="22"/>
        </w:rPr>
        <w:t xml:space="preserve"> and </w:t>
      </w:r>
      <w:r w:rsidR="00917DF3" w:rsidRPr="00B566F3">
        <w:rPr>
          <w:rFonts w:ascii="Cambria" w:hAnsi="Cambria"/>
          <w:sz w:val="22"/>
          <w:szCs w:val="22"/>
        </w:rPr>
        <w:t>June 2020 sparked by the killing of George Floyd by a Minneapolis police officer have been marked by widespread incidents of police violence, including punching, kicking, gassing, pepper-spraying and driving vehicles at often peaceful protesters in state across the country.</w:t>
      </w:r>
      <w:r w:rsidR="005B6434" w:rsidRPr="00B566F3">
        <w:rPr>
          <w:rFonts w:ascii="Cambria" w:hAnsi="Cambria"/>
          <w:sz w:val="22"/>
          <w:szCs w:val="22"/>
          <w:vertAlign w:val="superscript"/>
        </w:rPr>
        <w:t xml:space="preserve"> </w:t>
      </w:r>
      <w:r w:rsidR="005B6434" w:rsidRPr="00B566F3">
        <w:rPr>
          <w:rFonts w:ascii="Cambria" w:hAnsi="Cambria"/>
          <w:sz w:val="22"/>
          <w:szCs w:val="22"/>
          <w:vertAlign w:val="superscript"/>
        </w:rPr>
        <w:footnoteReference w:id="39"/>
      </w:r>
      <w:r w:rsidR="00917DF3" w:rsidRPr="00B566F3">
        <w:rPr>
          <w:rFonts w:ascii="Cambria" w:hAnsi="Cambria"/>
          <w:sz w:val="22"/>
          <w:szCs w:val="22"/>
        </w:rPr>
        <w:t xml:space="preserve"> The excessive force used in the police response to Black Lives Matter protests has been contrasted with the policing of anti-lockdown protests which took place across the country.</w:t>
      </w:r>
      <w:r w:rsidR="00917DF3" w:rsidRPr="00B566F3">
        <w:rPr>
          <w:rFonts w:ascii="Cambria" w:hAnsi="Cambria"/>
          <w:sz w:val="22"/>
          <w:szCs w:val="22"/>
          <w:vertAlign w:val="superscript"/>
        </w:rPr>
        <w:footnoteReference w:id="40"/>
      </w:r>
    </w:p>
    <w:p w14:paraId="644BB5EB" w14:textId="77777777" w:rsidR="005B6434" w:rsidRPr="00B566F3" w:rsidRDefault="005B6434" w:rsidP="006B3CC7">
      <w:pPr>
        <w:pStyle w:val="ListParagraph"/>
        <w:tabs>
          <w:tab w:val="left" w:pos="567"/>
        </w:tabs>
        <w:ind w:left="567" w:hanging="567"/>
        <w:jc w:val="both"/>
        <w:rPr>
          <w:rFonts w:ascii="Cambria" w:hAnsi="Cambria"/>
          <w:sz w:val="22"/>
          <w:szCs w:val="22"/>
        </w:rPr>
      </w:pPr>
    </w:p>
    <w:p w14:paraId="7581C5C9" w14:textId="564C45AB" w:rsidR="00864342"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 xml:space="preserve">Lockdown regulations have been </w:t>
      </w:r>
      <w:r w:rsidR="005B6434" w:rsidRPr="00B566F3">
        <w:rPr>
          <w:rFonts w:ascii="Cambria" w:hAnsi="Cambria"/>
          <w:sz w:val="22"/>
          <w:szCs w:val="22"/>
        </w:rPr>
        <w:t>applied</w:t>
      </w:r>
      <w:r w:rsidRPr="00B566F3">
        <w:rPr>
          <w:rFonts w:ascii="Cambria" w:hAnsi="Cambria"/>
          <w:sz w:val="22"/>
          <w:szCs w:val="22"/>
        </w:rPr>
        <w:t xml:space="preserve"> by the police in the UK </w:t>
      </w:r>
      <w:r w:rsidR="005B6434" w:rsidRPr="00B566F3">
        <w:rPr>
          <w:rFonts w:ascii="Cambria" w:hAnsi="Cambria"/>
          <w:sz w:val="22"/>
          <w:szCs w:val="22"/>
        </w:rPr>
        <w:t>in ways which</w:t>
      </w:r>
      <w:r w:rsidRPr="00B566F3">
        <w:rPr>
          <w:rFonts w:ascii="Cambria" w:hAnsi="Cambria"/>
          <w:sz w:val="22"/>
          <w:szCs w:val="22"/>
        </w:rPr>
        <w:t xml:space="preserve"> restrict Black Lives Matter protests</w:t>
      </w:r>
      <w:r w:rsidR="005B6434" w:rsidRPr="00B566F3">
        <w:rPr>
          <w:rFonts w:ascii="Cambria" w:hAnsi="Cambria"/>
          <w:sz w:val="22"/>
          <w:szCs w:val="22"/>
        </w:rPr>
        <w:t>.</w:t>
      </w:r>
      <w:r w:rsidRPr="00B566F3">
        <w:rPr>
          <w:rFonts w:ascii="Cambria" w:hAnsi="Cambria"/>
          <w:sz w:val="22"/>
          <w:szCs w:val="22"/>
          <w:vertAlign w:val="superscript"/>
        </w:rPr>
        <w:footnoteReference w:id="41"/>
      </w:r>
      <w:r w:rsidRPr="00B566F3">
        <w:rPr>
          <w:rFonts w:ascii="Cambria" w:hAnsi="Cambria"/>
          <w:sz w:val="22"/>
          <w:szCs w:val="22"/>
        </w:rPr>
        <w:t xml:space="preserve"> </w:t>
      </w:r>
      <w:r w:rsidR="005B6434" w:rsidRPr="00B566F3">
        <w:rPr>
          <w:rFonts w:ascii="Cambria" w:hAnsi="Cambria"/>
          <w:sz w:val="22"/>
          <w:szCs w:val="22"/>
        </w:rPr>
        <w:t>An</w:t>
      </w:r>
      <w:r w:rsidRPr="00B566F3">
        <w:rPr>
          <w:rFonts w:ascii="Cambria" w:hAnsi="Cambria"/>
          <w:sz w:val="22"/>
          <w:szCs w:val="22"/>
        </w:rPr>
        <w:t xml:space="preserve"> analysis of data obtained by Liberty Investigates, part of the civil liberties group Liberty, and </w:t>
      </w:r>
      <w:r w:rsidRPr="00B566F3">
        <w:rPr>
          <w:rFonts w:ascii="Cambria" w:hAnsi="Cambria"/>
          <w:i/>
          <w:iCs/>
          <w:sz w:val="22"/>
          <w:szCs w:val="22"/>
        </w:rPr>
        <w:t>The Guardian</w:t>
      </w:r>
      <w:r w:rsidRPr="00B566F3">
        <w:rPr>
          <w:rFonts w:ascii="Cambria" w:hAnsi="Cambria"/>
          <w:sz w:val="22"/>
          <w:szCs w:val="22"/>
        </w:rPr>
        <w:t>, has shown that across England and Wales, BAME people were 54% more likely to be fined for violating lockdown regulations than white people.</w:t>
      </w:r>
      <w:r w:rsidRPr="00B566F3">
        <w:rPr>
          <w:rFonts w:ascii="Cambria" w:hAnsi="Cambria"/>
          <w:sz w:val="22"/>
          <w:szCs w:val="22"/>
          <w:vertAlign w:val="superscript"/>
        </w:rPr>
        <w:footnoteReference w:id="42"/>
      </w:r>
      <w:r w:rsidRPr="00B566F3">
        <w:rPr>
          <w:rFonts w:ascii="Cambria" w:hAnsi="Cambria"/>
          <w:sz w:val="22"/>
          <w:szCs w:val="22"/>
        </w:rPr>
        <w:t xml:space="preserve"> </w:t>
      </w:r>
    </w:p>
    <w:p w14:paraId="6D66442D" w14:textId="0622EFF5" w:rsidR="00864342" w:rsidRPr="00B566F3" w:rsidRDefault="00864342" w:rsidP="006B3CC7">
      <w:pPr>
        <w:tabs>
          <w:tab w:val="left" w:pos="567"/>
        </w:tabs>
        <w:snapToGrid w:val="0"/>
        <w:ind w:left="567" w:hanging="567"/>
        <w:contextualSpacing/>
        <w:jc w:val="both"/>
        <w:rPr>
          <w:rFonts w:ascii="Cambria" w:hAnsi="Cambria"/>
          <w:sz w:val="22"/>
          <w:szCs w:val="22"/>
        </w:rPr>
      </w:pPr>
    </w:p>
    <w:p w14:paraId="054E88AD" w14:textId="77777777" w:rsidR="00DC06C6" w:rsidRPr="00B566F3" w:rsidRDefault="00864342" w:rsidP="006B3CC7">
      <w:pPr>
        <w:pStyle w:val="ListParagraph"/>
        <w:numPr>
          <w:ilvl w:val="0"/>
          <w:numId w:val="2"/>
        </w:numPr>
        <w:tabs>
          <w:tab w:val="left" w:pos="567"/>
        </w:tabs>
        <w:ind w:left="567" w:hanging="567"/>
        <w:jc w:val="both"/>
        <w:rPr>
          <w:rFonts w:ascii="Cambria" w:hAnsi="Cambria"/>
          <w:b/>
          <w:bCs/>
          <w:i/>
          <w:iCs/>
          <w:sz w:val="22"/>
          <w:szCs w:val="22"/>
        </w:rPr>
      </w:pPr>
      <w:r w:rsidRPr="00B566F3">
        <w:rPr>
          <w:rFonts w:ascii="Cambria" w:hAnsi="Cambria"/>
          <w:b/>
          <w:bCs/>
          <w:i/>
          <w:iCs/>
          <w:sz w:val="22"/>
          <w:szCs w:val="22"/>
        </w:rPr>
        <w:t>Emerging impacts</w:t>
      </w:r>
    </w:p>
    <w:p w14:paraId="644FA558" w14:textId="77777777" w:rsidR="00D47F3A" w:rsidRPr="00B566F3" w:rsidRDefault="00D47F3A" w:rsidP="006B3CC7">
      <w:pPr>
        <w:tabs>
          <w:tab w:val="left" w:pos="567"/>
        </w:tabs>
        <w:ind w:left="567" w:hanging="567"/>
        <w:jc w:val="both"/>
        <w:rPr>
          <w:rFonts w:ascii="Cambria" w:hAnsi="Cambria"/>
          <w:sz w:val="22"/>
          <w:szCs w:val="22"/>
        </w:rPr>
      </w:pPr>
    </w:p>
    <w:p w14:paraId="0A7172FA" w14:textId="4F6A2C93" w:rsidR="00750F35" w:rsidRPr="00B566F3" w:rsidRDefault="00750F35"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In our May 2020 Call to Action, we noted that there were</w:t>
      </w:r>
      <w:r w:rsidRPr="00B566F3">
        <w:rPr>
          <w:rFonts w:ascii="Cambria" w:hAnsi="Cambria"/>
          <w:sz w:val="22"/>
          <w:szCs w:val="22"/>
          <w:lang w:val="en-US"/>
        </w:rPr>
        <w:t xml:space="preserve"> “credible warnings about the emerging and potential discriminatory impacts of state responses”. Our partners in that statement ha</w:t>
      </w:r>
      <w:r w:rsidR="00561A05" w:rsidRPr="00B566F3">
        <w:rPr>
          <w:rFonts w:ascii="Cambria" w:hAnsi="Cambria"/>
          <w:sz w:val="22"/>
          <w:szCs w:val="22"/>
          <w:lang w:val="en-US"/>
        </w:rPr>
        <w:t>ve</w:t>
      </w:r>
      <w:r w:rsidRPr="00B566F3">
        <w:rPr>
          <w:rFonts w:ascii="Cambria" w:hAnsi="Cambria"/>
          <w:sz w:val="22"/>
          <w:szCs w:val="22"/>
          <w:lang w:val="en-US"/>
        </w:rPr>
        <w:t xml:space="preserve">, </w:t>
      </w:r>
      <w:r w:rsidRPr="00B566F3">
        <w:rPr>
          <w:rFonts w:ascii="Cambria" w:hAnsi="Cambria"/>
          <w:i/>
          <w:iCs/>
          <w:sz w:val="22"/>
          <w:szCs w:val="22"/>
          <w:lang w:val="en-US"/>
        </w:rPr>
        <w:t>inter alia</w:t>
      </w:r>
      <w:r w:rsidRPr="00B566F3">
        <w:rPr>
          <w:rFonts w:ascii="Cambria" w:hAnsi="Cambria"/>
          <w:sz w:val="22"/>
          <w:szCs w:val="22"/>
          <w:lang w:val="en-US"/>
        </w:rPr>
        <w:t>, raised</w:t>
      </w:r>
      <w:r w:rsidRPr="00B566F3">
        <w:rPr>
          <w:rFonts w:ascii="Cambria" w:hAnsi="Cambria"/>
          <w:sz w:val="22"/>
          <w:szCs w:val="22"/>
        </w:rPr>
        <w:t xml:space="preserve"> concerns that responses to the virus were feeding and deepening the historical and structural discrimination against persons with disabilities;</w:t>
      </w:r>
      <w:r w:rsidR="0012644B" w:rsidRPr="00B566F3">
        <w:rPr>
          <w:rStyle w:val="FootnoteReference"/>
          <w:rFonts w:ascii="Cambria" w:hAnsi="Cambria"/>
          <w:sz w:val="22"/>
          <w:szCs w:val="22"/>
        </w:rPr>
        <w:footnoteReference w:id="43"/>
      </w:r>
      <w:r w:rsidRPr="00B566F3">
        <w:rPr>
          <w:rFonts w:ascii="Cambria" w:hAnsi="Cambria"/>
          <w:sz w:val="22"/>
          <w:szCs w:val="22"/>
        </w:rPr>
        <w:t xml:space="preserve"> exacerbating inequalities for women and girls;</w:t>
      </w:r>
      <w:r w:rsidR="0012644B" w:rsidRPr="00B566F3">
        <w:rPr>
          <w:rStyle w:val="FootnoteReference"/>
          <w:rFonts w:ascii="Cambria" w:hAnsi="Cambria"/>
          <w:sz w:val="22"/>
          <w:szCs w:val="22"/>
        </w:rPr>
        <w:footnoteReference w:id="44"/>
      </w:r>
      <w:r w:rsidRPr="00B566F3">
        <w:rPr>
          <w:rFonts w:ascii="Cambria" w:hAnsi="Cambria"/>
          <w:sz w:val="22"/>
          <w:szCs w:val="22"/>
        </w:rPr>
        <w:t xml:space="preserve"> creating barriers preventing transgender and intersex individuals from accessing healthcare,</w:t>
      </w:r>
      <w:r w:rsidR="0012644B" w:rsidRPr="00B566F3">
        <w:rPr>
          <w:rStyle w:val="FootnoteReference"/>
          <w:rFonts w:ascii="Cambria" w:hAnsi="Cambria"/>
          <w:sz w:val="22"/>
          <w:szCs w:val="22"/>
        </w:rPr>
        <w:footnoteReference w:id="45"/>
      </w:r>
      <w:r w:rsidRPr="00B566F3">
        <w:rPr>
          <w:rFonts w:ascii="Cambria" w:hAnsi="Cambria"/>
          <w:sz w:val="22"/>
          <w:szCs w:val="22"/>
        </w:rPr>
        <w:t xml:space="preserve"> and failing to factor the stateless into decision-making.</w:t>
      </w:r>
      <w:r w:rsidR="0012644B" w:rsidRPr="00B566F3">
        <w:rPr>
          <w:rStyle w:val="FootnoteReference"/>
          <w:rFonts w:ascii="Cambria" w:hAnsi="Cambria"/>
          <w:sz w:val="22"/>
          <w:szCs w:val="22"/>
        </w:rPr>
        <w:footnoteReference w:id="46"/>
      </w:r>
      <w:r w:rsidRPr="00B566F3">
        <w:rPr>
          <w:rFonts w:ascii="Cambria" w:hAnsi="Cambria"/>
          <w:sz w:val="22"/>
          <w:szCs w:val="22"/>
        </w:rPr>
        <w:t xml:space="preserve"> </w:t>
      </w:r>
      <w:r w:rsidR="00561A05" w:rsidRPr="00B566F3">
        <w:rPr>
          <w:rFonts w:ascii="Cambria" w:hAnsi="Cambria"/>
          <w:sz w:val="22"/>
          <w:szCs w:val="22"/>
        </w:rPr>
        <w:t>In the intervening period, many of these concerns have been borne out by the emerging evidence.</w:t>
      </w:r>
    </w:p>
    <w:p w14:paraId="05DE3A2A" w14:textId="77777777" w:rsidR="00750F35" w:rsidRPr="00B566F3" w:rsidRDefault="00750F35" w:rsidP="006B3CC7">
      <w:pPr>
        <w:pStyle w:val="ListParagraph"/>
        <w:ind w:left="567"/>
        <w:jc w:val="both"/>
        <w:rPr>
          <w:rFonts w:ascii="Cambria" w:hAnsi="Cambria"/>
          <w:sz w:val="22"/>
          <w:szCs w:val="22"/>
        </w:rPr>
      </w:pPr>
    </w:p>
    <w:p w14:paraId="039EE3D6" w14:textId="22D639C7" w:rsidR="00864342" w:rsidRPr="00B566F3" w:rsidRDefault="00750F35"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 xml:space="preserve">Moreover, as states emerge from lockdown or move into the next phase of their response, our experience at the Equal Rights Trust – and our engagement with equality defenders across the globe - leads us to anticipate that other patterns of discrimination will emerge. </w:t>
      </w:r>
      <w:r w:rsidR="00561A05" w:rsidRPr="00B566F3">
        <w:rPr>
          <w:rFonts w:ascii="Cambria" w:hAnsi="Cambria"/>
          <w:sz w:val="22"/>
          <w:szCs w:val="22"/>
        </w:rPr>
        <w:t>Our partners have highlighted emerging discriminatory threats, ranging from expected impacts of education policies on black children in the UK to emerging evidence of employment discrimination in Bolivia and Pakistan. We are also seriously concerned at the myriad potential discriminatory impacts of antibody testing, immunity passports and associated policies.</w:t>
      </w:r>
      <w:r w:rsidR="001E1DB9" w:rsidRPr="00B566F3">
        <w:rPr>
          <w:rFonts w:ascii="Cambria" w:hAnsi="Cambria"/>
          <w:sz w:val="22"/>
          <w:szCs w:val="22"/>
        </w:rPr>
        <w:t xml:space="preserve"> </w:t>
      </w:r>
    </w:p>
    <w:p w14:paraId="567C5CE1" w14:textId="77777777" w:rsidR="00561A05" w:rsidRPr="00B566F3" w:rsidRDefault="00561A05" w:rsidP="006B3CC7">
      <w:pPr>
        <w:pStyle w:val="ListParagraph"/>
        <w:jc w:val="both"/>
        <w:rPr>
          <w:rFonts w:ascii="Cambria" w:hAnsi="Cambria"/>
          <w:sz w:val="22"/>
          <w:szCs w:val="22"/>
        </w:rPr>
      </w:pPr>
    </w:p>
    <w:p w14:paraId="0F735479" w14:textId="6F4798E2" w:rsidR="00561A05" w:rsidRPr="00B566F3" w:rsidRDefault="00561A05"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Below, we highlight three areas in which evidence of discriminatory impacts is emergent but not yet confirmed, and others in which we anticipate discriminatory impacts which have yet to manifest.</w:t>
      </w:r>
    </w:p>
    <w:p w14:paraId="748FCCDD" w14:textId="77777777" w:rsidR="001E1DB9" w:rsidRPr="00B566F3" w:rsidRDefault="001E1DB9" w:rsidP="006B3CC7">
      <w:pPr>
        <w:tabs>
          <w:tab w:val="left" w:pos="567"/>
        </w:tabs>
        <w:ind w:left="567" w:hanging="567"/>
        <w:jc w:val="both"/>
        <w:rPr>
          <w:rFonts w:ascii="Cambria" w:hAnsi="Cambria"/>
          <w:sz w:val="22"/>
          <w:szCs w:val="22"/>
        </w:rPr>
      </w:pPr>
    </w:p>
    <w:p w14:paraId="454953CF" w14:textId="08E118AE" w:rsidR="00864342" w:rsidRPr="00B566F3" w:rsidRDefault="00864342" w:rsidP="006B3CC7">
      <w:pPr>
        <w:tabs>
          <w:tab w:val="left" w:pos="567"/>
        </w:tabs>
        <w:snapToGrid w:val="0"/>
        <w:ind w:left="567" w:hanging="567"/>
        <w:contextualSpacing/>
        <w:jc w:val="both"/>
        <w:rPr>
          <w:rFonts w:ascii="Cambria" w:hAnsi="Cambria"/>
          <w:sz w:val="22"/>
          <w:szCs w:val="22"/>
          <w:u w:val="single"/>
        </w:rPr>
      </w:pPr>
      <w:r w:rsidRPr="00B566F3">
        <w:rPr>
          <w:rFonts w:ascii="Cambria" w:hAnsi="Cambria"/>
          <w:sz w:val="22"/>
          <w:szCs w:val="22"/>
          <w:u w:val="single"/>
        </w:rPr>
        <w:t>Right to education</w:t>
      </w:r>
    </w:p>
    <w:p w14:paraId="3E7C6E21" w14:textId="77777777" w:rsidR="00864342" w:rsidRPr="00B566F3" w:rsidRDefault="00864342" w:rsidP="006B3CC7">
      <w:pPr>
        <w:tabs>
          <w:tab w:val="left" w:pos="567"/>
        </w:tabs>
        <w:snapToGrid w:val="0"/>
        <w:ind w:left="567" w:hanging="567"/>
        <w:contextualSpacing/>
        <w:jc w:val="both"/>
        <w:rPr>
          <w:rFonts w:ascii="Cambria" w:hAnsi="Cambria"/>
          <w:sz w:val="22"/>
          <w:szCs w:val="22"/>
          <w:u w:val="single"/>
        </w:rPr>
      </w:pPr>
    </w:p>
    <w:p w14:paraId="18388FCB" w14:textId="0C59B638" w:rsidR="00864342" w:rsidRPr="00B566F3" w:rsidRDefault="00917DF3" w:rsidP="006B3CC7">
      <w:pPr>
        <w:pStyle w:val="ListParagraph"/>
        <w:numPr>
          <w:ilvl w:val="0"/>
          <w:numId w:val="1"/>
        </w:numPr>
        <w:tabs>
          <w:tab w:val="left" w:pos="567"/>
        </w:tabs>
        <w:snapToGrid w:val="0"/>
        <w:jc w:val="both"/>
        <w:rPr>
          <w:rFonts w:ascii="Cambria" w:hAnsi="Cambria"/>
          <w:sz w:val="22"/>
          <w:szCs w:val="22"/>
        </w:rPr>
      </w:pPr>
      <w:r w:rsidRPr="00B566F3">
        <w:rPr>
          <w:rFonts w:ascii="Cambria" w:hAnsi="Cambria"/>
          <w:sz w:val="22"/>
          <w:szCs w:val="22"/>
        </w:rPr>
        <w:t xml:space="preserve">While access to education for millions of learners has been compromised by school closures, the </w:t>
      </w:r>
      <w:r w:rsidR="001E1DB9" w:rsidRPr="00B566F3">
        <w:rPr>
          <w:rFonts w:ascii="Cambria" w:hAnsi="Cambria"/>
          <w:sz w:val="22"/>
          <w:szCs w:val="22"/>
        </w:rPr>
        <w:t>Right to Education Initiative</w:t>
      </w:r>
      <w:r w:rsidRPr="00B566F3">
        <w:rPr>
          <w:rFonts w:ascii="Cambria" w:hAnsi="Cambria"/>
          <w:sz w:val="22"/>
          <w:szCs w:val="22"/>
        </w:rPr>
        <w:t>,</w:t>
      </w:r>
      <w:r w:rsidR="00052B0D" w:rsidRPr="00B566F3">
        <w:rPr>
          <w:rStyle w:val="FootnoteReference"/>
          <w:rFonts w:ascii="Cambria" w:hAnsi="Cambria"/>
          <w:sz w:val="22"/>
          <w:szCs w:val="22"/>
        </w:rPr>
        <w:footnoteReference w:id="47"/>
      </w:r>
      <w:r w:rsidRPr="00B566F3">
        <w:rPr>
          <w:rFonts w:ascii="Cambria" w:hAnsi="Cambria"/>
          <w:sz w:val="22"/>
          <w:szCs w:val="22"/>
        </w:rPr>
        <w:t xml:space="preserve"> amongst others, has highlighted the potentially discriminatory impacts on the right to education for students whose households cannot afford the equipment necessary to facilitate online and home learning. In Lebanon, concerns have been raised that </w:t>
      </w:r>
      <w:r w:rsidR="001E1DB9" w:rsidRPr="00B566F3">
        <w:rPr>
          <w:rFonts w:ascii="Cambria" w:hAnsi="Cambria"/>
          <w:sz w:val="22"/>
          <w:szCs w:val="22"/>
        </w:rPr>
        <w:t>students with visual disabilities</w:t>
      </w:r>
      <w:r w:rsidRPr="00B566F3">
        <w:rPr>
          <w:rFonts w:ascii="Cambria" w:hAnsi="Cambria"/>
          <w:sz w:val="22"/>
          <w:szCs w:val="22"/>
        </w:rPr>
        <w:t xml:space="preserve"> cannot make use of many online courses which are available.</w:t>
      </w:r>
      <w:r w:rsidR="001E1DB9" w:rsidRPr="00B566F3">
        <w:rPr>
          <w:rStyle w:val="FootnoteReference"/>
          <w:rFonts w:ascii="Cambria" w:hAnsi="Cambria"/>
          <w:sz w:val="22"/>
          <w:szCs w:val="22"/>
        </w:rPr>
        <w:footnoteReference w:id="48"/>
      </w:r>
      <w:r w:rsidRPr="00B566F3">
        <w:rPr>
          <w:rFonts w:ascii="Cambria" w:hAnsi="Cambria"/>
          <w:sz w:val="22"/>
          <w:szCs w:val="22"/>
        </w:rPr>
        <w:t xml:space="preserve"> </w:t>
      </w:r>
      <w:r w:rsidR="00CA21F2" w:rsidRPr="00B566F3">
        <w:rPr>
          <w:rFonts w:ascii="Cambria" w:hAnsi="Cambria"/>
          <w:sz w:val="22"/>
          <w:szCs w:val="22"/>
        </w:rPr>
        <w:t>In the UK, t</w:t>
      </w:r>
      <w:r w:rsidR="00980A09" w:rsidRPr="00B566F3">
        <w:rPr>
          <w:rFonts w:ascii="Cambria" w:hAnsi="Cambria"/>
          <w:sz w:val="22"/>
          <w:szCs w:val="22"/>
        </w:rPr>
        <w:t xml:space="preserve">here are concerns that </w:t>
      </w:r>
      <w:r w:rsidR="00561A05" w:rsidRPr="00B566F3">
        <w:rPr>
          <w:rFonts w:ascii="Cambria" w:hAnsi="Cambria"/>
          <w:sz w:val="22"/>
          <w:szCs w:val="22"/>
        </w:rPr>
        <w:t>the routine</w:t>
      </w:r>
      <w:r w:rsidR="00980A09" w:rsidRPr="00B566F3">
        <w:rPr>
          <w:rFonts w:ascii="Cambria" w:hAnsi="Cambria"/>
          <w:sz w:val="22"/>
          <w:szCs w:val="22"/>
        </w:rPr>
        <w:t xml:space="preserve"> under-prediction of grades</w:t>
      </w:r>
      <w:r w:rsidR="00561A05" w:rsidRPr="00B566F3">
        <w:rPr>
          <w:rFonts w:ascii="Cambria" w:hAnsi="Cambria"/>
          <w:sz w:val="22"/>
          <w:szCs w:val="22"/>
        </w:rPr>
        <w:t xml:space="preserve"> for </w:t>
      </w:r>
      <w:r w:rsidR="00BA4D85" w:rsidRPr="00B566F3">
        <w:rPr>
          <w:rFonts w:ascii="Cambria" w:hAnsi="Cambria"/>
          <w:sz w:val="22"/>
          <w:szCs w:val="22"/>
        </w:rPr>
        <w:t>B</w:t>
      </w:r>
      <w:r w:rsidR="00561A05" w:rsidRPr="00B566F3">
        <w:rPr>
          <w:rFonts w:ascii="Cambria" w:hAnsi="Cambria"/>
          <w:sz w:val="22"/>
          <w:szCs w:val="22"/>
        </w:rPr>
        <w:t>lack students</w:t>
      </w:r>
      <w:r w:rsidR="00CA21F2" w:rsidRPr="00B566F3">
        <w:rPr>
          <w:rStyle w:val="FootnoteReference"/>
          <w:rFonts w:ascii="Cambria" w:hAnsi="Cambria"/>
          <w:sz w:val="22"/>
          <w:szCs w:val="22"/>
        </w:rPr>
        <w:footnoteReference w:id="49"/>
      </w:r>
      <w:r w:rsidR="00980A09" w:rsidRPr="00B566F3">
        <w:rPr>
          <w:rFonts w:ascii="Cambria" w:hAnsi="Cambria"/>
          <w:sz w:val="22"/>
          <w:szCs w:val="22"/>
        </w:rPr>
        <w:t xml:space="preserve"> will </w:t>
      </w:r>
      <w:r w:rsidR="00561A05" w:rsidRPr="00B566F3">
        <w:rPr>
          <w:rFonts w:ascii="Cambria" w:hAnsi="Cambria"/>
          <w:sz w:val="22"/>
          <w:szCs w:val="22"/>
        </w:rPr>
        <w:t>lead to even greater challenges than normal</w:t>
      </w:r>
      <w:r w:rsidR="00980A09" w:rsidRPr="00B566F3">
        <w:rPr>
          <w:rFonts w:ascii="Cambria" w:hAnsi="Cambria"/>
          <w:sz w:val="22"/>
          <w:szCs w:val="22"/>
        </w:rPr>
        <w:t xml:space="preserve"> as the UK moves to a system </w:t>
      </w:r>
      <w:r w:rsidR="00914E06" w:rsidRPr="00B566F3">
        <w:rPr>
          <w:rFonts w:ascii="Cambria" w:hAnsi="Cambria"/>
          <w:sz w:val="22"/>
          <w:szCs w:val="22"/>
        </w:rPr>
        <w:t xml:space="preserve">in </w:t>
      </w:r>
      <w:r w:rsidR="00980A09" w:rsidRPr="00B566F3">
        <w:rPr>
          <w:rFonts w:ascii="Cambria" w:hAnsi="Cambria"/>
          <w:sz w:val="22"/>
          <w:szCs w:val="22"/>
        </w:rPr>
        <w:t xml:space="preserve">which </w:t>
      </w:r>
      <w:r w:rsidR="00BC7AC5" w:rsidRPr="00B566F3">
        <w:rPr>
          <w:rFonts w:ascii="Cambria" w:hAnsi="Cambria"/>
          <w:sz w:val="22"/>
          <w:szCs w:val="22"/>
        </w:rPr>
        <w:t xml:space="preserve">the </w:t>
      </w:r>
      <w:r w:rsidR="00980A09" w:rsidRPr="00B566F3">
        <w:rPr>
          <w:rFonts w:ascii="Cambria" w:hAnsi="Cambria"/>
          <w:sz w:val="22"/>
          <w:szCs w:val="22"/>
        </w:rPr>
        <w:t>grades</w:t>
      </w:r>
      <w:r w:rsidR="00BC7AC5" w:rsidRPr="00B566F3">
        <w:rPr>
          <w:rFonts w:ascii="Cambria" w:hAnsi="Cambria"/>
          <w:sz w:val="22"/>
          <w:szCs w:val="22"/>
        </w:rPr>
        <w:t xml:space="preserve"> of all final year students will be</w:t>
      </w:r>
      <w:r w:rsidR="00980A09" w:rsidRPr="00B566F3">
        <w:rPr>
          <w:rFonts w:ascii="Cambria" w:hAnsi="Cambria"/>
          <w:sz w:val="22"/>
          <w:szCs w:val="22"/>
        </w:rPr>
        <w:t xml:space="preserve"> predicted by exam boards and teachers.</w:t>
      </w:r>
      <w:r w:rsidR="00CA21F2" w:rsidRPr="00B566F3">
        <w:rPr>
          <w:rStyle w:val="FootnoteReference"/>
          <w:rFonts w:ascii="Cambria" w:hAnsi="Cambria"/>
          <w:sz w:val="22"/>
          <w:szCs w:val="22"/>
        </w:rPr>
        <w:footnoteReference w:id="50"/>
      </w:r>
      <w:r w:rsidR="00980A09" w:rsidRPr="00B566F3">
        <w:rPr>
          <w:rFonts w:ascii="Cambria" w:hAnsi="Cambria"/>
          <w:sz w:val="22"/>
          <w:szCs w:val="22"/>
        </w:rPr>
        <w:t xml:space="preserve"> </w:t>
      </w:r>
      <w:r w:rsidRPr="00B566F3">
        <w:rPr>
          <w:rFonts w:ascii="Cambria" w:hAnsi="Cambria"/>
          <w:sz w:val="22"/>
          <w:szCs w:val="22"/>
        </w:rPr>
        <w:t xml:space="preserve">Serious concerns have also been raised about the other discriminatory impacts of school closures on children in vulnerable situations, including, for example, </w:t>
      </w:r>
      <w:r w:rsidR="00D47F3A" w:rsidRPr="00B566F3">
        <w:rPr>
          <w:rFonts w:ascii="Cambria" w:hAnsi="Cambria"/>
          <w:sz w:val="22"/>
          <w:szCs w:val="22"/>
        </w:rPr>
        <w:t>girls at risk of sexual abuse</w:t>
      </w:r>
      <w:r w:rsidRPr="00B566F3">
        <w:rPr>
          <w:rFonts w:ascii="Cambria" w:hAnsi="Cambria"/>
          <w:sz w:val="22"/>
          <w:szCs w:val="22"/>
        </w:rPr>
        <w:t>.</w:t>
      </w:r>
      <w:r w:rsidR="00D47F3A" w:rsidRPr="00B566F3">
        <w:rPr>
          <w:rStyle w:val="FootnoteReference"/>
          <w:rFonts w:ascii="Cambria" w:hAnsi="Cambria"/>
          <w:sz w:val="22"/>
          <w:szCs w:val="22"/>
        </w:rPr>
        <w:footnoteReference w:id="51"/>
      </w:r>
    </w:p>
    <w:p w14:paraId="5B207AAA" w14:textId="080EBFAD" w:rsidR="00864342" w:rsidRPr="00B566F3" w:rsidRDefault="00864342" w:rsidP="006B3CC7">
      <w:pPr>
        <w:tabs>
          <w:tab w:val="left" w:pos="567"/>
        </w:tabs>
        <w:snapToGrid w:val="0"/>
        <w:ind w:left="567" w:hanging="567"/>
        <w:contextualSpacing/>
        <w:jc w:val="both"/>
        <w:rPr>
          <w:rFonts w:ascii="Cambria" w:hAnsi="Cambria"/>
          <w:sz w:val="22"/>
          <w:szCs w:val="22"/>
        </w:rPr>
      </w:pPr>
    </w:p>
    <w:p w14:paraId="38DC0340" w14:textId="0322D733" w:rsidR="00864342" w:rsidRPr="00B566F3" w:rsidRDefault="00864342" w:rsidP="006B3CC7">
      <w:pPr>
        <w:tabs>
          <w:tab w:val="left" w:pos="567"/>
        </w:tabs>
        <w:snapToGrid w:val="0"/>
        <w:ind w:left="567" w:hanging="567"/>
        <w:contextualSpacing/>
        <w:jc w:val="both"/>
        <w:rPr>
          <w:rFonts w:ascii="Cambria" w:hAnsi="Cambria"/>
          <w:sz w:val="22"/>
          <w:szCs w:val="22"/>
          <w:u w:val="single"/>
        </w:rPr>
      </w:pPr>
      <w:r w:rsidRPr="00B566F3">
        <w:rPr>
          <w:rFonts w:ascii="Cambria" w:hAnsi="Cambria"/>
          <w:sz w:val="22"/>
          <w:szCs w:val="22"/>
          <w:u w:val="single"/>
        </w:rPr>
        <w:t>Right to work</w:t>
      </w:r>
    </w:p>
    <w:p w14:paraId="6AA67FD0" w14:textId="77777777" w:rsidR="00864342" w:rsidRPr="00B566F3" w:rsidRDefault="00864342" w:rsidP="006B3CC7">
      <w:pPr>
        <w:tabs>
          <w:tab w:val="left" w:pos="567"/>
        </w:tabs>
        <w:snapToGrid w:val="0"/>
        <w:ind w:left="567" w:hanging="567"/>
        <w:contextualSpacing/>
        <w:jc w:val="both"/>
        <w:rPr>
          <w:rFonts w:ascii="Cambria" w:hAnsi="Cambria"/>
          <w:sz w:val="22"/>
          <w:szCs w:val="22"/>
          <w:u w:val="single"/>
        </w:rPr>
      </w:pPr>
    </w:p>
    <w:p w14:paraId="51C7FFF6" w14:textId="69265D7D" w:rsidR="00561A05" w:rsidRPr="00B566F3" w:rsidRDefault="00561A05"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As the International Labour Organisation has highlighted, “[t]he world of work is being profoundly affected by the global virus pandemic”.</w:t>
      </w:r>
      <w:r w:rsidRPr="00B566F3">
        <w:rPr>
          <w:rStyle w:val="FootnoteReference"/>
          <w:rFonts w:ascii="Cambria" w:hAnsi="Cambria"/>
          <w:sz w:val="22"/>
          <w:szCs w:val="22"/>
        </w:rPr>
        <w:footnoteReference w:id="52"/>
      </w:r>
      <w:r w:rsidRPr="00B566F3">
        <w:rPr>
          <w:rFonts w:ascii="Cambria" w:hAnsi="Cambria"/>
          <w:sz w:val="22"/>
          <w:szCs w:val="22"/>
        </w:rPr>
        <w:t xml:space="preserve"> </w:t>
      </w:r>
      <w:r w:rsidR="00917DF3" w:rsidRPr="00B566F3">
        <w:rPr>
          <w:rFonts w:ascii="Cambria" w:hAnsi="Cambria"/>
          <w:sz w:val="22"/>
          <w:szCs w:val="22"/>
        </w:rPr>
        <w:t>The discriminatory impacts of lockdown and business closures on the right to work</w:t>
      </w:r>
      <w:r w:rsidR="00917DF3" w:rsidRPr="00B566F3">
        <w:rPr>
          <w:rFonts w:ascii="Cambria" w:hAnsi="Cambria"/>
          <w:b/>
          <w:bCs/>
          <w:i/>
          <w:iCs/>
          <w:sz w:val="22"/>
          <w:szCs w:val="22"/>
        </w:rPr>
        <w:t xml:space="preserve"> </w:t>
      </w:r>
      <w:r w:rsidR="00917DF3" w:rsidRPr="00B566F3">
        <w:rPr>
          <w:rFonts w:ascii="Cambria" w:hAnsi="Cambria"/>
          <w:sz w:val="22"/>
          <w:szCs w:val="22"/>
        </w:rPr>
        <w:t>are becoming clearer with each week. Before the crisis, labour markets in many states were effectively segregated on the basis of race, gender and other characteristics</w:t>
      </w:r>
      <w:r w:rsidR="00572474" w:rsidRPr="00B566F3">
        <w:rPr>
          <w:rFonts w:ascii="Cambria" w:hAnsi="Cambria"/>
          <w:sz w:val="22"/>
          <w:szCs w:val="22"/>
        </w:rPr>
        <w:t xml:space="preserve">, with </w:t>
      </w:r>
      <w:r w:rsidR="00917DF3" w:rsidRPr="00B566F3">
        <w:rPr>
          <w:rFonts w:ascii="Cambria" w:hAnsi="Cambria"/>
          <w:sz w:val="22"/>
          <w:szCs w:val="22"/>
        </w:rPr>
        <w:t xml:space="preserve">women being overrepresented in social care and ethnic minorities being overrepresented </w:t>
      </w:r>
      <w:r w:rsidR="00B566F3" w:rsidRPr="00B566F3">
        <w:rPr>
          <w:rFonts w:ascii="Cambria" w:hAnsi="Cambria"/>
          <w:sz w:val="22"/>
          <w:szCs w:val="22"/>
        </w:rPr>
        <w:t>in service</w:t>
      </w:r>
      <w:r w:rsidR="00917DF3" w:rsidRPr="00B566F3">
        <w:rPr>
          <w:rFonts w:ascii="Cambria" w:hAnsi="Cambria"/>
          <w:sz w:val="22"/>
          <w:szCs w:val="22"/>
        </w:rPr>
        <w:t xml:space="preserve"> sector roles, for example. In th</w:t>
      </w:r>
      <w:r w:rsidR="000448CC" w:rsidRPr="00B566F3">
        <w:rPr>
          <w:rFonts w:ascii="Cambria" w:hAnsi="Cambria"/>
          <w:sz w:val="22"/>
          <w:szCs w:val="22"/>
        </w:rPr>
        <w:t xml:space="preserve">e </w:t>
      </w:r>
      <w:r w:rsidR="00917DF3" w:rsidRPr="00B566F3">
        <w:rPr>
          <w:rFonts w:ascii="Cambria" w:hAnsi="Cambria"/>
          <w:sz w:val="22"/>
          <w:szCs w:val="22"/>
        </w:rPr>
        <w:t>context</w:t>
      </w:r>
      <w:r w:rsidR="000448CC" w:rsidRPr="00B566F3">
        <w:rPr>
          <w:rFonts w:ascii="Cambria" w:hAnsi="Cambria"/>
          <w:sz w:val="22"/>
          <w:szCs w:val="22"/>
        </w:rPr>
        <w:t xml:space="preserve"> of horizontally segregated labour markets</w:t>
      </w:r>
      <w:r w:rsidR="00917DF3" w:rsidRPr="00B566F3">
        <w:rPr>
          <w:rFonts w:ascii="Cambria" w:hAnsi="Cambria"/>
          <w:sz w:val="22"/>
          <w:szCs w:val="22"/>
        </w:rPr>
        <w:t>, States’ decisions on issues such as whether and how to close certain sectors of the economy; designate essential roles; enforce working from home requirements; and provide financial support to workers who cannot work</w:t>
      </w:r>
      <w:r w:rsidR="009C7DA6" w:rsidRPr="00B566F3">
        <w:rPr>
          <w:rFonts w:ascii="Cambria" w:hAnsi="Cambria"/>
          <w:sz w:val="22"/>
          <w:szCs w:val="22"/>
        </w:rPr>
        <w:t>,</w:t>
      </w:r>
      <w:r w:rsidR="00917DF3" w:rsidRPr="00B566F3">
        <w:rPr>
          <w:rFonts w:ascii="Cambria" w:hAnsi="Cambria"/>
          <w:sz w:val="22"/>
          <w:szCs w:val="22"/>
        </w:rPr>
        <w:t xml:space="preserve"> all have serious potential discriminatory impacts. </w:t>
      </w:r>
    </w:p>
    <w:p w14:paraId="7DF9D981" w14:textId="77777777" w:rsidR="00561A05" w:rsidRPr="00B566F3" w:rsidRDefault="00561A05" w:rsidP="006B3CC7">
      <w:pPr>
        <w:snapToGrid w:val="0"/>
        <w:ind w:left="567"/>
        <w:contextualSpacing/>
        <w:jc w:val="both"/>
        <w:rPr>
          <w:rFonts w:ascii="Cambria" w:hAnsi="Cambria"/>
          <w:sz w:val="22"/>
          <w:szCs w:val="22"/>
        </w:rPr>
      </w:pPr>
    </w:p>
    <w:p w14:paraId="37BD8A13" w14:textId="491B2132" w:rsidR="00864342" w:rsidRPr="00B566F3" w:rsidRDefault="00917DF3" w:rsidP="006B3CC7">
      <w:pPr>
        <w:numPr>
          <w:ilvl w:val="0"/>
          <w:numId w:val="1"/>
        </w:numPr>
        <w:tabs>
          <w:tab w:val="left" w:pos="567"/>
        </w:tabs>
        <w:snapToGrid w:val="0"/>
        <w:contextualSpacing/>
        <w:jc w:val="both"/>
        <w:rPr>
          <w:rFonts w:ascii="Cambria" w:hAnsi="Cambria"/>
          <w:sz w:val="22"/>
          <w:szCs w:val="22"/>
        </w:rPr>
      </w:pPr>
      <w:r w:rsidRPr="00B566F3">
        <w:rPr>
          <w:rFonts w:ascii="Cambria" w:hAnsi="Cambria"/>
          <w:sz w:val="22"/>
          <w:szCs w:val="22"/>
        </w:rPr>
        <w:t>Further issues will arise as we move forward, where restrictions which have previously been of a blanket nature are lifted for specific sectors of the economy, public services</w:t>
      </w:r>
      <w:r w:rsidR="009C7DA6" w:rsidRPr="00B566F3">
        <w:rPr>
          <w:rFonts w:ascii="Cambria" w:hAnsi="Cambria"/>
          <w:sz w:val="22"/>
          <w:szCs w:val="22"/>
        </w:rPr>
        <w:t>,</w:t>
      </w:r>
      <w:r w:rsidRPr="00B566F3">
        <w:rPr>
          <w:rFonts w:ascii="Cambria" w:hAnsi="Cambria"/>
          <w:sz w:val="22"/>
          <w:szCs w:val="22"/>
        </w:rPr>
        <w:t xml:space="preserve"> or groups of people. </w:t>
      </w:r>
      <w:r w:rsidR="00561A05" w:rsidRPr="00B566F3">
        <w:rPr>
          <w:rFonts w:ascii="Cambria" w:hAnsi="Cambria"/>
          <w:sz w:val="22"/>
          <w:szCs w:val="22"/>
        </w:rPr>
        <w:t>We are concerned that both horizontal and vertical segregation in labour markets will result in discriminatory impacts on women, ethnic minorities and other groups who are overrepresented in certain sectors or in certain positions within particular sectors</w:t>
      </w:r>
      <w:r w:rsidR="00AC37EA" w:rsidRPr="00B566F3">
        <w:rPr>
          <w:rFonts w:ascii="Cambria" w:hAnsi="Cambria"/>
          <w:sz w:val="22"/>
          <w:szCs w:val="22"/>
        </w:rPr>
        <w:t xml:space="preserve">. </w:t>
      </w:r>
    </w:p>
    <w:p w14:paraId="696A37D2" w14:textId="2AEC52D3" w:rsidR="00864342" w:rsidRPr="00B566F3" w:rsidRDefault="00864342" w:rsidP="006B3CC7">
      <w:pPr>
        <w:tabs>
          <w:tab w:val="left" w:pos="567"/>
        </w:tabs>
        <w:snapToGrid w:val="0"/>
        <w:ind w:left="567" w:hanging="567"/>
        <w:contextualSpacing/>
        <w:jc w:val="both"/>
        <w:rPr>
          <w:rFonts w:ascii="Cambria" w:hAnsi="Cambria"/>
          <w:sz w:val="22"/>
          <w:szCs w:val="22"/>
        </w:rPr>
      </w:pPr>
    </w:p>
    <w:p w14:paraId="473232D5" w14:textId="6BBAF613" w:rsidR="00864342" w:rsidRPr="00B566F3" w:rsidRDefault="007A439C" w:rsidP="006B3CC7">
      <w:pPr>
        <w:tabs>
          <w:tab w:val="left" w:pos="567"/>
        </w:tabs>
        <w:snapToGrid w:val="0"/>
        <w:ind w:left="567" w:hanging="567"/>
        <w:contextualSpacing/>
        <w:jc w:val="both"/>
        <w:rPr>
          <w:rFonts w:ascii="Cambria" w:hAnsi="Cambria"/>
          <w:sz w:val="22"/>
          <w:szCs w:val="22"/>
          <w:u w:val="single"/>
        </w:rPr>
      </w:pPr>
      <w:bookmarkStart w:id="2" w:name="_Hlk43904243"/>
      <w:r w:rsidRPr="00B566F3">
        <w:rPr>
          <w:rFonts w:ascii="Cambria" w:hAnsi="Cambria"/>
          <w:sz w:val="22"/>
          <w:szCs w:val="22"/>
          <w:u w:val="single"/>
        </w:rPr>
        <w:t>Anti-body testing, immunity passports and associated policies</w:t>
      </w:r>
    </w:p>
    <w:p w14:paraId="1C97311F" w14:textId="77777777" w:rsidR="00017D2B" w:rsidRPr="00B566F3" w:rsidRDefault="00017D2B" w:rsidP="006B3CC7">
      <w:pPr>
        <w:tabs>
          <w:tab w:val="left" w:pos="567"/>
        </w:tabs>
        <w:ind w:left="567" w:hanging="567"/>
        <w:jc w:val="both"/>
        <w:rPr>
          <w:rFonts w:ascii="Cambria" w:hAnsi="Cambria"/>
          <w:sz w:val="22"/>
          <w:szCs w:val="22"/>
        </w:rPr>
      </w:pPr>
    </w:p>
    <w:p w14:paraId="150172AA" w14:textId="55DDC6A9" w:rsidR="007A439C" w:rsidRPr="00B566F3" w:rsidRDefault="007A439C"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States</w:t>
      </w:r>
      <w:r w:rsidR="006D6594" w:rsidRPr="00B566F3">
        <w:rPr>
          <w:rFonts w:ascii="Cambria" w:hAnsi="Cambria"/>
          <w:sz w:val="22"/>
          <w:szCs w:val="22"/>
        </w:rPr>
        <w:t>’</w:t>
      </w:r>
      <w:r w:rsidRPr="00B566F3">
        <w:rPr>
          <w:rFonts w:ascii="Cambria" w:hAnsi="Cambria"/>
          <w:sz w:val="22"/>
          <w:szCs w:val="22"/>
        </w:rPr>
        <w:t xml:space="preserve"> movement towards the use of anti-body testing, immunity passports, “track-and-trace” applications and other measures designed to identify those at risk of infection and those who pose a risk of spreading the virus and to track and manage the spread of the virus </w:t>
      </w:r>
      <w:r w:rsidR="006D6594" w:rsidRPr="00B566F3">
        <w:rPr>
          <w:rFonts w:ascii="Cambria" w:hAnsi="Cambria"/>
          <w:sz w:val="22"/>
          <w:szCs w:val="22"/>
        </w:rPr>
        <w:t>pose</w:t>
      </w:r>
      <w:r w:rsidRPr="00B566F3">
        <w:rPr>
          <w:rFonts w:ascii="Cambria" w:hAnsi="Cambria"/>
          <w:sz w:val="22"/>
          <w:szCs w:val="22"/>
        </w:rPr>
        <w:t xml:space="preserve"> myriad discriminatory risks. </w:t>
      </w:r>
    </w:p>
    <w:p w14:paraId="7060C4C4" w14:textId="264DE2C5" w:rsidR="007A439C" w:rsidRPr="00B566F3" w:rsidRDefault="007A439C" w:rsidP="006B3CC7">
      <w:pPr>
        <w:tabs>
          <w:tab w:val="left" w:pos="567"/>
        </w:tabs>
        <w:jc w:val="both"/>
        <w:rPr>
          <w:rFonts w:ascii="Cambria" w:hAnsi="Cambria"/>
          <w:sz w:val="22"/>
          <w:szCs w:val="22"/>
        </w:rPr>
      </w:pPr>
      <w:r w:rsidRPr="00B566F3">
        <w:rPr>
          <w:rFonts w:ascii="Cambria" w:hAnsi="Cambria"/>
          <w:sz w:val="22"/>
          <w:szCs w:val="22"/>
        </w:rPr>
        <w:t xml:space="preserve"> </w:t>
      </w:r>
    </w:p>
    <w:p w14:paraId="62B18307" w14:textId="57956C9E" w:rsidR="00CD6A6E" w:rsidRPr="00B566F3" w:rsidRDefault="00017D2B"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 xml:space="preserve">The use of new information technologies in states’ responses to the pandemic </w:t>
      </w:r>
      <w:r w:rsidR="007A439C" w:rsidRPr="00B566F3">
        <w:rPr>
          <w:rFonts w:ascii="Cambria" w:hAnsi="Cambria"/>
          <w:sz w:val="22"/>
          <w:szCs w:val="22"/>
        </w:rPr>
        <w:t xml:space="preserve">not only </w:t>
      </w:r>
      <w:r w:rsidRPr="00B566F3">
        <w:rPr>
          <w:rFonts w:ascii="Cambria" w:hAnsi="Cambria"/>
          <w:sz w:val="22"/>
          <w:szCs w:val="22"/>
        </w:rPr>
        <w:t>threatens the right</w:t>
      </w:r>
      <w:r w:rsidR="007A439C" w:rsidRPr="00B566F3">
        <w:rPr>
          <w:rFonts w:ascii="Cambria" w:hAnsi="Cambria"/>
          <w:sz w:val="22"/>
          <w:szCs w:val="22"/>
        </w:rPr>
        <w:t>s</w:t>
      </w:r>
      <w:r w:rsidRPr="00B566F3">
        <w:rPr>
          <w:rFonts w:ascii="Cambria" w:hAnsi="Cambria"/>
          <w:sz w:val="22"/>
          <w:szCs w:val="22"/>
        </w:rPr>
        <w:t xml:space="preserve"> to privacy and data protection</w:t>
      </w:r>
      <w:r w:rsidR="007A439C" w:rsidRPr="00B566F3">
        <w:rPr>
          <w:rFonts w:ascii="Cambria" w:hAnsi="Cambria"/>
          <w:sz w:val="22"/>
          <w:szCs w:val="22"/>
        </w:rPr>
        <w:t>, but also</w:t>
      </w:r>
      <w:r w:rsidRPr="00B566F3">
        <w:rPr>
          <w:rFonts w:ascii="Cambria" w:hAnsi="Cambria"/>
          <w:sz w:val="22"/>
          <w:szCs w:val="22"/>
        </w:rPr>
        <w:t xml:space="preserve"> risks long-standing discriminatory effects. </w:t>
      </w:r>
      <w:r w:rsidR="006D6594" w:rsidRPr="00B566F3">
        <w:rPr>
          <w:rFonts w:ascii="Cambria" w:hAnsi="Cambria"/>
          <w:sz w:val="22"/>
          <w:szCs w:val="22"/>
        </w:rPr>
        <w:t>The</w:t>
      </w:r>
      <w:r w:rsidRPr="00B566F3">
        <w:rPr>
          <w:rFonts w:ascii="Cambria" w:hAnsi="Cambria"/>
          <w:sz w:val="22"/>
          <w:szCs w:val="22"/>
        </w:rPr>
        <w:t xml:space="preserve"> discriminatory potential of the mass collection and processing of personal data is yet to be fully understood</w:t>
      </w:r>
      <w:r w:rsidR="006D6594" w:rsidRPr="00B566F3">
        <w:rPr>
          <w:rFonts w:ascii="Cambria" w:hAnsi="Cambria"/>
          <w:sz w:val="22"/>
          <w:szCs w:val="22"/>
        </w:rPr>
        <w:t>.</w:t>
      </w:r>
      <w:r w:rsidRPr="00B566F3">
        <w:rPr>
          <w:rStyle w:val="FootnoteReference"/>
          <w:rFonts w:ascii="Cambria" w:hAnsi="Cambria"/>
          <w:sz w:val="22"/>
          <w:szCs w:val="22"/>
        </w:rPr>
        <w:footnoteReference w:id="53"/>
      </w:r>
      <w:r w:rsidRPr="00B566F3">
        <w:rPr>
          <w:rFonts w:ascii="Cambria" w:hAnsi="Cambria"/>
          <w:sz w:val="22"/>
          <w:szCs w:val="22"/>
        </w:rPr>
        <w:t xml:space="preserve"> </w:t>
      </w:r>
      <w:r w:rsidR="006D6594" w:rsidRPr="00B566F3">
        <w:rPr>
          <w:rFonts w:ascii="Cambria" w:hAnsi="Cambria"/>
          <w:sz w:val="22"/>
          <w:szCs w:val="22"/>
        </w:rPr>
        <w:t xml:space="preserve">Nevertheless, in the context of the pandemic, </w:t>
      </w:r>
      <w:r w:rsidR="00AE37D9" w:rsidRPr="00B566F3">
        <w:rPr>
          <w:rFonts w:ascii="Cambria" w:hAnsi="Cambria"/>
          <w:sz w:val="22"/>
          <w:szCs w:val="22"/>
        </w:rPr>
        <w:t>t</w:t>
      </w:r>
      <w:r w:rsidRPr="00B566F3">
        <w:rPr>
          <w:rFonts w:ascii="Cambria" w:hAnsi="Cambria"/>
          <w:sz w:val="22"/>
          <w:szCs w:val="22"/>
        </w:rPr>
        <w:t>here is a real and pertinent risk that the collection of location data will enable the monitoring of specific communities</w:t>
      </w:r>
      <w:r w:rsidR="00AE37D9" w:rsidRPr="00B566F3">
        <w:rPr>
          <w:rFonts w:ascii="Cambria" w:hAnsi="Cambria"/>
          <w:sz w:val="22"/>
          <w:szCs w:val="22"/>
        </w:rPr>
        <w:t>,</w:t>
      </w:r>
      <w:r w:rsidRPr="00B566F3">
        <w:rPr>
          <w:rStyle w:val="FootnoteReference"/>
          <w:rFonts w:ascii="Cambria" w:hAnsi="Cambria"/>
          <w:sz w:val="22"/>
          <w:szCs w:val="22"/>
        </w:rPr>
        <w:footnoteReference w:id="54"/>
      </w:r>
      <w:r w:rsidRPr="00B566F3">
        <w:rPr>
          <w:rFonts w:ascii="Cambria" w:hAnsi="Cambria"/>
          <w:sz w:val="22"/>
          <w:szCs w:val="22"/>
        </w:rPr>
        <w:t xml:space="preserve"> and that the use of </w:t>
      </w:r>
      <w:r w:rsidR="00F04865" w:rsidRPr="00B566F3">
        <w:rPr>
          <w:rFonts w:ascii="Cambria" w:hAnsi="Cambria"/>
          <w:sz w:val="22"/>
          <w:szCs w:val="22"/>
        </w:rPr>
        <w:t xml:space="preserve">profiling and </w:t>
      </w:r>
      <w:r w:rsidRPr="00B566F3">
        <w:rPr>
          <w:rFonts w:ascii="Cambria" w:hAnsi="Cambria"/>
          <w:sz w:val="22"/>
          <w:szCs w:val="22"/>
        </w:rPr>
        <w:t>predictive data models will “lead to discriminatory outcomes, often shielded from interrogation by the ‘black box’ of indecipherably complex technology”.</w:t>
      </w:r>
      <w:r w:rsidRPr="00B566F3">
        <w:rPr>
          <w:rStyle w:val="FootnoteReference"/>
          <w:rFonts w:ascii="Cambria" w:hAnsi="Cambria"/>
          <w:sz w:val="22"/>
          <w:szCs w:val="22"/>
        </w:rPr>
        <w:footnoteReference w:id="55"/>
      </w:r>
      <w:r w:rsidR="00CD6A6E" w:rsidRPr="00B566F3">
        <w:rPr>
          <w:rFonts w:ascii="Cambria" w:hAnsi="Cambria"/>
          <w:sz w:val="22"/>
          <w:szCs w:val="22"/>
        </w:rPr>
        <w:t xml:space="preserve"> </w:t>
      </w:r>
    </w:p>
    <w:p w14:paraId="4BF4D5A3" w14:textId="77777777" w:rsidR="00CD6A6E" w:rsidRPr="00B566F3" w:rsidRDefault="00CD6A6E" w:rsidP="006B3CC7">
      <w:pPr>
        <w:pStyle w:val="ListParagraph"/>
        <w:tabs>
          <w:tab w:val="left" w:pos="567"/>
        </w:tabs>
        <w:ind w:left="567" w:hanging="567"/>
        <w:jc w:val="both"/>
        <w:rPr>
          <w:rFonts w:ascii="Cambria" w:hAnsi="Cambria"/>
          <w:sz w:val="22"/>
          <w:szCs w:val="22"/>
        </w:rPr>
      </w:pPr>
    </w:p>
    <w:p w14:paraId="5D090F1E" w14:textId="12EBB0C0" w:rsidR="006B3CC7" w:rsidRPr="00B566F3" w:rsidRDefault="006B3CC7" w:rsidP="00C34CB0">
      <w:pPr>
        <w:pStyle w:val="ListParagraph"/>
        <w:numPr>
          <w:ilvl w:val="0"/>
          <w:numId w:val="1"/>
        </w:numPr>
        <w:jc w:val="both"/>
        <w:rPr>
          <w:rFonts w:ascii="Cambria" w:hAnsi="Cambria"/>
          <w:sz w:val="22"/>
          <w:szCs w:val="22"/>
        </w:rPr>
      </w:pPr>
      <w:r w:rsidRPr="00B566F3">
        <w:rPr>
          <w:rFonts w:ascii="Cambria" w:hAnsi="Cambria"/>
          <w:sz w:val="22"/>
          <w:szCs w:val="22"/>
        </w:rPr>
        <w:t>There is a significant risk that the use of anti-body testing and immunity data will result in discriminat</w:t>
      </w:r>
      <w:r w:rsidR="006D6594" w:rsidRPr="00B566F3">
        <w:rPr>
          <w:rFonts w:ascii="Cambria" w:hAnsi="Cambria"/>
          <w:sz w:val="22"/>
          <w:szCs w:val="22"/>
        </w:rPr>
        <w:t>o</w:t>
      </w:r>
      <w:r w:rsidRPr="00B566F3">
        <w:rPr>
          <w:rFonts w:ascii="Cambria" w:hAnsi="Cambria"/>
          <w:sz w:val="22"/>
          <w:szCs w:val="22"/>
        </w:rPr>
        <w:t xml:space="preserve">ry restrictions on movement or </w:t>
      </w:r>
      <w:r w:rsidR="006D6594" w:rsidRPr="00B566F3">
        <w:rPr>
          <w:rFonts w:ascii="Cambria" w:hAnsi="Cambria"/>
          <w:sz w:val="22"/>
          <w:szCs w:val="22"/>
        </w:rPr>
        <w:t xml:space="preserve">on </w:t>
      </w:r>
      <w:r w:rsidRPr="00B566F3">
        <w:rPr>
          <w:rFonts w:ascii="Cambria" w:hAnsi="Cambria"/>
          <w:sz w:val="22"/>
          <w:szCs w:val="22"/>
        </w:rPr>
        <w:t xml:space="preserve">access to services on the basis of health status. </w:t>
      </w:r>
      <w:r w:rsidR="006D6594" w:rsidRPr="00B566F3">
        <w:rPr>
          <w:rFonts w:ascii="Cambria" w:hAnsi="Cambria"/>
          <w:sz w:val="22"/>
          <w:szCs w:val="22"/>
        </w:rPr>
        <w:t>There are, for example, historical precedents for disease-based restrictions on entering, living, and working in countries.</w:t>
      </w:r>
      <w:r w:rsidR="006D6594" w:rsidRPr="00B566F3">
        <w:rPr>
          <w:rStyle w:val="FootnoteReference"/>
          <w:rFonts w:ascii="Cambria" w:hAnsi="Cambria"/>
          <w:sz w:val="22"/>
          <w:szCs w:val="22"/>
        </w:rPr>
        <w:footnoteReference w:id="56"/>
      </w:r>
      <w:r w:rsidR="006D6594" w:rsidRPr="00B566F3">
        <w:rPr>
          <w:rFonts w:ascii="Cambria" w:hAnsi="Cambria"/>
          <w:sz w:val="22"/>
          <w:szCs w:val="22"/>
        </w:rPr>
        <w:t xml:space="preserve"> We are concerned that as anti-body testing and data collection regimes are rolled out, discriminatory treatment may occur at the hands of the state or private actors, in employment – in the form of dismissal, demotion, exclusion from work-related opportunities – and in access to goods and services. </w:t>
      </w:r>
      <w:r w:rsidRPr="00B566F3">
        <w:rPr>
          <w:rFonts w:ascii="Cambria" w:hAnsi="Cambria"/>
          <w:sz w:val="22"/>
          <w:szCs w:val="22"/>
        </w:rPr>
        <w:t xml:space="preserve">While these discriminatory impacts </w:t>
      </w:r>
      <w:r w:rsidR="006D6594" w:rsidRPr="00B566F3">
        <w:rPr>
          <w:rFonts w:ascii="Cambria" w:hAnsi="Cambria"/>
          <w:sz w:val="22"/>
          <w:szCs w:val="22"/>
        </w:rPr>
        <w:t>are potentially</w:t>
      </w:r>
      <w:r w:rsidRPr="00B566F3">
        <w:rPr>
          <w:rFonts w:ascii="Cambria" w:hAnsi="Cambria"/>
          <w:sz w:val="22"/>
          <w:szCs w:val="22"/>
        </w:rPr>
        <w:t xml:space="preserve"> justifiable as measures to protect the health of the individual or as a public health measure, these justifications must be tested to ensure that a legitimate purpose is being achieved only by means which are necessary and proportionate. </w:t>
      </w:r>
    </w:p>
    <w:p w14:paraId="3F95E404" w14:textId="77777777" w:rsidR="006B3CC7" w:rsidRPr="00B566F3" w:rsidRDefault="006B3CC7" w:rsidP="006B3CC7">
      <w:pPr>
        <w:pStyle w:val="ListParagraph"/>
        <w:jc w:val="both"/>
        <w:rPr>
          <w:rFonts w:ascii="Cambria" w:hAnsi="Cambria"/>
          <w:sz w:val="22"/>
          <w:szCs w:val="22"/>
        </w:rPr>
      </w:pPr>
    </w:p>
    <w:p w14:paraId="3FBB72B3" w14:textId="4CDEA10A" w:rsidR="00017D2B" w:rsidRPr="00B566F3" w:rsidRDefault="006B3CC7"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Moreover, t</w:t>
      </w:r>
      <w:r w:rsidR="00712CE3" w:rsidRPr="00B566F3">
        <w:rPr>
          <w:rFonts w:ascii="Cambria" w:hAnsi="Cambria"/>
          <w:sz w:val="22"/>
          <w:szCs w:val="22"/>
        </w:rPr>
        <w:t xml:space="preserve">he use of new </w:t>
      </w:r>
      <w:r w:rsidR="00CD6A6E" w:rsidRPr="00B566F3">
        <w:rPr>
          <w:rFonts w:ascii="Cambria" w:hAnsi="Cambria"/>
          <w:sz w:val="22"/>
          <w:szCs w:val="22"/>
        </w:rPr>
        <w:t xml:space="preserve">information </w:t>
      </w:r>
      <w:r w:rsidR="00712CE3" w:rsidRPr="00B566F3">
        <w:rPr>
          <w:rFonts w:ascii="Cambria" w:hAnsi="Cambria"/>
          <w:sz w:val="22"/>
          <w:szCs w:val="22"/>
        </w:rPr>
        <w:t>technologies</w:t>
      </w:r>
      <w:r w:rsidRPr="00B566F3">
        <w:rPr>
          <w:rFonts w:ascii="Cambria" w:hAnsi="Cambria"/>
          <w:sz w:val="22"/>
          <w:szCs w:val="22"/>
        </w:rPr>
        <w:t xml:space="preserve"> </w:t>
      </w:r>
      <w:r w:rsidR="00712CE3" w:rsidRPr="00B566F3">
        <w:rPr>
          <w:rFonts w:ascii="Cambria" w:hAnsi="Cambria"/>
          <w:sz w:val="22"/>
          <w:szCs w:val="22"/>
        </w:rPr>
        <w:t xml:space="preserve">risks compounding pre-existing </w:t>
      </w:r>
      <w:r w:rsidRPr="00B566F3">
        <w:rPr>
          <w:rFonts w:ascii="Cambria" w:hAnsi="Cambria"/>
          <w:sz w:val="22"/>
          <w:szCs w:val="22"/>
        </w:rPr>
        <w:t>patterns of discrimination</w:t>
      </w:r>
      <w:r w:rsidR="00CD6A6E" w:rsidRPr="00B566F3">
        <w:rPr>
          <w:rFonts w:ascii="Cambria" w:hAnsi="Cambria"/>
          <w:sz w:val="22"/>
          <w:szCs w:val="22"/>
        </w:rPr>
        <w:t xml:space="preserve">, with particularly harmful consequences for groups who </w:t>
      </w:r>
      <w:r w:rsidR="00357F65" w:rsidRPr="00B566F3">
        <w:rPr>
          <w:rFonts w:ascii="Cambria" w:hAnsi="Cambria"/>
          <w:sz w:val="22"/>
          <w:szCs w:val="22"/>
        </w:rPr>
        <w:t>have</w:t>
      </w:r>
      <w:r w:rsidR="00CD6A6E" w:rsidRPr="00B566F3">
        <w:rPr>
          <w:rFonts w:ascii="Cambria" w:hAnsi="Cambria"/>
          <w:sz w:val="22"/>
          <w:szCs w:val="22"/>
        </w:rPr>
        <w:t xml:space="preserve"> already</w:t>
      </w:r>
      <w:r w:rsidR="00357F65" w:rsidRPr="00B566F3">
        <w:rPr>
          <w:rFonts w:ascii="Cambria" w:hAnsi="Cambria"/>
          <w:sz w:val="22"/>
          <w:szCs w:val="22"/>
        </w:rPr>
        <w:t xml:space="preserve"> been</w:t>
      </w:r>
      <w:r w:rsidR="00CD6A6E" w:rsidRPr="00B566F3">
        <w:rPr>
          <w:rFonts w:ascii="Cambria" w:hAnsi="Cambria"/>
          <w:sz w:val="22"/>
          <w:szCs w:val="22"/>
        </w:rPr>
        <w:t xml:space="preserve"> exposed to discrimination in </w:t>
      </w:r>
      <w:r w:rsidR="00357F65" w:rsidRPr="00B566F3">
        <w:rPr>
          <w:rFonts w:ascii="Cambria" w:hAnsi="Cambria"/>
          <w:sz w:val="22"/>
          <w:szCs w:val="22"/>
        </w:rPr>
        <w:t xml:space="preserve">state </w:t>
      </w:r>
      <w:r w:rsidR="00572474" w:rsidRPr="00B566F3">
        <w:rPr>
          <w:rFonts w:ascii="Cambria" w:hAnsi="Cambria"/>
          <w:sz w:val="22"/>
          <w:szCs w:val="22"/>
        </w:rPr>
        <w:t xml:space="preserve">responses to </w:t>
      </w:r>
      <w:r w:rsidR="00CD6A6E" w:rsidRPr="00B566F3">
        <w:rPr>
          <w:rFonts w:ascii="Cambria" w:hAnsi="Cambria"/>
          <w:sz w:val="22"/>
          <w:szCs w:val="22"/>
        </w:rPr>
        <w:t>the COVID-19 pandemic.</w:t>
      </w:r>
      <w:r w:rsidR="00572474" w:rsidRPr="00B566F3">
        <w:rPr>
          <w:rFonts w:ascii="Cambria" w:hAnsi="Cambria"/>
          <w:sz w:val="22"/>
          <w:szCs w:val="22"/>
        </w:rPr>
        <w:t xml:space="preserve"> </w:t>
      </w:r>
      <w:r w:rsidR="00720FDD" w:rsidRPr="00B566F3">
        <w:rPr>
          <w:rFonts w:ascii="Cambria" w:hAnsi="Cambria"/>
          <w:sz w:val="22"/>
          <w:szCs w:val="22"/>
        </w:rPr>
        <w:t>There is real threat of discriminatory impacts occurring on the basis of p</w:t>
      </w:r>
      <w:r w:rsidR="00E7496D" w:rsidRPr="00B566F3">
        <w:rPr>
          <w:rFonts w:ascii="Cambria" w:hAnsi="Cambria"/>
          <w:sz w:val="22"/>
          <w:szCs w:val="22"/>
        </w:rPr>
        <w:t xml:space="preserve">erceived </w:t>
      </w:r>
      <w:r w:rsidR="00720FDD" w:rsidRPr="00B566F3">
        <w:rPr>
          <w:rFonts w:ascii="Cambria" w:hAnsi="Cambria"/>
          <w:sz w:val="22"/>
          <w:szCs w:val="22"/>
        </w:rPr>
        <w:t>immunity</w:t>
      </w:r>
      <w:r w:rsidR="00E7496D" w:rsidRPr="00B566F3">
        <w:rPr>
          <w:rFonts w:ascii="Cambria" w:hAnsi="Cambria"/>
          <w:sz w:val="22"/>
          <w:szCs w:val="22"/>
        </w:rPr>
        <w:t xml:space="preserve"> status</w:t>
      </w:r>
      <w:r w:rsidR="000F51F3" w:rsidRPr="00B566F3">
        <w:rPr>
          <w:rFonts w:ascii="Cambria" w:hAnsi="Cambria"/>
          <w:sz w:val="22"/>
          <w:szCs w:val="22"/>
        </w:rPr>
        <w:t xml:space="preserve"> </w:t>
      </w:r>
      <w:r w:rsidR="00720FDD" w:rsidRPr="00B566F3">
        <w:rPr>
          <w:rFonts w:ascii="Cambria" w:hAnsi="Cambria"/>
          <w:sz w:val="22"/>
          <w:szCs w:val="22"/>
        </w:rPr>
        <w:t xml:space="preserve">among </w:t>
      </w:r>
      <w:r w:rsidR="00572474" w:rsidRPr="00B566F3">
        <w:rPr>
          <w:rFonts w:ascii="Cambria" w:hAnsi="Cambria"/>
          <w:sz w:val="22"/>
          <w:szCs w:val="22"/>
        </w:rPr>
        <w:t xml:space="preserve">individuals </w:t>
      </w:r>
      <w:r w:rsidR="00720FDD" w:rsidRPr="00B566F3">
        <w:rPr>
          <w:rFonts w:ascii="Cambria" w:hAnsi="Cambria"/>
          <w:sz w:val="22"/>
          <w:szCs w:val="22"/>
        </w:rPr>
        <w:t>whose non-immunity may relate to age, disability, or one or more other protected characteristics</w:t>
      </w:r>
      <w:r w:rsidR="006335D9" w:rsidRPr="00B566F3">
        <w:rPr>
          <w:rFonts w:ascii="Cambria" w:hAnsi="Cambria"/>
          <w:sz w:val="22"/>
          <w:szCs w:val="22"/>
        </w:rPr>
        <w:t>;</w:t>
      </w:r>
      <w:r w:rsidR="00052B0D" w:rsidRPr="00B566F3">
        <w:rPr>
          <w:rFonts w:ascii="Cambria" w:hAnsi="Cambria"/>
          <w:sz w:val="22"/>
          <w:szCs w:val="22"/>
        </w:rPr>
        <w:t xml:space="preserve"> </w:t>
      </w:r>
      <w:r w:rsidR="00051177" w:rsidRPr="00B566F3">
        <w:rPr>
          <w:rFonts w:ascii="Cambria" w:hAnsi="Cambria"/>
          <w:sz w:val="22"/>
          <w:szCs w:val="22"/>
        </w:rPr>
        <w:t>or among communities with worse outcomes of infection with the disease</w:t>
      </w:r>
      <w:r w:rsidR="00052B0D" w:rsidRPr="00B566F3">
        <w:rPr>
          <w:rFonts w:ascii="Cambria" w:hAnsi="Cambria"/>
          <w:sz w:val="22"/>
          <w:szCs w:val="22"/>
        </w:rPr>
        <w:t>.</w:t>
      </w:r>
      <w:r w:rsidR="00051177" w:rsidRPr="00B566F3">
        <w:rPr>
          <w:rStyle w:val="FootnoteReference"/>
          <w:rFonts w:ascii="Cambria" w:hAnsi="Cambria"/>
          <w:sz w:val="22"/>
          <w:szCs w:val="22"/>
        </w:rPr>
        <w:footnoteReference w:id="57"/>
      </w:r>
      <w:r w:rsidR="00051177" w:rsidRPr="00B566F3">
        <w:rPr>
          <w:rFonts w:ascii="Cambria" w:hAnsi="Cambria"/>
          <w:sz w:val="22"/>
          <w:szCs w:val="22"/>
        </w:rPr>
        <w:t xml:space="preserve"> </w:t>
      </w:r>
      <w:r w:rsidR="00572474" w:rsidRPr="00B566F3">
        <w:rPr>
          <w:rFonts w:ascii="Cambria" w:hAnsi="Cambria"/>
          <w:sz w:val="22"/>
          <w:szCs w:val="22"/>
        </w:rPr>
        <w:t>T</w:t>
      </w:r>
      <w:r w:rsidR="00712CE3" w:rsidRPr="00B566F3">
        <w:rPr>
          <w:rFonts w:ascii="Cambria" w:hAnsi="Cambria"/>
          <w:sz w:val="22"/>
          <w:szCs w:val="22"/>
        </w:rPr>
        <w:t xml:space="preserve">he use of digital tracing and immunity certification may </w:t>
      </w:r>
      <w:r w:rsidR="007751FE" w:rsidRPr="00B566F3">
        <w:rPr>
          <w:rFonts w:ascii="Cambria" w:hAnsi="Cambria"/>
          <w:sz w:val="22"/>
          <w:szCs w:val="22"/>
        </w:rPr>
        <w:t xml:space="preserve">also </w:t>
      </w:r>
      <w:r w:rsidR="00712CE3" w:rsidRPr="00B566F3">
        <w:rPr>
          <w:rFonts w:ascii="Cambria" w:hAnsi="Cambria"/>
          <w:sz w:val="22"/>
          <w:szCs w:val="22"/>
        </w:rPr>
        <w:t>reinforce</w:t>
      </w:r>
      <w:r w:rsidR="00572474" w:rsidRPr="00B566F3">
        <w:rPr>
          <w:rFonts w:ascii="Cambria" w:hAnsi="Cambria"/>
          <w:sz w:val="22"/>
          <w:szCs w:val="22"/>
        </w:rPr>
        <w:t xml:space="preserve"> patterns of discriminatio</w:t>
      </w:r>
      <w:r w:rsidR="00FB6DAB" w:rsidRPr="00B566F3">
        <w:rPr>
          <w:rFonts w:ascii="Cambria" w:hAnsi="Cambria"/>
          <w:sz w:val="22"/>
          <w:szCs w:val="22"/>
        </w:rPr>
        <w:t>n</w:t>
      </w:r>
      <w:r w:rsidR="00572474" w:rsidRPr="00B566F3">
        <w:rPr>
          <w:rFonts w:ascii="Cambria" w:hAnsi="Cambria"/>
          <w:sz w:val="22"/>
          <w:szCs w:val="22"/>
        </w:rPr>
        <w:t xml:space="preserve"> already exacerbated in the context of the COVID-19 pandemic, such as the disproportionate use of force in policing, and the use of </w:t>
      </w:r>
      <w:r w:rsidR="00712CE3" w:rsidRPr="00B566F3">
        <w:rPr>
          <w:rFonts w:ascii="Cambria" w:hAnsi="Cambria"/>
          <w:sz w:val="22"/>
          <w:szCs w:val="22"/>
        </w:rPr>
        <w:t>stop and search.</w:t>
      </w:r>
      <w:r w:rsidR="00712CE3" w:rsidRPr="00B566F3">
        <w:rPr>
          <w:rFonts w:ascii="Cambria" w:hAnsi="Cambria"/>
          <w:vertAlign w:val="superscript"/>
        </w:rPr>
        <w:footnoteReference w:id="58"/>
      </w:r>
      <w:r w:rsidR="00712CE3" w:rsidRPr="00B566F3">
        <w:rPr>
          <w:rFonts w:ascii="Cambria" w:hAnsi="Cambria"/>
          <w:sz w:val="22"/>
          <w:szCs w:val="22"/>
        </w:rPr>
        <w:t xml:space="preserve"> </w:t>
      </w:r>
    </w:p>
    <w:p w14:paraId="7E760910" w14:textId="6720BB20" w:rsidR="00475325" w:rsidRPr="00B566F3" w:rsidRDefault="00475325" w:rsidP="006B3CC7">
      <w:pPr>
        <w:pStyle w:val="ListParagraph"/>
        <w:tabs>
          <w:tab w:val="left" w:pos="567"/>
        </w:tabs>
        <w:ind w:left="567" w:hanging="567"/>
        <w:jc w:val="both"/>
        <w:rPr>
          <w:rFonts w:ascii="Cambria" w:hAnsi="Cambria"/>
          <w:sz w:val="22"/>
          <w:szCs w:val="22"/>
        </w:rPr>
      </w:pPr>
    </w:p>
    <w:p w14:paraId="7FEA8204" w14:textId="03C92DF7" w:rsidR="00B41A65" w:rsidRPr="00B566F3" w:rsidRDefault="006B3CC7"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Furthermore, t</w:t>
      </w:r>
      <w:r w:rsidR="00475325" w:rsidRPr="00B566F3">
        <w:rPr>
          <w:rFonts w:ascii="Cambria" w:hAnsi="Cambria"/>
          <w:sz w:val="22"/>
          <w:szCs w:val="22"/>
        </w:rPr>
        <w:t>here is a risk that digital tracing schemes</w:t>
      </w:r>
      <w:r w:rsidR="00B41A65" w:rsidRPr="00B566F3">
        <w:rPr>
          <w:rFonts w:ascii="Cambria" w:hAnsi="Cambria"/>
          <w:sz w:val="22"/>
          <w:szCs w:val="22"/>
        </w:rPr>
        <w:t xml:space="preserve"> – </w:t>
      </w:r>
      <w:r w:rsidR="00475325" w:rsidRPr="00B566F3">
        <w:rPr>
          <w:rFonts w:ascii="Cambria" w:hAnsi="Cambria"/>
          <w:sz w:val="22"/>
          <w:szCs w:val="22"/>
        </w:rPr>
        <w:t>whether mandatory or voluntary</w:t>
      </w:r>
      <w:r w:rsidR="00B41A65" w:rsidRPr="00B566F3">
        <w:rPr>
          <w:rFonts w:ascii="Cambria" w:hAnsi="Cambria"/>
          <w:sz w:val="22"/>
          <w:szCs w:val="22"/>
        </w:rPr>
        <w:t xml:space="preserve"> – will</w:t>
      </w:r>
      <w:r w:rsidR="00475325" w:rsidRPr="00B566F3">
        <w:rPr>
          <w:rFonts w:ascii="Cambria" w:hAnsi="Cambria"/>
          <w:sz w:val="22"/>
          <w:szCs w:val="22"/>
        </w:rPr>
        <w:t xml:space="preserve"> further perpetuate the digital divide</w:t>
      </w:r>
      <w:r w:rsidR="00B41A65" w:rsidRPr="00B566F3">
        <w:rPr>
          <w:rFonts w:ascii="Cambria" w:hAnsi="Cambria"/>
          <w:sz w:val="22"/>
          <w:szCs w:val="22"/>
        </w:rPr>
        <w:t xml:space="preserve">, </w:t>
      </w:r>
      <w:r w:rsidR="00475325" w:rsidRPr="00B566F3">
        <w:rPr>
          <w:rFonts w:ascii="Cambria" w:hAnsi="Cambria"/>
          <w:sz w:val="22"/>
          <w:szCs w:val="22"/>
        </w:rPr>
        <w:t>result</w:t>
      </w:r>
      <w:r w:rsidR="00B41A65" w:rsidRPr="00B566F3">
        <w:rPr>
          <w:rFonts w:ascii="Cambria" w:hAnsi="Cambria"/>
          <w:sz w:val="22"/>
          <w:szCs w:val="22"/>
        </w:rPr>
        <w:t>ing</w:t>
      </w:r>
      <w:r w:rsidR="00475325" w:rsidRPr="00B566F3">
        <w:rPr>
          <w:rFonts w:ascii="Cambria" w:hAnsi="Cambria"/>
          <w:sz w:val="22"/>
          <w:szCs w:val="22"/>
        </w:rPr>
        <w:t xml:space="preserve"> in indirect discrimination </w:t>
      </w:r>
      <w:r w:rsidR="00B41A65" w:rsidRPr="00B566F3">
        <w:rPr>
          <w:rFonts w:ascii="Cambria" w:hAnsi="Cambria"/>
          <w:sz w:val="22"/>
          <w:szCs w:val="22"/>
        </w:rPr>
        <w:t xml:space="preserve">on the grounds of </w:t>
      </w:r>
      <w:r w:rsidR="00475325" w:rsidRPr="00B566F3">
        <w:rPr>
          <w:rFonts w:ascii="Cambria" w:hAnsi="Cambria"/>
          <w:sz w:val="22"/>
          <w:szCs w:val="22"/>
        </w:rPr>
        <w:t>age, disability or ethnic identity</w:t>
      </w:r>
      <w:r w:rsidR="001E1DB9" w:rsidRPr="00B566F3">
        <w:rPr>
          <w:rFonts w:ascii="Cambria" w:hAnsi="Cambria"/>
          <w:sz w:val="22"/>
          <w:szCs w:val="22"/>
        </w:rPr>
        <w:t>,</w:t>
      </w:r>
      <w:r w:rsidR="00475325" w:rsidRPr="00B566F3">
        <w:rPr>
          <w:rFonts w:ascii="Cambria" w:hAnsi="Cambria"/>
          <w:sz w:val="22"/>
          <w:szCs w:val="22"/>
        </w:rPr>
        <w:t xml:space="preserve"> given evidence</w:t>
      </w:r>
      <w:r w:rsidR="005A25B9" w:rsidRPr="00B566F3">
        <w:rPr>
          <w:rFonts w:ascii="Cambria" w:hAnsi="Cambria"/>
          <w:sz w:val="22"/>
          <w:szCs w:val="22"/>
        </w:rPr>
        <w:t xml:space="preserve"> </w:t>
      </w:r>
      <w:r w:rsidR="00DC06C6" w:rsidRPr="00B566F3">
        <w:rPr>
          <w:rFonts w:ascii="Cambria" w:hAnsi="Cambria"/>
          <w:sz w:val="22"/>
          <w:szCs w:val="22"/>
        </w:rPr>
        <w:t xml:space="preserve">from the UK’s Office of National Statistics </w:t>
      </w:r>
      <w:r w:rsidR="00475325" w:rsidRPr="00B566F3">
        <w:rPr>
          <w:rFonts w:ascii="Cambria" w:hAnsi="Cambria"/>
          <w:sz w:val="22"/>
          <w:szCs w:val="22"/>
        </w:rPr>
        <w:t>suggest</w:t>
      </w:r>
      <w:r w:rsidR="00DC06C6" w:rsidRPr="00B566F3">
        <w:rPr>
          <w:rFonts w:ascii="Cambria" w:hAnsi="Cambria"/>
          <w:sz w:val="22"/>
          <w:szCs w:val="22"/>
        </w:rPr>
        <w:t>ing</w:t>
      </w:r>
      <w:r w:rsidR="00475325" w:rsidRPr="00B566F3">
        <w:rPr>
          <w:rFonts w:ascii="Cambria" w:hAnsi="Cambria"/>
          <w:sz w:val="22"/>
          <w:szCs w:val="22"/>
        </w:rPr>
        <w:t xml:space="preserve"> that these groups make up a disproportionate number of non-internet users.</w:t>
      </w:r>
      <w:r w:rsidR="00475325" w:rsidRPr="00B566F3">
        <w:rPr>
          <w:rStyle w:val="FootnoteReference"/>
          <w:rFonts w:ascii="Cambria" w:hAnsi="Cambria"/>
          <w:sz w:val="22"/>
          <w:szCs w:val="22"/>
        </w:rPr>
        <w:footnoteReference w:id="59"/>
      </w:r>
      <w:r w:rsidR="00475325" w:rsidRPr="00B566F3">
        <w:rPr>
          <w:rFonts w:ascii="Cambria" w:hAnsi="Cambria"/>
          <w:sz w:val="22"/>
          <w:szCs w:val="22"/>
        </w:rPr>
        <w:t xml:space="preserve"> </w:t>
      </w:r>
      <w:r w:rsidR="003152FE" w:rsidRPr="00B566F3">
        <w:rPr>
          <w:rFonts w:ascii="Cambria" w:hAnsi="Cambria"/>
          <w:sz w:val="22"/>
          <w:szCs w:val="22"/>
        </w:rPr>
        <w:br/>
      </w:r>
    </w:p>
    <w:bookmarkEnd w:id="2"/>
    <w:p w14:paraId="2AE78376" w14:textId="1CE936CF" w:rsidR="00864342" w:rsidRPr="00B566F3" w:rsidRDefault="00DC506D" w:rsidP="006B3CC7">
      <w:pPr>
        <w:tabs>
          <w:tab w:val="left" w:pos="567"/>
        </w:tabs>
        <w:snapToGrid w:val="0"/>
        <w:ind w:left="567" w:hanging="567"/>
        <w:contextualSpacing/>
        <w:jc w:val="both"/>
        <w:rPr>
          <w:rFonts w:ascii="Cambria" w:hAnsi="Cambria"/>
          <w:b/>
          <w:bCs/>
          <w:sz w:val="22"/>
          <w:szCs w:val="22"/>
          <w:u w:val="single"/>
        </w:rPr>
      </w:pPr>
      <w:r w:rsidRPr="00B566F3">
        <w:rPr>
          <w:rFonts w:ascii="Cambria" w:hAnsi="Cambria"/>
          <w:b/>
          <w:bCs/>
          <w:sz w:val="22"/>
          <w:szCs w:val="22"/>
          <w:u w:val="single"/>
        </w:rPr>
        <w:t xml:space="preserve">Recommendation: Adoption of </w:t>
      </w:r>
      <w:r w:rsidR="00864342" w:rsidRPr="00B566F3">
        <w:rPr>
          <w:rFonts w:ascii="Cambria" w:hAnsi="Cambria"/>
          <w:b/>
          <w:bCs/>
          <w:sz w:val="22"/>
          <w:szCs w:val="22"/>
          <w:u w:val="single"/>
        </w:rPr>
        <w:t>Equality Impact Assessment</w:t>
      </w:r>
    </w:p>
    <w:p w14:paraId="222CC753" w14:textId="77777777" w:rsidR="00864342" w:rsidRPr="00B566F3" w:rsidRDefault="00864342" w:rsidP="006B3CC7">
      <w:pPr>
        <w:tabs>
          <w:tab w:val="left" w:pos="567"/>
        </w:tabs>
        <w:snapToGrid w:val="0"/>
        <w:ind w:left="567" w:hanging="567"/>
        <w:contextualSpacing/>
        <w:jc w:val="both"/>
        <w:rPr>
          <w:rFonts w:ascii="Cambria" w:hAnsi="Cambria"/>
          <w:sz w:val="22"/>
          <w:szCs w:val="22"/>
        </w:rPr>
      </w:pPr>
    </w:p>
    <w:p w14:paraId="49A840BA" w14:textId="08A8588A" w:rsidR="007A439C" w:rsidRPr="00B566F3" w:rsidRDefault="00334A78" w:rsidP="006B3CC7">
      <w:pPr>
        <w:pStyle w:val="ListParagraph"/>
        <w:numPr>
          <w:ilvl w:val="0"/>
          <w:numId w:val="1"/>
        </w:numPr>
        <w:tabs>
          <w:tab w:val="left" w:pos="567"/>
        </w:tabs>
        <w:jc w:val="both"/>
        <w:rPr>
          <w:rFonts w:ascii="Cambria" w:hAnsi="Cambria"/>
          <w:sz w:val="22"/>
          <w:szCs w:val="22"/>
        </w:rPr>
      </w:pPr>
      <w:r w:rsidRPr="00B566F3">
        <w:rPr>
          <w:rFonts w:ascii="Cambria" w:hAnsi="Cambria"/>
          <w:sz w:val="22"/>
          <w:szCs w:val="22"/>
        </w:rPr>
        <w:t xml:space="preserve">In this submission, we have sought to </w:t>
      </w:r>
      <w:r w:rsidR="007B21FF" w:rsidRPr="00B566F3">
        <w:rPr>
          <w:rFonts w:ascii="Cambria" w:hAnsi="Cambria"/>
          <w:sz w:val="22"/>
          <w:szCs w:val="22"/>
        </w:rPr>
        <w:t xml:space="preserve">provide examples of </w:t>
      </w:r>
      <w:r w:rsidRPr="00B566F3">
        <w:rPr>
          <w:rFonts w:ascii="Cambria" w:hAnsi="Cambria"/>
          <w:sz w:val="22"/>
          <w:szCs w:val="22"/>
        </w:rPr>
        <w:t xml:space="preserve">emerging and anticipated </w:t>
      </w:r>
      <w:r w:rsidR="007B21FF" w:rsidRPr="00B566F3">
        <w:rPr>
          <w:rFonts w:ascii="Cambria" w:hAnsi="Cambria"/>
          <w:sz w:val="22"/>
          <w:szCs w:val="22"/>
        </w:rPr>
        <w:t xml:space="preserve">impacts to demonstrate the breadth, depth and severity of </w:t>
      </w:r>
      <w:r w:rsidR="002F0B0A" w:rsidRPr="00B566F3">
        <w:rPr>
          <w:rFonts w:ascii="Cambria" w:hAnsi="Cambria"/>
          <w:sz w:val="22"/>
          <w:szCs w:val="22"/>
        </w:rPr>
        <w:t>non-discrimination</w:t>
      </w:r>
      <w:r w:rsidR="007B21FF" w:rsidRPr="00B566F3">
        <w:rPr>
          <w:rFonts w:ascii="Cambria" w:hAnsi="Cambria"/>
          <w:sz w:val="22"/>
          <w:szCs w:val="22"/>
        </w:rPr>
        <w:t xml:space="preserve"> issues engendered by the </w:t>
      </w:r>
      <w:r w:rsidR="002F0B0A" w:rsidRPr="00B566F3">
        <w:rPr>
          <w:rFonts w:ascii="Cambria" w:hAnsi="Cambria"/>
          <w:sz w:val="22"/>
          <w:szCs w:val="22"/>
        </w:rPr>
        <w:t>crisis</w:t>
      </w:r>
      <w:r w:rsidR="00AB34C6" w:rsidRPr="00B566F3">
        <w:rPr>
          <w:rFonts w:ascii="Cambria" w:hAnsi="Cambria"/>
          <w:sz w:val="22"/>
          <w:szCs w:val="22"/>
        </w:rPr>
        <w:t xml:space="preserve">. These examples </w:t>
      </w:r>
      <w:r w:rsidR="002F0B0A" w:rsidRPr="00B566F3">
        <w:rPr>
          <w:rFonts w:ascii="Cambria" w:hAnsi="Cambria"/>
          <w:sz w:val="22"/>
          <w:szCs w:val="22"/>
        </w:rPr>
        <w:t>underlin</w:t>
      </w:r>
      <w:r w:rsidR="00AB34C6" w:rsidRPr="00B566F3">
        <w:rPr>
          <w:rFonts w:ascii="Cambria" w:hAnsi="Cambria"/>
          <w:sz w:val="22"/>
          <w:szCs w:val="22"/>
        </w:rPr>
        <w:t>e</w:t>
      </w:r>
      <w:r w:rsidR="002F0B0A" w:rsidRPr="00B566F3">
        <w:rPr>
          <w:rFonts w:ascii="Cambria" w:hAnsi="Cambria"/>
          <w:sz w:val="22"/>
          <w:szCs w:val="22"/>
        </w:rPr>
        <w:t xml:space="preserve"> that it is only through proactive, pre-emptive equality impact assessment </w:t>
      </w:r>
      <w:r w:rsidR="007B21FF" w:rsidRPr="00B566F3">
        <w:rPr>
          <w:rFonts w:ascii="Cambria" w:hAnsi="Cambria"/>
          <w:sz w:val="22"/>
          <w:szCs w:val="22"/>
        </w:rPr>
        <w:t xml:space="preserve">that states can identify and understand the actual and potential discriminatory impacts of their responses and take effective measures to eliminate these impacts. </w:t>
      </w:r>
      <w:r w:rsidR="007A439C" w:rsidRPr="00B566F3">
        <w:rPr>
          <w:rFonts w:ascii="Cambria" w:hAnsi="Cambria"/>
          <w:sz w:val="22"/>
          <w:szCs w:val="22"/>
        </w:rPr>
        <w:t>As such, it is only through the use of equality impact assessment that states can ensure that they meet their obligations under the ICCPR and ICESCR to ensure non-discrimination in the enjoyment of rights.</w:t>
      </w:r>
    </w:p>
    <w:p w14:paraId="51FFB413" w14:textId="77777777" w:rsidR="007A439C" w:rsidRPr="00B566F3" w:rsidRDefault="007A439C" w:rsidP="006B3CC7">
      <w:pPr>
        <w:pStyle w:val="ListParagraph"/>
        <w:ind w:left="567"/>
        <w:jc w:val="both"/>
        <w:rPr>
          <w:rFonts w:ascii="Cambria" w:hAnsi="Cambria"/>
          <w:sz w:val="22"/>
          <w:szCs w:val="22"/>
        </w:rPr>
      </w:pPr>
    </w:p>
    <w:p w14:paraId="65021C33" w14:textId="528567FC" w:rsidR="00334A78" w:rsidRPr="00B566F3" w:rsidRDefault="00307839" w:rsidP="006B3CC7">
      <w:pPr>
        <w:pStyle w:val="ListParagraph"/>
        <w:numPr>
          <w:ilvl w:val="0"/>
          <w:numId w:val="1"/>
        </w:numPr>
        <w:tabs>
          <w:tab w:val="left" w:pos="567"/>
        </w:tabs>
        <w:jc w:val="both"/>
        <w:rPr>
          <w:rFonts w:ascii="Cambria" w:hAnsi="Cambria"/>
          <w:u w:val="single"/>
        </w:rPr>
      </w:pPr>
      <w:r w:rsidRPr="00B566F3">
        <w:rPr>
          <w:rFonts w:ascii="Cambria" w:hAnsi="Cambria"/>
          <w:sz w:val="22"/>
          <w:szCs w:val="22"/>
          <w:u w:val="single"/>
        </w:rPr>
        <w:t>W</w:t>
      </w:r>
      <w:r w:rsidR="00AB34C6" w:rsidRPr="00B566F3">
        <w:rPr>
          <w:rFonts w:ascii="Cambria" w:hAnsi="Cambria"/>
          <w:sz w:val="22"/>
          <w:szCs w:val="22"/>
          <w:u w:val="single"/>
        </w:rPr>
        <w:t xml:space="preserve">e </w:t>
      </w:r>
      <w:r w:rsidR="006B3CC7" w:rsidRPr="00B566F3">
        <w:rPr>
          <w:rFonts w:ascii="Cambria" w:hAnsi="Cambria"/>
          <w:sz w:val="22"/>
          <w:szCs w:val="22"/>
          <w:u w:val="single"/>
        </w:rPr>
        <w:t>urge</w:t>
      </w:r>
      <w:r w:rsidR="002F0B0A" w:rsidRPr="00B566F3">
        <w:rPr>
          <w:rFonts w:ascii="Cambria" w:hAnsi="Cambria"/>
          <w:sz w:val="22"/>
          <w:szCs w:val="22"/>
          <w:u w:val="single"/>
        </w:rPr>
        <w:t xml:space="preserve"> the Special Rapporteurs to recommend that </w:t>
      </w:r>
      <w:r w:rsidR="00AB34C6" w:rsidRPr="00B566F3">
        <w:rPr>
          <w:rFonts w:ascii="Cambria" w:hAnsi="Cambria"/>
          <w:sz w:val="22"/>
          <w:szCs w:val="22"/>
          <w:u w:val="single"/>
        </w:rPr>
        <w:t>S</w:t>
      </w:r>
      <w:r w:rsidR="002F0B0A" w:rsidRPr="00B566F3">
        <w:rPr>
          <w:rFonts w:ascii="Cambria" w:hAnsi="Cambria"/>
          <w:sz w:val="22"/>
          <w:szCs w:val="22"/>
          <w:u w:val="single"/>
        </w:rPr>
        <w:t>tates incorporate equality impact assessment</w:t>
      </w:r>
      <w:r w:rsidR="00AB34C6" w:rsidRPr="00B566F3">
        <w:rPr>
          <w:rFonts w:ascii="Cambria" w:hAnsi="Cambria"/>
          <w:sz w:val="22"/>
          <w:szCs w:val="22"/>
          <w:u w:val="single"/>
        </w:rPr>
        <w:t xml:space="preserve"> into their ongoing public health, economic, and social policy responses to the crisis</w:t>
      </w:r>
      <w:r w:rsidR="0030274B" w:rsidRPr="00B566F3">
        <w:rPr>
          <w:rFonts w:ascii="Cambria" w:hAnsi="Cambria"/>
          <w:sz w:val="22"/>
          <w:szCs w:val="22"/>
          <w:u w:val="single"/>
        </w:rPr>
        <w:t xml:space="preserve">, as a </w:t>
      </w:r>
      <w:r w:rsidR="00AB34C6" w:rsidRPr="00B566F3">
        <w:rPr>
          <w:rFonts w:ascii="Cambria" w:hAnsi="Cambria"/>
          <w:sz w:val="22"/>
          <w:szCs w:val="22"/>
          <w:u w:val="single"/>
        </w:rPr>
        <w:t xml:space="preserve">means </w:t>
      </w:r>
      <w:r w:rsidR="0030274B" w:rsidRPr="00B566F3">
        <w:rPr>
          <w:rFonts w:ascii="Cambria" w:hAnsi="Cambria"/>
          <w:sz w:val="22"/>
          <w:szCs w:val="22"/>
          <w:u w:val="single"/>
        </w:rPr>
        <w:t>of fulfilling the</w:t>
      </w:r>
      <w:r w:rsidRPr="00B566F3">
        <w:rPr>
          <w:rFonts w:ascii="Cambria" w:hAnsi="Cambria"/>
          <w:sz w:val="22"/>
          <w:szCs w:val="22"/>
          <w:u w:val="single"/>
        </w:rPr>
        <w:t xml:space="preserve">ir minimal and binding </w:t>
      </w:r>
      <w:r w:rsidR="0030274B" w:rsidRPr="00B566F3">
        <w:rPr>
          <w:rFonts w:ascii="Cambria" w:hAnsi="Cambria"/>
          <w:sz w:val="22"/>
          <w:szCs w:val="22"/>
          <w:u w:val="single"/>
        </w:rPr>
        <w:t>obligations</w:t>
      </w:r>
      <w:r w:rsidRPr="00B566F3">
        <w:rPr>
          <w:rFonts w:ascii="Cambria" w:hAnsi="Cambria"/>
          <w:sz w:val="22"/>
          <w:szCs w:val="22"/>
          <w:u w:val="single"/>
        </w:rPr>
        <w:t xml:space="preserve"> contained in the ICCPR</w:t>
      </w:r>
      <w:r w:rsidR="008C4FBD" w:rsidRPr="00B566F3">
        <w:rPr>
          <w:rFonts w:ascii="Cambria" w:hAnsi="Cambria"/>
          <w:sz w:val="22"/>
          <w:szCs w:val="22"/>
          <w:u w:val="single"/>
        </w:rPr>
        <w:t xml:space="preserve"> and </w:t>
      </w:r>
      <w:r w:rsidRPr="00B566F3">
        <w:rPr>
          <w:rFonts w:ascii="Cambria" w:hAnsi="Cambria"/>
          <w:sz w:val="22"/>
          <w:szCs w:val="22"/>
          <w:u w:val="single"/>
        </w:rPr>
        <w:t>the ICESCR,</w:t>
      </w:r>
      <w:r w:rsidR="0030274B" w:rsidRPr="00B566F3">
        <w:rPr>
          <w:rFonts w:ascii="Cambria" w:hAnsi="Cambria"/>
          <w:sz w:val="22"/>
          <w:szCs w:val="22"/>
          <w:u w:val="single"/>
        </w:rPr>
        <w:t xml:space="preserve"> </w:t>
      </w:r>
      <w:r w:rsidRPr="00B566F3">
        <w:rPr>
          <w:rFonts w:ascii="Cambria" w:hAnsi="Cambria"/>
          <w:sz w:val="22"/>
          <w:szCs w:val="22"/>
          <w:u w:val="single"/>
        </w:rPr>
        <w:t>to guarantee the enjoyment of human rights to all, without discrimination</w:t>
      </w:r>
      <w:r w:rsidR="0030274B" w:rsidRPr="00B566F3">
        <w:rPr>
          <w:rFonts w:ascii="Cambria" w:hAnsi="Cambria"/>
          <w:sz w:val="22"/>
          <w:szCs w:val="22"/>
          <w:u w:val="single"/>
        </w:rPr>
        <w:t>.</w:t>
      </w:r>
      <w:r w:rsidR="003A3F11" w:rsidRPr="00B566F3">
        <w:rPr>
          <w:rFonts w:ascii="Cambria" w:hAnsi="Cambria"/>
          <w:sz w:val="22"/>
          <w:szCs w:val="22"/>
          <w:u w:val="single"/>
        </w:rPr>
        <w:t xml:space="preserve"> </w:t>
      </w:r>
      <w:r w:rsidR="008C4FBD" w:rsidRPr="00B566F3">
        <w:rPr>
          <w:rFonts w:ascii="Cambria" w:hAnsi="Cambria"/>
          <w:sz w:val="22"/>
          <w:szCs w:val="22"/>
          <w:u w:val="single"/>
        </w:rPr>
        <w:t xml:space="preserve">We </w:t>
      </w:r>
      <w:r w:rsidR="006B3CC7" w:rsidRPr="00B566F3">
        <w:rPr>
          <w:rFonts w:ascii="Cambria" w:hAnsi="Cambria"/>
          <w:sz w:val="22"/>
          <w:szCs w:val="22"/>
          <w:u w:val="single"/>
        </w:rPr>
        <w:t>call on</w:t>
      </w:r>
      <w:r w:rsidR="008C4FBD" w:rsidRPr="00B566F3">
        <w:rPr>
          <w:rFonts w:ascii="Cambria" w:hAnsi="Cambria"/>
          <w:sz w:val="22"/>
          <w:szCs w:val="22"/>
          <w:u w:val="single"/>
        </w:rPr>
        <w:t xml:space="preserve"> the Special Rapporteurs to use their forthcoming thematic reports to recommend the following:</w:t>
      </w:r>
    </w:p>
    <w:p w14:paraId="32B29FD6" w14:textId="09AAA4C5" w:rsidR="00EA2629" w:rsidRPr="00B566F3" w:rsidRDefault="00EA2629" w:rsidP="006B3CC7">
      <w:pPr>
        <w:tabs>
          <w:tab w:val="left" w:pos="567"/>
        </w:tabs>
        <w:snapToGrid w:val="0"/>
        <w:ind w:left="567" w:hanging="567"/>
        <w:contextualSpacing/>
        <w:jc w:val="both"/>
        <w:rPr>
          <w:rFonts w:ascii="Cambria" w:hAnsi="Cambria"/>
          <w:sz w:val="22"/>
          <w:szCs w:val="22"/>
          <w:u w:val="single"/>
        </w:rPr>
      </w:pPr>
    </w:p>
    <w:p w14:paraId="16A32E44" w14:textId="7BF4B102" w:rsidR="007A439C" w:rsidRPr="00B566F3" w:rsidRDefault="00EA2629" w:rsidP="006B3CC7">
      <w:pPr>
        <w:pStyle w:val="ListParagraph"/>
        <w:numPr>
          <w:ilvl w:val="0"/>
          <w:numId w:val="6"/>
        </w:numPr>
        <w:tabs>
          <w:tab w:val="left" w:pos="567"/>
        </w:tabs>
        <w:snapToGrid w:val="0"/>
        <w:ind w:left="567" w:hanging="567"/>
        <w:jc w:val="both"/>
        <w:rPr>
          <w:rFonts w:ascii="Cambria" w:hAnsi="Cambria"/>
          <w:sz w:val="22"/>
          <w:szCs w:val="22"/>
          <w:u w:val="single"/>
        </w:rPr>
      </w:pPr>
      <w:r w:rsidRPr="00B566F3">
        <w:rPr>
          <w:rFonts w:ascii="Cambria" w:hAnsi="Cambria"/>
          <w:sz w:val="22"/>
          <w:szCs w:val="22"/>
          <w:u w:val="single"/>
        </w:rPr>
        <w:t xml:space="preserve">All policy responses to the pandemic </w:t>
      </w:r>
      <w:r w:rsidR="003D7DB4" w:rsidRPr="00B566F3">
        <w:rPr>
          <w:rFonts w:ascii="Cambria" w:hAnsi="Cambria"/>
          <w:sz w:val="22"/>
          <w:szCs w:val="22"/>
          <w:u w:val="single"/>
        </w:rPr>
        <w:t>must</w:t>
      </w:r>
      <w:r w:rsidRPr="00B566F3">
        <w:rPr>
          <w:rFonts w:ascii="Cambria" w:hAnsi="Cambria"/>
          <w:sz w:val="22"/>
          <w:szCs w:val="22"/>
          <w:u w:val="single"/>
        </w:rPr>
        <w:t xml:space="preserve"> be subject to equality impact assessment</w:t>
      </w:r>
      <w:r w:rsidR="006B3CC7" w:rsidRPr="00B566F3">
        <w:rPr>
          <w:rFonts w:ascii="Cambria" w:hAnsi="Cambria"/>
          <w:sz w:val="22"/>
          <w:szCs w:val="22"/>
          <w:u w:val="single"/>
        </w:rPr>
        <w:t>;</w:t>
      </w:r>
    </w:p>
    <w:p w14:paraId="727FCCBD" w14:textId="4AA67B83" w:rsidR="00EA2629" w:rsidRPr="00B566F3" w:rsidRDefault="007A439C" w:rsidP="006B3CC7">
      <w:pPr>
        <w:pStyle w:val="ListParagraph"/>
        <w:numPr>
          <w:ilvl w:val="0"/>
          <w:numId w:val="6"/>
        </w:numPr>
        <w:tabs>
          <w:tab w:val="left" w:pos="567"/>
        </w:tabs>
        <w:snapToGrid w:val="0"/>
        <w:ind w:left="567" w:hanging="567"/>
        <w:jc w:val="both"/>
        <w:rPr>
          <w:rFonts w:ascii="Cambria" w:hAnsi="Cambria"/>
          <w:sz w:val="22"/>
          <w:szCs w:val="22"/>
          <w:u w:val="single"/>
        </w:rPr>
      </w:pPr>
      <w:r w:rsidRPr="00B566F3">
        <w:rPr>
          <w:rFonts w:ascii="Cambria" w:hAnsi="Cambria" w:cs="Times New Roman (Body CS)"/>
          <w:sz w:val="22"/>
          <w:szCs w:val="22"/>
          <w:u w:val="single"/>
          <w:lang w:val="en-US"/>
        </w:rPr>
        <w:t xml:space="preserve">Equality impact assessments must be aimed at identifying and eliminating the actual or potential discriminatory effects of State policies. They should also ensure that policies and programmes respond to and accommodate the different needs of diverse groups with due consideration to intersectionality and that they do not create or exacerbate inequality. </w:t>
      </w:r>
    </w:p>
    <w:p w14:paraId="6B397F99" w14:textId="6A38BAC5" w:rsidR="007751FE" w:rsidRPr="00B566F3" w:rsidRDefault="003D7DB4" w:rsidP="006B3CC7">
      <w:pPr>
        <w:pStyle w:val="ListParagraph"/>
        <w:numPr>
          <w:ilvl w:val="0"/>
          <w:numId w:val="6"/>
        </w:numPr>
        <w:tabs>
          <w:tab w:val="left" w:pos="567"/>
        </w:tabs>
        <w:snapToGrid w:val="0"/>
        <w:ind w:left="567" w:hanging="567"/>
        <w:jc w:val="both"/>
        <w:rPr>
          <w:rFonts w:ascii="Cambria" w:hAnsi="Cambria"/>
          <w:sz w:val="22"/>
          <w:szCs w:val="22"/>
          <w:u w:val="single"/>
        </w:rPr>
      </w:pPr>
      <w:r w:rsidRPr="00B566F3">
        <w:rPr>
          <w:rFonts w:ascii="Cambria" w:hAnsi="Cambria"/>
          <w:sz w:val="22"/>
          <w:szCs w:val="22"/>
          <w:u w:val="single"/>
        </w:rPr>
        <w:t>Equality impact assessments must be pre-emptive,</w:t>
      </w:r>
      <w:r w:rsidR="00864342" w:rsidRPr="00B566F3">
        <w:rPr>
          <w:rFonts w:ascii="Cambria" w:hAnsi="Cambria"/>
          <w:sz w:val="22"/>
          <w:szCs w:val="22"/>
          <w:u w:val="single"/>
        </w:rPr>
        <w:t xml:space="preserve"> coming before new policy measures are adopted and before any changes are made to policies which are already in force</w:t>
      </w:r>
      <w:r w:rsidR="007751FE" w:rsidRPr="00B566F3">
        <w:rPr>
          <w:rFonts w:ascii="Cambria" w:hAnsi="Cambria"/>
          <w:sz w:val="22"/>
          <w:szCs w:val="22"/>
          <w:u w:val="single"/>
        </w:rPr>
        <w:t>;</w:t>
      </w:r>
    </w:p>
    <w:p w14:paraId="113EC052" w14:textId="77777777" w:rsidR="007A439C" w:rsidRPr="00B566F3" w:rsidRDefault="00864342" w:rsidP="006B3CC7">
      <w:pPr>
        <w:pStyle w:val="ListParagraph"/>
        <w:numPr>
          <w:ilvl w:val="0"/>
          <w:numId w:val="6"/>
        </w:numPr>
        <w:tabs>
          <w:tab w:val="left" w:pos="567"/>
        </w:tabs>
        <w:snapToGrid w:val="0"/>
        <w:ind w:left="567" w:hanging="567"/>
        <w:jc w:val="both"/>
        <w:rPr>
          <w:rFonts w:ascii="Cambria" w:hAnsi="Cambria"/>
          <w:sz w:val="22"/>
          <w:szCs w:val="22"/>
          <w:u w:val="single"/>
        </w:rPr>
      </w:pPr>
      <w:r w:rsidRPr="00B566F3">
        <w:rPr>
          <w:rFonts w:ascii="Cambria" w:hAnsi="Cambria"/>
          <w:sz w:val="22"/>
          <w:szCs w:val="22"/>
          <w:u w:val="single"/>
        </w:rPr>
        <w:t>Where measures have already been adopted, equality impact assessment</w:t>
      </w:r>
      <w:r w:rsidR="003D7DB4" w:rsidRPr="00B566F3">
        <w:rPr>
          <w:rFonts w:ascii="Cambria" w:hAnsi="Cambria"/>
          <w:sz w:val="22"/>
          <w:szCs w:val="22"/>
          <w:u w:val="single"/>
        </w:rPr>
        <w:t>s</w:t>
      </w:r>
      <w:r w:rsidRPr="00B566F3">
        <w:rPr>
          <w:rFonts w:ascii="Cambria" w:hAnsi="Cambria"/>
          <w:sz w:val="22"/>
          <w:szCs w:val="22"/>
          <w:u w:val="single"/>
        </w:rPr>
        <w:t xml:space="preserve"> </w:t>
      </w:r>
      <w:r w:rsidR="00EB710B" w:rsidRPr="00B566F3">
        <w:rPr>
          <w:rFonts w:ascii="Cambria" w:hAnsi="Cambria"/>
          <w:sz w:val="22"/>
          <w:szCs w:val="22"/>
          <w:u w:val="single"/>
        </w:rPr>
        <w:t>must</w:t>
      </w:r>
      <w:r w:rsidRPr="00B566F3">
        <w:rPr>
          <w:rFonts w:ascii="Cambria" w:hAnsi="Cambria"/>
          <w:sz w:val="22"/>
          <w:szCs w:val="22"/>
          <w:u w:val="single"/>
        </w:rPr>
        <w:t xml:space="preserve"> be undertaken as an urgent priority</w:t>
      </w:r>
      <w:r w:rsidR="003D7DB4" w:rsidRPr="00B566F3">
        <w:rPr>
          <w:rFonts w:ascii="Cambria" w:hAnsi="Cambria"/>
          <w:sz w:val="22"/>
          <w:szCs w:val="22"/>
          <w:u w:val="single"/>
        </w:rPr>
        <w:t xml:space="preserve">. </w:t>
      </w:r>
    </w:p>
    <w:p w14:paraId="789A44D1" w14:textId="6FDD20C3" w:rsidR="003D7DB4" w:rsidRPr="00B566F3" w:rsidRDefault="00864342" w:rsidP="006B3CC7">
      <w:pPr>
        <w:pStyle w:val="ListParagraph"/>
        <w:numPr>
          <w:ilvl w:val="0"/>
          <w:numId w:val="6"/>
        </w:numPr>
        <w:tabs>
          <w:tab w:val="left" w:pos="567"/>
        </w:tabs>
        <w:snapToGrid w:val="0"/>
        <w:ind w:left="567" w:hanging="567"/>
        <w:jc w:val="both"/>
        <w:rPr>
          <w:rFonts w:ascii="Cambria" w:hAnsi="Cambria"/>
          <w:sz w:val="22"/>
          <w:szCs w:val="22"/>
          <w:u w:val="single"/>
        </w:rPr>
      </w:pPr>
      <w:r w:rsidRPr="00B566F3">
        <w:rPr>
          <w:rFonts w:ascii="Cambria" w:hAnsi="Cambria"/>
          <w:sz w:val="22"/>
          <w:szCs w:val="22"/>
          <w:u w:val="single"/>
        </w:rPr>
        <w:t xml:space="preserve">Where discriminatory impacts are identified, measures to eliminate any discrimination or inequality of impact </w:t>
      </w:r>
      <w:r w:rsidR="00EB710B" w:rsidRPr="00B566F3">
        <w:rPr>
          <w:rFonts w:ascii="Cambria" w:hAnsi="Cambria"/>
          <w:sz w:val="22"/>
          <w:szCs w:val="22"/>
          <w:u w:val="single"/>
        </w:rPr>
        <w:t>must</w:t>
      </w:r>
      <w:r w:rsidRPr="00B566F3">
        <w:rPr>
          <w:rFonts w:ascii="Cambria" w:hAnsi="Cambria"/>
          <w:sz w:val="22"/>
          <w:szCs w:val="22"/>
          <w:u w:val="single"/>
        </w:rPr>
        <w:t xml:space="preserve"> be taken with immediate effect</w:t>
      </w:r>
      <w:r w:rsidR="003D7DB4" w:rsidRPr="00B566F3">
        <w:rPr>
          <w:rFonts w:ascii="Cambria" w:hAnsi="Cambria"/>
          <w:sz w:val="22"/>
          <w:szCs w:val="22"/>
          <w:u w:val="single"/>
        </w:rPr>
        <w:t>;</w:t>
      </w:r>
    </w:p>
    <w:p w14:paraId="729474A2" w14:textId="6FD122DA" w:rsidR="00EB710B" w:rsidRPr="00B566F3" w:rsidRDefault="003D7DB4" w:rsidP="006B3CC7">
      <w:pPr>
        <w:pStyle w:val="ListParagraph"/>
        <w:numPr>
          <w:ilvl w:val="0"/>
          <w:numId w:val="6"/>
        </w:numPr>
        <w:tabs>
          <w:tab w:val="left" w:pos="567"/>
        </w:tabs>
        <w:snapToGrid w:val="0"/>
        <w:ind w:left="567" w:hanging="567"/>
        <w:jc w:val="both"/>
        <w:rPr>
          <w:rFonts w:ascii="Cambria" w:hAnsi="Cambria"/>
          <w:sz w:val="22"/>
          <w:szCs w:val="22"/>
          <w:u w:val="single"/>
        </w:rPr>
      </w:pPr>
      <w:r w:rsidRPr="00B566F3">
        <w:rPr>
          <w:rFonts w:ascii="Cambria" w:hAnsi="Cambria"/>
          <w:sz w:val="22"/>
          <w:szCs w:val="22"/>
          <w:u w:val="single"/>
        </w:rPr>
        <w:t xml:space="preserve">Groups at risk of discrimination and experiencing inequality must be </w:t>
      </w:r>
      <w:r w:rsidR="00864342" w:rsidRPr="00B566F3">
        <w:rPr>
          <w:rFonts w:ascii="Cambria" w:hAnsi="Cambria"/>
          <w:sz w:val="22"/>
          <w:szCs w:val="22"/>
          <w:u w:val="single"/>
        </w:rPr>
        <w:t>involve</w:t>
      </w:r>
      <w:r w:rsidRPr="00B566F3">
        <w:rPr>
          <w:rFonts w:ascii="Cambria" w:hAnsi="Cambria"/>
          <w:sz w:val="22"/>
          <w:szCs w:val="22"/>
          <w:u w:val="single"/>
        </w:rPr>
        <w:t>d</w:t>
      </w:r>
      <w:r w:rsidR="00864342" w:rsidRPr="00B566F3">
        <w:rPr>
          <w:rFonts w:ascii="Cambria" w:hAnsi="Cambria"/>
          <w:sz w:val="22"/>
          <w:szCs w:val="22"/>
          <w:u w:val="single"/>
        </w:rPr>
        <w:t xml:space="preserve"> and consult</w:t>
      </w:r>
      <w:r w:rsidRPr="00B566F3">
        <w:rPr>
          <w:rFonts w:ascii="Cambria" w:hAnsi="Cambria"/>
          <w:sz w:val="22"/>
          <w:szCs w:val="22"/>
          <w:u w:val="single"/>
        </w:rPr>
        <w:t xml:space="preserve">ed </w:t>
      </w:r>
      <w:r w:rsidR="00864342" w:rsidRPr="00B566F3">
        <w:rPr>
          <w:rFonts w:ascii="Cambria" w:hAnsi="Cambria"/>
          <w:sz w:val="22"/>
          <w:szCs w:val="22"/>
          <w:u w:val="single"/>
        </w:rPr>
        <w:t>in conducting equality impact assessment</w:t>
      </w:r>
      <w:r w:rsidR="00EB710B" w:rsidRPr="00B566F3">
        <w:rPr>
          <w:rFonts w:ascii="Cambria" w:hAnsi="Cambria"/>
          <w:sz w:val="22"/>
          <w:szCs w:val="22"/>
          <w:u w:val="single"/>
        </w:rPr>
        <w:t>;</w:t>
      </w:r>
    </w:p>
    <w:p w14:paraId="45DD7576" w14:textId="77777777" w:rsidR="007A439C" w:rsidRPr="00B566F3" w:rsidRDefault="00EB710B" w:rsidP="006B3CC7">
      <w:pPr>
        <w:pStyle w:val="ListParagraph"/>
        <w:numPr>
          <w:ilvl w:val="0"/>
          <w:numId w:val="6"/>
        </w:numPr>
        <w:tabs>
          <w:tab w:val="left" w:pos="567"/>
        </w:tabs>
        <w:snapToGrid w:val="0"/>
        <w:ind w:left="567" w:hanging="567"/>
        <w:jc w:val="both"/>
        <w:rPr>
          <w:rFonts w:ascii="Cambria" w:hAnsi="Cambria"/>
          <w:u w:val="single"/>
        </w:rPr>
      </w:pPr>
      <w:r w:rsidRPr="00B566F3">
        <w:rPr>
          <w:rFonts w:ascii="Cambria" w:hAnsi="Cambria"/>
          <w:sz w:val="22"/>
          <w:szCs w:val="22"/>
          <w:u w:val="single"/>
        </w:rPr>
        <w:t xml:space="preserve">Equality impact assessments must be </w:t>
      </w:r>
      <w:r w:rsidR="00864342" w:rsidRPr="00B566F3">
        <w:rPr>
          <w:rFonts w:ascii="Cambria" w:hAnsi="Cambria"/>
          <w:sz w:val="22"/>
          <w:szCs w:val="22"/>
          <w:u w:val="single"/>
        </w:rPr>
        <w:t>an essential element of the</w:t>
      </w:r>
      <w:r w:rsidRPr="00B566F3">
        <w:rPr>
          <w:rFonts w:ascii="Cambria" w:hAnsi="Cambria"/>
          <w:sz w:val="22"/>
          <w:szCs w:val="22"/>
          <w:u w:val="single"/>
        </w:rPr>
        <w:t xml:space="preserve"> </w:t>
      </w:r>
      <w:r w:rsidR="00864342" w:rsidRPr="00B566F3">
        <w:rPr>
          <w:rFonts w:ascii="Cambria" w:hAnsi="Cambria"/>
          <w:sz w:val="22"/>
          <w:szCs w:val="22"/>
          <w:u w:val="single"/>
        </w:rPr>
        <w:t>monitoring and review of policy responses to the pandemic</w:t>
      </w:r>
      <w:r w:rsidRPr="00B566F3">
        <w:rPr>
          <w:rFonts w:ascii="Cambria" w:hAnsi="Cambria"/>
          <w:sz w:val="22"/>
          <w:szCs w:val="22"/>
          <w:u w:val="single"/>
        </w:rPr>
        <w:t>,</w:t>
      </w:r>
      <w:r w:rsidR="00864342" w:rsidRPr="00B566F3">
        <w:rPr>
          <w:rFonts w:ascii="Cambria" w:hAnsi="Cambria"/>
          <w:sz w:val="22"/>
          <w:szCs w:val="22"/>
          <w:u w:val="single"/>
        </w:rPr>
        <w:t xml:space="preserve"> and of their on the ground effects. </w:t>
      </w:r>
    </w:p>
    <w:p w14:paraId="2FC76E4F" w14:textId="2F64B76C" w:rsidR="00917DF3" w:rsidRPr="00B566F3" w:rsidRDefault="00864342" w:rsidP="006B3CC7">
      <w:pPr>
        <w:pStyle w:val="ListParagraph"/>
        <w:numPr>
          <w:ilvl w:val="0"/>
          <w:numId w:val="6"/>
        </w:numPr>
        <w:tabs>
          <w:tab w:val="left" w:pos="567"/>
        </w:tabs>
        <w:snapToGrid w:val="0"/>
        <w:ind w:left="567" w:hanging="567"/>
        <w:jc w:val="both"/>
        <w:rPr>
          <w:rFonts w:ascii="Cambria" w:hAnsi="Cambria"/>
          <w:u w:val="single"/>
        </w:rPr>
      </w:pPr>
      <w:r w:rsidRPr="00B566F3">
        <w:rPr>
          <w:rFonts w:ascii="Cambria" w:hAnsi="Cambria"/>
          <w:sz w:val="22"/>
          <w:szCs w:val="22"/>
          <w:u w:val="single"/>
        </w:rPr>
        <w:t xml:space="preserve">Both initial assessments and ongoing monitoring must be informed by the collection of data on the experiences and outcomes of groups exposed to discrimination. </w:t>
      </w:r>
    </w:p>
    <w:sectPr w:rsidR="00917DF3" w:rsidRPr="00B566F3" w:rsidSect="00D96EDE">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2656" w14:textId="77777777" w:rsidR="000A6718" w:rsidRDefault="000A6718" w:rsidP="00917DF3">
      <w:r>
        <w:separator/>
      </w:r>
    </w:p>
  </w:endnote>
  <w:endnote w:type="continuationSeparator" w:id="0">
    <w:p w14:paraId="3CC215DB" w14:textId="77777777" w:rsidR="000A6718" w:rsidRDefault="000A6718" w:rsidP="0091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2"/>
        <w:szCs w:val="22"/>
      </w:rPr>
      <w:id w:val="837817002"/>
      <w:docPartObj>
        <w:docPartGallery w:val="Page Numbers (Bottom of Page)"/>
        <w:docPartUnique/>
      </w:docPartObj>
    </w:sdtPr>
    <w:sdtEndPr>
      <w:rPr>
        <w:noProof/>
      </w:rPr>
    </w:sdtEndPr>
    <w:sdtContent>
      <w:p w14:paraId="06EEF486" w14:textId="3C27E3CC" w:rsidR="00F750B0" w:rsidRPr="00750F35" w:rsidRDefault="00F750B0">
        <w:pPr>
          <w:pStyle w:val="Footer"/>
          <w:jc w:val="right"/>
          <w:rPr>
            <w:rFonts w:ascii="Cambria" w:hAnsi="Cambria"/>
            <w:sz w:val="22"/>
            <w:szCs w:val="22"/>
          </w:rPr>
        </w:pPr>
        <w:r w:rsidRPr="00750F35">
          <w:rPr>
            <w:rFonts w:ascii="Cambria" w:hAnsi="Cambria"/>
            <w:sz w:val="22"/>
            <w:szCs w:val="22"/>
          </w:rPr>
          <w:fldChar w:fldCharType="begin"/>
        </w:r>
        <w:r w:rsidRPr="00750F35">
          <w:rPr>
            <w:rFonts w:ascii="Cambria" w:hAnsi="Cambria"/>
            <w:sz w:val="22"/>
            <w:szCs w:val="22"/>
          </w:rPr>
          <w:instrText xml:space="preserve"> PAGE   \* MERGEFORMAT </w:instrText>
        </w:r>
        <w:r w:rsidRPr="00750F35">
          <w:rPr>
            <w:rFonts w:ascii="Cambria" w:hAnsi="Cambria"/>
            <w:sz w:val="22"/>
            <w:szCs w:val="22"/>
          </w:rPr>
          <w:fldChar w:fldCharType="separate"/>
        </w:r>
        <w:r w:rsidR="00392BA6">
          <w:rPr>
            <w:rFonts w:ascii="Cambria" w:hAnsi="Cambria"/>
            <w:noProof/>
            <w:sz w:val="22"/>
            <w:szCs w:val="22"/>
          </w:rPr>
          <w:t>1</w:t>
        </w:r>
        <w:r w:rsidRPr="00750F35">
          <w:rPr>
            <w:rFonts w:ascii="Cambria" w:hAnsi="Cambria"/>
            <w:noProof/>
            <w:sz w:val="22"/>
            <w:szCs w:val="22"/>
          </w:rPr>
          <w:fldChar w:fldCharType="end"/>
        </w:r>
      </w:p>
    </w:sdtContent>
  </w:sdt>
  <w:p w14:paraId="0FABC088" w14:textId="77777777" w:rsidR="00F750B0" w:rsidRPr="00750F35" w:rsidRDefault="00F750B0">
    <w:pPr>
      <w:pStyle w:val="Footer"/>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F758" w14:textId="77777777" w:rsidR="000A6718" w:rsidRDefault="000A6718" w:rsidP="00917DF3">
      <w:r>
        <w:separator/>
      </w:r>
    </w:p>
  </w:footnote>
  <w:footnote w:type="continuationSeparator" w:id="0">
    <w:p w14:paraId="4E9022AB" w14:textId="77777777" w:rsidR="000A6718" w:rsidRDefault="000A6718" w:rsidP="00917DF3">
      <w:r>
        <w:continuationSeparator/>
      </w:r>
    </w:p>
  </w:footnote>
  <w:footnote w:id="1">
    <w:p w14:paraId="3B00A931" w14:textId="1D914213" w:rsidR="00F750B0" w:rsidRPr="006D6594" w:rsidRDefault="00F750B0" w:rsidP="006D6594">
      <w:pPr>
        <w:pStyle w:val="FootnoteText"/>
        <w:spacing w:after="120"/>
      </w:pPr>
      <w:r w:rsidRPr="006D6594">
        <w:rPr>
          <w:rStyle w:val="FootnoteReference"/>
        </w:rPr>
        <w:footnoteRef/>
      </w:r>
      <w:r w:rsidRPr="006D6594">
        <w:t xml:space="preserve"> See, World Health Organization, </w:t>
      </w:r>
      <w:r w:rsidRPr="006D6594">
        <w:rPr>
          <w:i/>
        </w:rPr>
        <w:t>WHO Coronavirus Disease (COVID-19) Dashboard</w:t>
      </w:r>
      <w:r w:rsidRPr="006D6594">
        <w:t xml:space="preserve">, visited 23 June 2020, available at: </w:t>
      </w:r>
      <w:hyperlink r:id="rId1" w:history="1">
        <w:r w:rsidRPr="006D6594">
          <w:rPr>
            <w:rStyle w:val="Hyperlink"/>
          </w:rPr>
          <w:t>https://covid19.who.int</w:t>
        </w:r>
      </w:hyperlink>
      <w:r w:rsidRPr="006D6594">
        <w:t xml:space="preserve">. </w:t>
      </w:r>
    </w:p>
  </w:footnote>
  <w:footnote w:id="2">
    <w:p w14:paraId="037AC0DA" w14:textId="7EF63B93" w:rsidR="00F750B0" w:rsidRPr="006D6594" w:rsidRDefault="00F750B0" w:rsidP="006D6594">
      <w:pPr>
        <w:pStyle w:val="FootnoteText"/>
        <w:spacing w:after="120"/>
      </w:pPr>
      <w:r w:rsidRPr="006D6594">
        <w:rPr>
          <w:rStyle w:val="FootnoteReference"/>
        </w:rPr>
        <w:footnoteRef/>
      </w:r>
      <w:r w:rsidRPr="006D6594">
        <w:t xml:space="preserve"> </w:t>
      </w:r>
      <w:r w:rsidR="006D6594" w:rsidRPr="006D6594">
        <w:t xml:space="preserve">Equal Rights Trust and others, </w:t>
      </w:r>
      <w:r w:rsidR="006D6594" w:rsidRPr="006D6594">
        <w:rPr>
          <w:lang w:val="en-US"/>
        </w:rPr>
        <w:t xml:space="preserve">“ Call to Action: Addressing discrimination and inequality in the global response to COVID-19 “, May 2020, available at: </w:t>
      </w:r>
      <w:hyperlink r:id="rId2" w:history="1">
        <w:r w:rsidR="006D6594" w:rsidRPr="006D6594">
          <w:rPr>
            <w:rStyle w:val="Hyperlink"/>
          </w:rPr>
          <w:t>https://www.equalrightstrust.org/sites/default/files/images/COVIDResponse.pdf</w:t>
        </w:r>
      </w:hyperlink>
      <w:r w:rsidRPr="006D6594">
        <w:t xml:space="preserve">. </w:t>
      </w:r>
    </w:p>
  </w:footnote>
  <w:footnote w:id="3">
    <w:p w14:paraId="4134E93D" w14:textId="03048CDC" w:rsidR="00F750B0" w:rsidRPr="006D6594" w:rsidRDefault="00F750B0" w:rsidP="006D6594">
      <w:pPr>
        <w:pStyle w:val="FootnoteText"/>
        <w:spacing w:after="120"/>
      </w:pPr>
      <w:r w:rsidRPr="006D6594">
        <w:rPr>
          <w:rStyle w:val="FootnoteReference"/>
        </w:rPr>
        <w:footnoteRef/>
      </w:r>
      <w:r w:rsidRPr="006D6594">
        <w:t xml:space="preserve"> Under Article 2(1) of the International Covenant on Civil and Political Rights (ICCPR) and Article 2(2) of the International Covenant on Economic, Social and Cultural Rights (ICESCR), states guarantee the enjoyment of the rights provided in those Covenants without discrimination.</w:t>
      </w:r>
      <w:r w:rsidR="006B3CC7" w:rsidRPr="006D6594">
        <w:t xml:space="preserve"> </w:t>
      </w:r>
      <w:r w:rsidR="00EE7F89" w:rsidRPr="006D6594">
        <w:rPr>
          <w:rFonts w:cstheme="majorBidi"/>
        </w:rPr>
        <w:t>In addition, Article 26 of the ICCPR contains an explicit requirement that “the law shall prohibit any discrimination (…) on any ground such as (…)  sex”. The UN Human Rights Committee has noted that Article 26 “</w:t>
      </w:r>
      <w:r w:rsidR="00EE7F89" w:rsidRPr="006D6594">
        <w:t xml:space="preserve">provides (…) an autonomous right” which “prohibits discrimination in law or in fact in any field regulated and protected by public authorities” (Human Rights Committee, </w:t>
      </w:r>
      <w:r w:rsidR="00EE7F89" w:rsidRPr="006D6594">
        <w:rPr>
          <w:i/>
          <w:iCs/>
        </w:rPr>
        <w:t xml:space="preserve">General Comment 18: </w:t>
      </w:r>
      <w:r w:rsidR="00EE7F89" w:rsidRPr="006D6594">
        <w:rPr>
          <w:i/>
          <w:iCs/>
          <w:lang w:val="en-US"/>
        </w:rPr>
        <w:t xml:space="preserve"> Non-discrimination</w:t>
      </w:r>
      <w:r w:rsidR="00EE7F89" w:rsidRPr="006D6594">
        <w:rPr>
          <w:lang w:val="en-US"/>
        </w:rPr>
        <w:t>, 1989, Para 12).</w:t>
      </w:r>
    </w:p>
  </w:footnote>
  <w:footnote w:id="4">
    <w:p w14:paraId="0157A27B" w14:textId="354E3459" w:rsidR="00F750B0" w:rsidRPr="006D6594" w:rsidRDefault="00F750B0" w:rsidP="006D6594">
      <w:pPr>
        <w:pStyle w:val="FootnoteText"/>
        <w:spacing w:after="120"/>
      </w:pPr>
      <w:r w:rsidRPr="006D6594">
        <w:rPr>
          <w:rStyle w:val="FootnoteReference"/>
        </w:rPr>
        <w:footnoteRef/>
      </w:r>
      <w:r w:rsidRPr="006D6594">
        <w:t xml:space="preserve"> Office of the UN High Commissioner for Human Rights (OHCHR), </w:t>
      </w:r>
      <w:r w:rsidRPr="006D6594">
        <w:rPr>
          <w:i/>
        </w:rPr>
        <w:t>Status of Ratification Interactive Dashboard,</w:t>
      </w:r>
      <w:r w:rsidRPr="006D6594">
        <w:t xml:space="preserve"> visited 23 June 2020</w:t>
      </w:r>
      <w:r w:rsidRPr="006D6594">
        <w:rPr>
          <w:i/>
        </w:rPr>
        <w:t xml:space="preserve">, </w:t>
      </w:r>
      <w:r w:rsidRPr="006D6594">
        <w:t xml:space="preserve">available at: </w:t>
      </w:r>
      <w:hyperlink r:id="rId3" w:history="1">
        <w:r w:rsidRPr="006D6594">
          <w:rPr>
            <w:rStyle w:val="Hyperlink"/>
          </w:rPr>
          <w:t>https://indicators.ohchr.org</w:t>
        </w:r>
      </w:hyperlink>
      <w:r w:rsidRPr="006D6594">
        <w:t>.</w:t>
      </w:r>
    </w:p>
  </w:footnote>
  <w:footnote w:id="5">
    <w:p w14:paraId="6332CAFD" w14:textId="5B4F8131" w:rsidR="00AC2CB0" w:rsidRPr="006D6594" w:rsidRDefault="00AC2CB0" w:rsidP="006D6594">
      <w:pPr>
        <w:pStyle w:val="FootnoteText"/>
        <w:spacing w:after="120"/>
      </w:pPr>
      <w:r w:rsidRPr="006D6594">
        <w:rPr>
          <w:rStyle w:val="FootnoteReference"/>
        </w:rPr>
        <w:footnoteRef/>
      </w:r>
      <w:r w:rsidRPr="006D6594">
        <w:t xml:space="preserve"> H</w:t>
      </w:r>
      <w:r w:rsidR="006B3CC7" w:rsidRPr="006D6594">
        <w:t>uman Rights Committee</w:t>
      </w:r>
      <w:r w:rsidRPr="006D6594">
        <w:t>, </w:t>
      </w:r>
      <w:r w:rsidRPr="006D6594">
        <w:rPr>
          <w:i/>
          <w:iCs/>
        </w:rPr>
        <w:t>General Comment No. 15: The Position of Aliens Under the Covenant</w:t>
      </w:r>
      <w:r w:rsidRPr="006D6594">
        <w:t>, UN Doc. HRI/GEN/1/Rev.6 at p. 140, 1986.</w:t>
      </w:r>
    </w:p>
  </w:footnote>
  <w:footnote w:id="6">
    <w:p w14:paraId="2ABAA90E" w14:textId="682A976F" w:rsidR="00AC2CB0" w:rsidRPr="006D6594" w:rsidRDefault="00AC2CB0" w:rsidP="006D6594">
      <w:pPr>
        <w:pStyle w:val="FootnoteText"/>
        <w:spacing w:after="120"/>
      </w:pPr>
      <w:r w:rsidRPr="006D6594">
        <w:rPr>
          <w:rStyle w:val="FootnoteReference"/>
        </w:rPr>
        <w:footnoteRef/>
      </w:r>
      <w:r w:rsidRPr="006D6594">
        <w:t xml:space="preserve"> Committee on Economic, Social and Cultural Rights (CESCR), </w:t>
      </w:r>
      <w:r w:rsidRPr="006D6594">
        <w:rPr>
          <w:i/>
        </w:rPr>
        <w:t>General Comment No. 20: Non-discrimination in economic, social and cultural rights (art. 2, para. 2, of the International Covenant on Economic, Social and Cultural Rights)</w:t>
      </w:r>
      <w:r w:rsidRPr="006D6594">
        <w:t xml:space="preserve">, UN Doc. E/C.12/GC/20, 2009 (CESCR, </w:t>
      </w:r>
      <w:r w:rsidRPr="006D6594">
        <w:rPr>
          <w:iCs/>
        </w:rPr>
        <w:t>General Comment No. 20), Paras 15 and 27-35.</w:t>
      </w:r>
    </w:p>
  </w:footnote>
  <w:footnote w:id="7">
    <w:p w14:paraId="40066B27" w14:textId="10CB902F" w:rsidR="00AC2CB0" w:rsidRPr="006D6594" w:rsidRDefault="00AC2CB0" w:rsidP="006D6594">
      <w:pPr>
        <w:pStyle w:val="FootnoteText"/>
        <w:spacing w:after="120"/>
        <w:rPr>
          <w:iCs/>
        </w:rPr>
      </w:pPr>
      <w:r w:rsidRPr="006D6594">
        <w:rPr>
          <w:rStyle w:val="FootnoteReference"/>
        </w:rPr>
        <w:footnoteRef/>
      </w:r>
      <w:r w:rsidRPr="006D6594">
        <w:t xml:space="preserve"> </w:t>
      </w:r>
      <w:r w:rsidR="00EE7F89" w:rsidRPr="006D6594">
        <w:rPr>
          <w:i/>
          <w:iCs/>
        </w:rPr>
        <w:t>Ibid.,</w:t>
      </w:r>
      <w:r w:rsidRPr="006D6594">
        <w:rPr>
          <w:iCs/>
        </w:rPr>
        <w:t xml:space="preserve"> Para</w:t>
      </w:r>
      <w:r w:rsidR="009524E8" w:rsidRPr="006D6594">
        <w:rPr>
          <w:iCs/>
        </w:rPr>
        <w:t>s</w:t>
      </w:r>
      <w:r w:rsidRPr="006D6594">
        <w:rPr>
          <w:iCs/>
        </w:rPr>
        <w:t xml:space="preserve"> </w:t>
      </w:r>
      <w:r w:rsidR="009524E8" w:rsidRPr="006D6594">
        <w:rPr>
          <w:iCs/>
        </w:rPr>
        <w:t>8 and 36-</w:t>
      </w:r>
      <w:r w:rsidRPr="006D6594">
        <w:rPr>
          <w:iCs/>
        </w:rPr>
        <w:t>37.</w:t>
      </w:r>
    </w:p>
  </w:footnote>
  <w:footnote w:id="8">
    <w:p w14:paraId="727F9153" w14:textId="49114EF9" w:rsidR="00F750B0" w:rsidRPr="006D6594" w:rsidRDefault="00F750B0" w:rsidP="006D6594">
      <w:pPr>
        <w:pStyle w:val="FootnoteText"/>
        <w:spacing w:after="120"/>
      </w:pPr>
      <w:r w:rsidRPr="006D6594">
        <w:rPr>
          <w:rStyle w:val="FootnoteReference"/>
        </w:rPr>
        <w:footnoteRef/>
      </w:r>
      <w:r w:rsidRPr="006D6594">
        <w:t xml:space="preserve"> </w:t>
      </w:r>
      <w:r w:rsidR="00EE7F89" w:rsidRPr="006D6594">
        <w:rPr>
          <w:i/>
          <w:iCs/>
        </w:rPr>
        <w:t>Ibid.,</w:t>
      </w:r>
      <w:r w:rsidR="00EE7F89" w:rsidRPr="006D6594">
        <w:rPr>
          <w:iCs/>
        </w:rPr>
        <w:t xml:space="preserve"> </w:t>
      </w:r>
      <w:r w:rsidRPr="006D6594">
        <w:t>Para 7.</w:t>
      </w:r>
    </w:p>
  </w:footnote>
  <w:footnote w:id="9">
    <w:p w14:paraId="5D856316" w14:textId="589F680E" w:rsidR="00D9701B" w:rsidRPr="006D6594" w:rsidRDefault="00D9701B" w:rsidP="006D6594">
      <w:pPr>
        <w:pStyle w:val="FootnoteText"/>
        <w:spacing w:after="120"/>
      </w:pPr>
      <w:r w:rsidRPr="006D6594">
        <w:rPr>
          <w:rStyle w:val="FootnoteReference"/>
        </w:rPr>
        <w:footnoteRef/>
      </w:r>
      <w:r w:rsidRPr="006D6594">
        <w:t xml:space="preserve"> </w:t>
      </w:r>
      <w:r w:rsidR="00EE7F89" w:rsidRPr="006D6594">
        <w:t xml:space="preserve">Human Rights Committee, </w:t>
      </w:r>
      <w:r w:rsidR="00EE7F89" w:rsidRPr="006D6594">
        <w:rPr>
          <w:i/>
          <w:iCs/>
        </w:rPr>
        <w:t xml:space="preserve">General Comment 18: </w:t>
      </w:r>
      <w:r w:rsidR="00EE7F89" w:rsidRPr="006D6594">
        <w:rPr>
          <w:i/>
          <w:iCs/>
          <w:lang w:val="en-US"/>
        </w:rPr>
        <w:t xml:space="preserve"> Non-discrimination</w:t>
      </w:r>
      <w:r w:rsidR="00EE7F89" w:rsidRPr="006D6594">
        <w:rPr>
          <w:lang w:val="en-US"/>
        </w:rPr>
        <w:t>, 1989, Para 12.</w:t>
      </w:r>
    </w:p>
  </w:footnote>
  <w:footnote w:id="10">
    <w:p w14:paraId="78D8E42D" w14:textId="6176ADB7" w:rsidR="009524E8" w:rsidRPr="006D6594" w:rsidRDefault="009524E8" w:rsidP="006D6594">
      <w:pPr>
        <w:pStyle w:val="FootnoteText"/>
        <w:spacing w:after="120"/>
      </w:pPr>
      <w:r w:rsidRPr="006D6594">
        <w:rPr>
          <w:rStyle w:val="FootnoteReference"/>
        </w:rPr>
        <w:footnoteRef/>
      </w:r>
      <w:r w:rsidRPr="006D6594">
        <w:t xml:space="preserve"> Human Rights Committee, </w:t>
      </w:r>
      <w:r w:rsidRPr="006D6594">
        <w:rPr>
          <w:i/>
        </w:rPr>
        <w:t xml:space="preserve">General Comment No. 29: States of emergency (art. 4), </w:t>
      </w:r>
      <w:r w:rsidRPr="006D6594">
        <w:t xml:space="preserve">UN Doc. CCPR/C/21/Rev.1/Add.11, 2001, Para 8. </w:t>
      </w:r>
    </w:p>
  </w:footnote>
  <w:footnote w:id="11">
    <w:p w14:paraId="18343A43" w14:textId="64131EBD" w:rsidR="006D6594" w:rsidRPr="006D6594" w:rsidRDefault="006D6594" w:rsidP="006D6594">
      <w:pPr>
        <w:pStyle w:val="FootnoteText"/>
        <w:spacing w:after="120"/>
      </w:pPr>
      <w:r w:rsidRPr="006D6594">
        <w:rPr>
          <w:rStyle w:val="FootnoteReference"/>
        </w:rPr>
        <w:footnoteRef/>
      </w:r>
      <w:r w:rsidRPr="006D6594">
        <w:t xml:space="preserve"> UN Independent Expert on the enjoyment of all human rights by older persons, ““Unacceptable” – UN expert urges better protection of older persons facing the highest risk of the COVID-19 pandemic”, March 2020, available at: </w:t>
      </w:r>
      <w:hyperlink r:id="rId4" w:history="1">
        <w:r w:rsidRPr="006D6594">
          <w:rPr>
            <w:rStyle w:val="Hyperlink"/>
          </w:rPr>
          <w:t>https://www.ohchr.org/EN/NewsEvents/Pages/DisplayNews.aspx?NewsID=25748&amp;LangID=E</w:t>
        </w:r>
      </w:hyperlink>
    </w:p>
  </w:footnote>
  <w:footnote w:id="12">
    <w:p w14:paraId="4F287188" w14:textId="206BD690" w:rsidR="006D6594" w:rsidRPr="006D6594" w:rsidRDefault="006D6594" w:rsidP="006D6594">
      <w:pPr>
        <w:pStyle w:val="FootnoteText"/>
        <w:spacing w:after="120"/>
      </w:pPr>
      <w:r w:rsidRPr="006D6594">
        <w:rPr>
          <w:rStyle w:val="FootnoteReference"/>
        </w:rPr>
        <w:footnoteRef/>
      </w:r>
      <w:r w:rsidRPr="006D6594">
        <w:t xml:space="preserve"> </w:t>
      </w:r>
      <w:r w:rsidRPr="006D6594">
        <w:rPr>
          <w:color w:val="000000"/>
          <w:shd w:val="clear" w:color="auto" w:fill="FFFFFF"/>
        </w:rPr>
        <w:t>UN Special Rapporteur on the rights of persons with disabilities, “COVID-19: Who is protecting the people with disabilities?”, March 2020, available at: </w:t>
      </w:r>
      <w:hyperlink r:id="rId5" w:history="1">
        <w:r w:rsidRPr="006D6594">
          <w:rPr>
            <w:rStyle w:val="Hyperlink"/>
          </w:rPr>
          <w:t>https://www.ohchr.org/EN/NewsEvents/Pages/DisplayNews.aspx?NewsID=25725&amp;LangID=E</w:t>
        </w:r>
      </w:hyperlink>
    </w:p>
  </w:footnote>
  <w:footnote w:id="13">
    <w:p w14:paraId="06C78EF0" w14:textId="77777777" w:rsidR="00761FF6" w:rsidRPr="006D6594" w:rsidRDefault="00761FF6" w:rsidP="006D6594">
      <w:pPr>
        <w:pStyle w:val="FootnoteText"/>
        <w:spacing w:after="120"/>
      </w:pPr>
      <w:r w:rsidRPr="006D6594">
        <w:rPr>
          <w:rStyle w:val="FootnoteReference"/>
        </w:rPr>
        <w:footnoteRef/>
      </w:r>
      <w:r w:rsidRPr="006D6594">
        <w:t xml:space="preserve"> Disability Rights International, “Action steps to protect children and adults with disabilities during COVID-19 pandemic – especially in institutions and orphanages”, 20 April 2020, p.10-12, available at: </w:t>
      </w:r>
      <w:hyperlink r:id="rId6" w:history="1">
        <w:r w:rsidRPr="006D6594">
          <w:rPr>
            <w:rStyle w:val="Hyperlink"/>
          </w:rPr>
          <w:t>https://www.driadvocacy.org/covid19-action-steps/</w:t>
        </w:r>
      </w:hyperlink>
    </w:p>
  </w:footnote>
  <w:footnote w:id="14">
    <w:p w14:paraId="037F9187" w14:textId="6642B897" w:rsidR="00F750B0" w:rsidRPr="006D6594" w:rsidRDefault="00F750B0" w:rsidP="006D6594">
      <w:pPr>
        <w:pStyle w:val="FootnoteText"/>
        <w:spacing w:after="120"/>
      </w:pPr>
      <w:r w:rsidRPr="006D6594">
        <w:rPr>
          <w:rStyle w:val="FootnoteReference"/>
        </w:rPr>
        <w:footnoteRef/>
      </w:r>
      <w:r w:rsidRPr="006D6594">
        <w:t xml:space="preserve"> Lloyd-Sherlock, P., et al., “COVID-19 and older adults in low and middle-income countries”, </w:t>
      </w:r>
      <w:r w:rsidRPr="006D6594">
        <w:rPr>
          <w:i/>
          <w:iCs/>
        </w:rPr>
        <w:t>Corona Older,</w:t>
      </w:r>
      <w:r w:rsidRPr="006D6594">
        <w:t xml:space="preserve"> 25 June 2020, available at: </w:t>
      </w:r>
      <w:hyperlink r:id="rId7" w:history="1">
        <w:r w:rsidRPr="006D6594">
          <w:rPr>
            <w:rStyle w:val="Hyperlink"/>
          </w:rPr>
          <w:t>https://www.corona-older.com/post/problems-of-data-availability-and-quality-for-covid-19-and-older-people-in-lmics</w:t>
        </w:r>
      </w:hyperlink>
    </w:p>
  </w:footnote>
  <w:footnote w:id="15">
    <w:p w14:paraId="0E1710E1" w14:textId="10047FEE" w:rsidR="00F750B0" w:rsidRPr="006D6594" w:rsidRDefault="00F750B0" w:rsidP="006D6594">
      <w:pPr>
        <w:pStyle w:val="FootnoteText"/>
        <w:spacing w:after="120"/>
      </w:pPr>
      <w:r w:rsidRPr="006D6594">
        <w:rPr>
          <w:rStyle w:val="FootnoteReference"/>
        </w:rPr>
        <w:footnoteRef/>
      </w:r>
      <w:r w:rsidRPr="006D6594">
        <w:t xml:space="preserve"> Public Health England, </w:t>
      </w:r>
      <w:r w:rsidRPr="006D6594">
        <w:rPr>
          <w:i/>
        </w:rPr>
        <w:t>Beyond the data: Understanding the impact of COVID-19 on BAME groups</w:t>
      </w:r>
      <w:r w:rsidRPr="006D6594">
        <w:t xml:space="preserve">, 2020, available at: </w:t>
      </w:r>
      <w:hyperlink r:id="rId8" w:history="1">
        <w:r w:rsidRPr="006D6594">
          <w:rPr>
            <w:rStyle w:val="Hyperlink"/>
          </w:rPr>
          <w:t>https://assets.publishing.service.gov.uk/government/uploads/system/uploads/attachment_data/file/892376/COVID_stakeholder_engagement_synthesis_beyond_the_data.pdf</w:t>
        </w:r>
      </w:hyperlink>
      <w:r w:rsidRPr="006D6594">
        <w:t>.</w:t>
      </w:r>
    </w:p>
  </w:footnote>
  <w:footnote w:id="16">
    <w:p w14:paraId="5F1B8F81" w14:textId="77777777" w:rsidR="00C63048" w:rsidRPr="006D6594" w:rsidRDefault="00C63048" w:rsidP="006D6594">
      <w:pPr>
        <w:pStyle w:val="FootnoteText"/>
        <w:spacing w:after="120"/>
      </w:pPr>
      <w:r w:rsidRPr="006D6594">
        <w:rPr>
          <w:rStyle w:val="FootnoteReference"/>
        </w:rPr>
        <w:footnoteRef/>
      </w:r>
      <w:r w:rsidRPr="006D6594">
        <w:t xml:space="preserve"> </w:t>
      </w:r>
      <w:r w:rsidRPr="006D6594">
        <w:rPr>
          <w:i/>
          <w:iCs/>
        </w:rPr>
        <w:t>Ibid</w:t>
      </w:r>
      <w:r w:rsidRPr="006D6594">
        <w:t>., p.6</w:t>
      </w:r>
    </w:p>
  </w:footnote>
  <w:footnote w:id="17">
    <w:p w14:paraId="4002F9AA" w14:textId="17AC7E2B" w:rsidR="00F750B0" w:rsidRPr="006D6594" w:rsidRDefault="00F750B0" w:rsidP="006D6594">
      <w:pPr>
        <w:pStyle w:val="FootnoteText"/>
        <w:spacing w:after="120"/>
      </w:pPr>
      <w:r w:rsidRPr="006D6594">
        <w:rPr>
          <w:rStyle w:val="FootnoteReference"/>
        </w:rPr>
        <w:footnoteRef/>
      </w:r>
      <w:r w:rsidRPr="006D6594">
        <w:t xml:space="preserve"> APM Research Labs, </w:t>
      </w:r>
      <w:r w:rsidRPr="006D6594">
        <w:rPr>
          <w:i/>
        </w:rPr>
        <w:t xml:space="preserve">The Color of Coronavirus: COVID-19 Deaths by Race and Ethnicity in the U.S., </w:t>
      </w:r>
      <w:r w:rsidRPr="006D6594">
        <w:t xml:space="preserve">updated 10 June 2020, available at: </w:t>
      </w:r>
      <w:hyperlink r:id="rId9" w:history="1">
        <w:r w:rsidRPr="006D6594">
          <w:rPr>
            <w:rStyle w:val="Hyperlink"/>
          </w:rPr>
          <w:t>https://www.apmresearchlab.org/covid/deaths-by-race</w:t>
        </w:r>
      </w:hyperlink>
      <w:r w:rsidRPr="006D6594">
        <w:t>.</w:t>
      </w:r>
    </w:p>
  </w:footnote>
  <w:footnote w:id="18">
    <w:p w14:paraId="5824274F" w14:textId="3A59AB5C" w:rsidR="00314F38" w:rsidRPr="006D6594" w:rsidRDefault="00314F38" w:rsidP="006D6594">
      <w:pPr>
        <w:pStyle w:val="FootnoteText"/>
        <w:spacing w:after="120"/>
      </w:pPr>
      <w:r w:rsidRPr="006D6594">
        <w:rPr>
          <w:rStyle w:val="FootnoteReference"/>
        </w:rPr>
        <w:footnoteRef/>
      </w:r>
      <w:r w:rsidRPr="006D6594">
        <w:t xml:space="preserve"> Batista, A. et al.</w:t>
      </w:r>
      <w:r w:rsidRPr="006D6594">
        <w:rPr>
          <w:i/>
        </w:rPr>
        <w:t xml:space="preserve">, </w:t>
      </w:r>
      <w:r w:rsidRPr="006D6594">
        <w:t xml:space="preserve">“Análise socioeconômica da taxa de letalidade da COVID-19 no Brasil”, </w:t>
      </w:r>
      <w:r w:rsidRPr="006D6594">
        <w:rPr>
          <w:i/>
        </w:rPr>
        <w:t>Núcleo de Operações e Inteligência em Saúde (NOIS)</w:t>
      </w:r>
      <w:r w:rsidRPr="006D6594">
        <w:t>, Nota Técnica 11</w:t>
      </w:r>
      <w:r w:rsidRPr="006D6594">
        <w:rPr>
          <w:i/>
        </w:rPr>
        <w:t xml:space="preserve">, </w:t>
      </w:r>
      <w:r w:rsidRPr="006D6594">
        <w:t xml:space="preserve">27 May 2020, available at: </w:t>
      </w:r>
      <w:hyperlink r:id="rId10" w:history="1">
        <w:r w:rsidRPr="006D6594">
          <w:rPr>
            <w:rStyle w:val="Hyperlink"/>
          </w:rPr>
          <w:t>https://drive.google.com/file/d/1tSU7mV4OPnLRFMMY47JIXZgzkklvkydO/view</w:t>
        </w:r>
      </w:hyperlink>
      <w:r w:rsidRPr="006D6594">
        <w:t>.</w:t>
      </w:r>
    </w:p>
  </w:footnote>
  <w:footnote w:id="19">
    <w:p w14:paraId="04774B47" w14:textId="7CCB01FB" w:rsidR="00F750B0" w:rsidRPr="006D6594" w:rsidRDefault="00F750B0" w:rsidP="006D6594">
      <w:pPr>
        <w:pStyle w:val="FootnoteText"/>
        <w:spacing w:after="120"/>
      </w:pPr>
      <w:r w:rsidRPr="006D6594">
        <w:rPr>
          <w:rStyle w:val="FootnoteReference"/>
        </w:rPr>
        <w:footnoteRef/>
      </w:r>
      <w:r w:rsidRPr="006D6594">
        <w:t xml:space="preserve"> Baek, G., “Navajo Nation residents face coronavirus without running water”, </w:t>
      </w:r>
      <w:r w:rsidRPr="006D6594">
        <w:rPr>
          <w:i/>
        </w:rPr>
        <w:t>CBS News</w:t>
      </w:r>
      <w:r w:rsidRPr="006D6594">
        <w:t xml:space="preserve">, 8 May 2020, available at: </w:t>
      </w:r>
      <w:hyperlink r:id="rId11" w:history="1">
        <w:r w:rsidRPr="006D6594">
          <w:rPr>
            <w:rStyle w:val="Hyperlink"/>
          </w:rPr>
          <w:t>https://www.cbsnews.com/news/coronavirus-navajo-nation-running-water-cbsn-originals/</w:t>
        </w:r>
      </w:hyperlink>
      <w:r w:rsidRPr="006D6594">
        <w:t>.</w:t>
      </w:r>
    </w:p>
  </w:footnote>
  <w:footnote w:id="20">
    <w:p w14:paraId="6040C8F9" w14:textId="07648DF2" w:rsidR="00314F38" w:rsidRPr="006D6594" w:rsidRDefault="00314F38" w:rsidP="006D6594">
      <w:pPr>
        <w:pStyle w:val="FootnoteText"/>
        <w:spacing w:after="120"/>
      </w:pPr>
      <w:r w:rsidRPr="006D6594">
        <w:rPr>
          <w:rStyle w:val="FootnoteReference"/>
        </w:rPr>
        <w:footnoteRef/>
      </w:r>
      <w:r w:rsidRPr="006D6594">
        <w:t xml:space="preserve"> </w:t>
      </w:r>
      <w:r w:rsidR="006B3CC7" w:rsidRPr="006D6594">
        <w:rPr>
          <w:i/>
          <w:iCs/>
        </w:rPr>
        <w:t>Ibid.</w:t>
      </w:r>
    </w:p>
  </w:footnote>
  <w:footnote w:id="21">
    <w:p w14:paraId="6F8F9D9C" w14:textId="2A9B8EBC" w:rsidR="00F750B0" w:rsidRPr="006D6594" w:rsidRDefault="00F750B0" w:rsidP="006D6594">
      <w:pPr>
        <w:pStyle w:val="FootnoteText"/>
        <w:spacing w:after="120"/>
      </w:pPr>
      <w:r w:rsidRPr="006D6594">
        <w:rPr>
          <w:rStyle w:val="FootnoteReference"/>
        </w:rPr>
        <w:footnoteRef/>
      </w:r>
      <w:r w:rsidRPr="006D6594">
        <w:t xml:space="preserve"> Wallace, S., “Disaster looms for indigenous Amazon tribes as COVID-19 cases multiply”, </w:t>
      </w:r>
      <w:r w:rsidRPr="006D6594">
        <w:rPr>
          <w:i/>
        </w:rPr>
        <w:t xml:space="preserve">National Geographic, </w:t>
      </w:r>
      <w:r w:rsidRPr="006D6594">
        <w:t xml:space="preserve">15 June 2020, available at: </w:t>
      </w:r>
      <w:hyperlink r:id="rId12" w:history="1">
        <w:r w:rsidRPr="006D6594">
          <w:rPr>
            <w:rStyle w:val="Hyperlink"/>
          </w:rPr>
          <w:t>https://www.nationalgeographic.co.uk/science-and-technology/2020/06/disaster-looms-for-indigenous-amazon-tribes-as-covid-19-cases</w:t>
        </w:r>
      </w:hyperlink>
      <w:r w:rsidRPr="006D6594">
        <w:t>.</w:t>
      </w:r>
    </w:p>
  </w:footnote>
  <w:footnote w:id="22">
    <w:p w14:paraId="739E5A10" w14:textId="4B7CF76A" w:rsidR="00F750B0" w:rsidRPr="006D6594" w:rsidRDefault="00F750B0" w:rsidP="006D6594">
      <w:pPr>
        <w:pStyle w:val="FootnoteText"/>
        <w:spacing w:after="120"/>
      </w:pPr>
      <w:r w:rsidRPr="006D6594">
        <w:rPr>
          <w:rStyle w:val="FootnoteReference"/>
        </w:rPr>
        <w:footnoteRef/>
      </w:r>
      <w:r w:rsidRPr="006D6594">
        <w:t xml:space="preserve"> Carling, A. and Mankani, I., “Systemic Inequalities Increase Covid-19 Risk for Indigenous People in Canada”, </w:t>
      </w:r>
      <w:r w:rsidRPr="006D6594">
        <w:rPr>
          <w:i/>
        </w:rPr>
        <w:t xml:space="preserve">Human Rights Watch Dispatches, </w:t>
      </w:r>
      <w:r w:rsidRPr="006D6594">
        <w:t xml:space="preserve">9 June 2020, available at: </w:t>
      </w:r>
      <w:hyperlink r:id="rId13" w:history="1">
        <w:r w:rsidRPr="006D6594">
          <w:rPr>
            <w:rStyle w:val="Hyperlink"/>
          </w:rPr>
          <w:t>https://www.hrw.org/news/2020/06/09/systemic-inequities-increase-covid-19-risk-indigenous-people-canada</w:t>
        </w:r>
      </w:hyperlink>
      <w:r w:rsidRPr="006D6594">
        <w:t>.</w:t>
      </w:r>
    </w:p>
  </w:footnote>
  <w:footnote w:id="23">
    <w:p w14:paraId="66B9120F" w14:textId="0B7225E9" w:rsidR="00F750B0" w:rsidRPr="006D6594" w:rsidRDefault="00F750B0" w:rsidP="006D6594">
      <w:pPr>
        <w:pStyle w:val="FootnoteText"/>
        <w:spacing w:after="120"/>
      </w:pPr>
      <w:r w:rsidRPr="006D6594">
        <w:rPr>
          <w:rStyle w:val="FootnoteReference"/>
        </w:rPr>
        <w:footnoteRef/>
      </w:r>
      <w:r w:rsidRPr="006D6594">
        <w:t xml:space="preserve"> UN, “COVID-19 stoking xenophobia, hate and exclusion, minority rights expert warns”, </w:t>
      </w:r>
      <w:r w:rsidRPr="006D6594">
        <w:rPr>
          <w:i/>
        </w:rPr>
        <w:t xml:space="preserve">UN News, </w:t>
      </w:r>
      <w:r w:rsidRPr="006D6594">
        <w:t xml:space="preserve">30 March 2020, available at: </w:t>
      </w:r>
      <w:hyperlink r:id="rId14" w:history="1">
        <w:r w:rsidRPr="006D6594">
          <w:rPr>
            <w:rStyle w:val="Hyperlink"/>
          </w:rPr>
          <w:t>https://news.un.org/en/story/2020/03/1060602</w:t>
        </w:r>
      </w:hyperlink>
      <w:r w:rsidRPr="006D6594">
        <w:t>.</w:t>
      </w:r>
    </w:p>
  </w:footnote>
  <w:footnote w:id="24">
    <w:p w14:paraId="64F6C59A" w14:textId="5F9CE2B0" w:rsidR="00F750B0" w:rsidRPr="006D6594" w:rsidRDefault="00F750B0" w:rsidP="006D6594">
      <w:pPr>
        <w:pStyle w:val="NormalWeb"/>
        <w:spacing w:before="0" w:beforeAutospacing="0" w:after="120" w:afterAutospacing="0"/>
        <w:rPr>
          <w:rFonts w:ascii="Cambria" w:hAnsi="Cambria"/>
          <w:sz w:val="20"/>
          <w:szCs w:val="20"/>
        </w:rPr>
      </w:pPr>
      <w:r w:rsidRPr="006D6594">
        <w:rPr>
          <w:rStyle w:val="FootnoteReference"/>
          <w:rFonts w:ascii="Cambria" w:hAnsi="Cambria"/>
          <w:sz w:val="20"/>
          <w:szCs w:val="20"/>
        </w:rPr>
        <w:footnoteRef/>
      </w:r>
      <w:r w:rsidRPr="006D6594">
        <w:rPr>
          <w:rFonts w:ascii="Cambria" w:hAnsi="Cambria"/>
          <w:sz w:val="20"/>
          <w:szCs w:val="20"/>
        </w:rPr>
        <w:t xml:space="preserve"> Citizens Against Hate, </w:t>
      </w:r>
      <w:r w:rsidRPr="006D6594">
        <w:rPr>
          <w:rFonts w:ascii="Cambria" w:hAnsi="Cambria"/>
          <w:i/>
          <w:iCs/>
          <w:sz w:val="20"/>
          <w:szCs w:val="20"/>
        </w:rPr>
        <w:t xml:space="preserve">Hit Job: Using COVID-19 to Deepen Anti-Muslim Bias and Weaken Muslim Voice, </w:t>
      </w:r>
      <w:r w:rsidRPr="006D6594">
        <w:rPr>
          <w:rFonts w:ascii="Cambria" w:hAnsi="Cambria"/>
          <w:sz w:val="20"/>
          <w:szCs w:val="20"/>
        </w:rPr>
        <w:t xml:space="preserve"> 18 May 2020, available at: </w:t>
      </w:r>
      <w:hyperlink r:id="rId15" w:history="1">
        <w:r w:rsidRPr="006D6594">
          <w:rPr>
            <w:rStyle w:val="Hyperlink"/>
            <w:rFonts w:ascii="Cambria" w:hAnsi="Cambria"/>
            <w:sz w:val="20"/>
            <w:szCs w:val="20"/>
          </w:rPr>
          <w:t>http://citizensagainsthate.org/wp-content/uploads/2020/05/HIt-Job-Final.pdf</w:t>
        </w:r>
      </w:hyperlink>
      <w:r w:rsidRPr="006D6594">
        <w:rPr>
          <w:rFonts w:ascii="Cambria" w:hAnsi="Cambria"/>
          <w:sz w:val="20"/>
          <w:szCs w:val="20"/>
        </w:rPr>
        <w:t>.</w:t>
      </w:r>
    </w:p>
  </w:footnote>
  <w:footnote w:id="25">
    <w:p w14:paraId="6A07A452" w14:textId="77777777" w:rsidR="00F750B0" w:rsidRPr="006D6594" w:rsidRDefault="00F750B0" w:rsidP="006D6594">
      <w:pPr>
        <w:pStyle w:val="FootnoteText"/>
        <w:spacing w:after="120"/>
        <w:rPr>
          <w:i/>
          <w:iCs/>
        </w:rPr>
      </w:pPr>
      <w:r w:rsidRPr="006D6594">
        <w:rPr>
          <w:rStyle w:val="FootnoteReference"/>
        </w:rPr>
        <w:footnoteRef/>
      </w:r>
      <w:r w:rsidRPr="006D6594">
        <w:t xml:space="preserve"> </w:t>
      </w:r>
      <w:r w:rsidRPr="006D6594">
        <w:rPr>
          <w:i/>
          <w:iCs/>
        </w:rPr>
        <w:t xml:space="preserve">Ibid. </w:t>
      </w:r>
    </w:p>
  </w:footnote>
  <w:footnote w:id="26">
    <w:p w14:paraId="4237D5E6" w14:textId="514BE3E8" w:rsidR="00F750B0" w:rsidRPr="006D6594" w:rsidRDefault="00F750B0" w:rsidP="006D6594">
      <w:pPr>
        <w:pStyle w:val="FootnoteText"/>
        <w:spacing w:after="120"/>
      </w:pPr>
      <w:r w:rsidRPr="006D6594">
        <w:rPr>
          <w:rStyle w:val="FootnoteReference"/>
        </w:rPr>
        <w:footnoteRef/>
      </w:r>
      <w:r w:rsidRPr="006D6594">
        <w:t xml:space="preserve"> Whalen, A., “What is “Boomer Remover” and Why Is It Making People So Angry?”, </w:t>
      </w:r>
      <w:r w:rsidRPr="006D6594">
        <w:rPr>
          <w:i/>
        </w:rPr>
        <w:t xml:space="preserve">Newsweek, </w:t>
      </w:r>
      <w:r w:rsidRPr="006D6594">
        <w:t xml:space="preserve">31 March 2020, available at: </w:t>
      </w:r>
      <w:hyperlink r:id="rId16" w:history="1">
        <w:r w:rsidRPr="006D6594">
          <w:rPr>
            <w:rStyle w:val="Hyperlink"/>
          </w:rPr>
          <w:t>https://www.newsweek.com/boomer-remover-meme-trends-virus-coronavirus-social-media-covid-19-baby-boomers-1492190</w:t>
        </w:r>
      </w:hyperlink>
      <w:r w:rsidRPr="006D6594">
        <w:t>.</w:t>
      </w:r>
    </w:p>
  </w:footnote>
  <w:footnote w:id="27">
    <w:p w14:paraId="7315B8E9" w14:textId="4822F3B9" w:rsidR="00F750B0" w:rsidRPr="006D6594" w:rsidRDefault="00F750B0" w:rsidP="006D6594">
      <w:pPr>
        <w:pStyle w:val="FootnoteText"/>
        <w:spacing w:after="120"/>
      </w:pPr>
      <w:r w:rsidRPr="006D6594">
        <w:rPr>
          <w:rStyle w:val="FootnoteReference"/>
        </w:rPr>
        <w:footnoteRef/>
      </w:r>
      <w:r w:rsidRPr="006D6594">
        <w:t xml:space="preserve"> Der Tagesspiegel, “Boris Palmer provoziert in Coronavirus-Krise”, </w:t>
      </w:r>
      <w:r w:rsidRPr="006D6594">
        <w:rPr>
          <w:i/>
        </w:rPr>
        <w:t xml:space="preserve">Der Tagesspiegel, </w:t>
      </w:r>
      <w:r w:rsidRPr="006D6594">
        <w:t xml:space="preserve">28 April 2020, available at: </w:t>
      </w:r>
      <w:hyperlink r:id="rId17" w:history="1">
        <w:r w:rsidRPr="006D6594">
          <w:rPr>
            <w:rStyle w:val="Hyperlink"/>
          </w:rPr>
          <w:t>https://m.tagesspiegel.de/politik/boris-palmer-provoziert-in-coronavirus-krise-wir-retten-moeglicherweise-menschen-die-in-einem-halben-jahr-sowieso-tot-waeren/25782926.html</w:t>
        </w:r>
      </w:hyperlink>
      <w:r w:rsidRPr="006D6594">
        <w:t>.</w:t>
      </w:r>
    </w:p>
  </w:footnote>
  <w:footnote w:id="28">
    <w:p w14:paraId="2363B31D" w14:textId="3BF195FB" w:rsidR="00F750B0" w:rsidRPr="006D6594" w:rsidRDefault="00F750B0" w:rsidP="006D6594">
      <w:pPr>
        <w:pStyle w:val="FootnoteText"/>
        <w:spacing w:after="120"/>
      </w:pPr>
      <w:r w:rsidRPr="006D6594">
        <w:rPr>
          <w:rStyle w:val="FootnoteReference"/>
        </w:rPr>
        <w:footnoteRef/>
      </w:r>
      <w:r w:rsidRPr="006D6594">
        <w:t xml:space="preserve"> Roberts, J., “Telegraph journalist says coronavirus “cull” of elderly could benefit economy”, </w:t>
      </w:r>
      <w:r w:rsidRPr="006D6594">
        <w:rPr>
          <w:i/>
        </w:rPr>
        <w:t xml:space="preserve">Metro, </w:t>
      </w:r>
      <w:r w:rsidRPr="006D6594">
        <w:t xml:space="preserve">11 March 2020, available at: </w:t>
      </w:r>
      <w:hyperlink r:id="rId18" w:history="1">
        <w:r w:rsidRPr="006D6594">
          <w:rPr>
            <w:rStyle w:val="Hyperlink"/>
          </w:rPr>
          <w:t>https://metro.co.uk/2020/03/11/telegraph-journalist-says-coronavirus-cull-elderly-benefit-economy-12383907/</w:t>
        </w:r>
      </w:hyperlink>
      <w:r w:rsidRPr="006D6594">
        <w:t>.</w:t>
      </w:r>
    </w:p>
  </w:footnote>
  <w:footnote w:id="29">
    <w:p w14:paraId="42DB2BBD" w14:textId="33CAD4B4" w:rsidR="00F750B0" w:rsidRPr="006D6594" w:rsidRDefault="00F750B0" w:rsidP="006D6594">
      <w:pPr>
        <w:pStyle w:val="FootnoteText"/>
        <w:spacing w:after="120"/>
      </w:pPr>
      <w:r w:rsidRPr="006D6594">
        <w:rPr>
          <w:rStyle w:val="FootnoteReference"/>
        </w:rPr>
        <w:footnoteRef/>
      </w:r>
      <w:r w:rsidRPr="006D6594">
        <w:t xml:space="preserve"> O</w:t>
      </w:r>
      <w:r w:rsidR="006B3CC7" w:rsidRPr="006D6594">
        <w:t>ffice of the UN High Commissioner for Human Rights</w:t>
      </w:r>
      <w:r w:rsidRPr="006D6594">
        <w:t xml:space="preserve">, </w:t>
      </w:r>
      <w:r w:rsidRPr="006D6594">
        <w:rPr>
          <w:i/>
        </w:rPr>
        <w:t xml:space="preserve">COVID-19 and the Human Rights of LGBTI People, </w:t>
      </w:r>
      <w:r w:rsidRPr="006D6594">
        <w:t xml:space="preserve">17 April 2020, available at: </w:t>
      </w:r>
      <w:hyperlink r:id="rId19" w:history="1">
        <w:r w:rsidRPr="006D6594">
          <w:rPr>
            <w:rStyle w:val="Hyperlink"/>
          </w:rPr>
          <w:t>https://www.ohchr.org/Documents/Issues/LGBT/LGBTIpeople.pdf</w:t>
        </w:r>
      </w:hyperlink>
      <w:r w:rsidRPr="006D6594">
        <w:t>.</w:t>
      </w:r>
    </w:p>
  </w:footnote>
  <w:footnote w:id="30">
    <w:p w14:paraId="6D29C115" w14:textId="798A9C6A" w:rsidR="00F750B0" w:rsidRPr="006D6594" w:rsidRDefault="00F750B0" w:rsidP="006D6594">
      <w:pPr>
        <w:pStyle w:val="FootnoteText"/>
        <w:spacing w:after="120"/>
      </w:pPr>
      <w:r w:rsidRPr="006D6594">
        <w:rPr>
          <w:rStyle w:val="FootnoteReference"/>
        </w:rPr>
        <w:footnoteRef/>
      </w:r>
      <w:r w:rsidRPr="006D6594">
        <w:t xml:space="preserve"> Gowans, G., “Wrocław Priest Blames Coronavirus on Homosexuality &amp; Abortion”, </w:t>
      </w:r>
      <w:r w:rsidRPr="006D6594">
        <w:rPr>
          <w:i/>
        </w:rPr>
        <w:t xml:space="preserve">Wrocław Uncut, </w:t>
      </w:r>
      <w:r w:rsidRPr="006D6594">
        <w:t xml:space="preserve">5 March 2020, available at: </w:t>
      </w:r>
      <w:hyperlink r:id="rId20" w:history="1">
        <w:r w:rsidRPr="006D6594">
          <w:rPr>
            <w:rStyle w:val="Hyperlink"/>
          </w:rPr>
          <w:t>https://wroclawuncut.com/2020/03/05/priest-coronavirus-lgbt-abortion/</w:t>
        </w:r>
      </w:hyperlink>
      <w:r w:rsidRPr="006D6594">
        <w:t>.</w:t>
      </w:r>
    </w:p>
  </w:footnote>
  <w:footnote w:id="31">
    <w:p w14:paraId="75E13125" w14:textId="64D6B200" w:rsidR="00F750B0" w:rsidRPr="006D6594" w:rsidRDefault="00F750B0" w:rsidP="006D6594">
      <w:pPr>
        <w:pStyle w:val="FootnoteText"/>
        <w:spacing w:after="120"/>
        <w:rPr>
          <w:highlight w:val="magenta"/>
        </w:rPr>
      </w:pPr>
      <w:r w:rsidRPr="006D6594">
        <w:rPr>
          <w:rStyle w:val="FootnoteReference"/>
        </w:rPr>
        <w:footnoteRef/>
      </w:r>
      <w:r w:rsidRPr="006D6594">
        <w:t xml:space="preserve"> Cockburn, H., “Coronavirus: DUP politician “blames pandemic on abortions and same-sex marriage””, </w:t>
      </w:r>
      <w:r w:rsidRPr="006D6594">
        <w:rPr>
          <w:i/>
        </w:rPr>
        <w:t xml:space="preserve">Independent, </w:t>
      </w:r>
      <w:r w:rsidRPr="006D6594">
        <w:t xml:space="preserve">2 April 2020, available at: </w:t>
      </w:r>
      <w:hyperlink r:id="rId21" w:history="1">
        <w:r w:rsidRPr="006D6594">
          <w:rPr>
            <w:rStyle w:val="Hyperlink"/>
          </w:rPr>
          <w:t>https://www.independent.co.uk/news/uk/politics/coronavirus-dup-john-carson-ballymena-county-antrim-abortion-same-sex-marriage-god-facebook-a9444216.html</w:t>
        </w:r>
      </w:hyperlink>
      <w:r w:rsidRPr="006D6594">
        <w:t>.</w:t>
      </w:r>
    </w:p>
  </w:footnote>
  <w:footnote w:id="32">
    <w:p w14:paraId="5B2755A5" w14:textId="5687988E" w:rsidR="00F750B0" w:rsidRPr="006D6594" w:rsidRDefault="00F750B0" w:rsidP="006D6594">
      <w:pPr>
        <w:pStyle w:val="FootnoteText"/>
        <w:spacing w:after="120"/>
      </w:pPr>
      <w:r w:rsidRPr="006D6594">
        <w:rPr>
          <w:rStyle w:val="FootnoteReference"/>
        </w:rPr>
        <w:footnoteRef/>
      </w:r>
      <w:r w:rsidRPr="006D6594">
        <w:t xml:space="preserve"> UN, “UN chief calls for domestic violence ‘ceasefire’ amid ‘horrifying global surge’”, </w:t>
      </w:r>
      <w:r w:rsidRPr="006D6594">
        <w:rPr>
          <w:i/>
        </w:rPr>
        <w:t xml:space="preserve">UN News, </w:t>
      </w:r>
      <w:r w:rsidRPr="006D6594">
        <w:t xml:space="preserve">6 April 2020, available at: </w:t>
      </w:r>
      <w:hyperlink r:id="rId22" w:history="1">
        <w:r w:rsidRPr="006D6594">
          <w:rPr>
            <w:rStyle w:val="Hyperlink"/>
          </w:rPr>
          <w:t>https://news.un.org/en/story/2020/04/1061052</w:t>
        </w:r>
      </w:hyperlink>
      <w:r w:rsidRPr="006D6594">
        <w:t>.</w:t>
      </w:r>
    </w:p>
  </w:footnote>
  <w:footnote w:id="33">
    <w:p w14:paraId="0F0D88DD" w14:textId="4406805E" w:rsidR="00F750B0" w:rsidRPr="006D6594" w:rsidRDefault="00F750B0" w:rsidP="006D6594">
      <w:pPr>
        <w:pStyle w:val="FootnoteText"/>
        <w:spacing w:after="120"/>
      </w:pPr>
      <w:r w:rsidRPr="006D6594">
        <w:rPr>
          <w:rStyle w:val="FootnoteReference"/>
        </w:rPr>
        <w:footnoteRef/>
      </w:r>
      <w:r w:rsidRPr="006D6594">
        <w:t xml:space="preserve"> </w:t>
      </w:r>
      <w:r w:rsidR="006B3CC7" w:rsidRPr="006D6594">
        <w:t>Hale, S.</w:t>
      </w:r>
      <w:r w:rsidRPr="006D6594">
        <w:t xml:space="preserve">, “COVID-19 Impact on Equality: Equinet Launches New Online Database”, </w:t>
      </w:r>
      <w:r w:rsidRPr="006D6594">
        <w:rPr>
          <w:i/>
        </w:rPr>
        <w:t xml:space="preserve">Equinet, </w:t>
      </w:r>
      <w:r w:rsidRPr="006D6594">
        <w:t xml:space="preserve">20 May 2020, available at: </w:t>
      </w:r>
      <w:hyperlink r:id="rId23" w:history="1">
        <w:r w:rsidRPr="006D6594">
          <w:rPr>
            <w:rStyle w:val="Hyperlink"/>
          </w:rPr>
          <w:t>https://equineteurope.org/2020/covid-19-impact-on-equality-equinet-launches-new-online-database/</w:t>
        </w:r>
      </w:hyperlink>
      <w:r w:rsidRPr="006D6594">
        <w:t>.</w:t>
      </w:r>
    </w:p>
  </w:footnote>
  <w:footnote w:id="34">
    <w:p w14:paraId="15484BAC" w14:textId="4E8BC805" w:rsidR="00F750B0" w:rsidRPr="006D6594" w:rsidRDefault="00F750B0" w:rsidP="006D6594">
      <w:pPr>
        <w:pStyle w:val="FootnoteText"/>
        <w:spacing w:after="120"/>
      </w:pPr>
      <w:r w:rsidRPr="006D6594">
        <w:rPr>
          <w:rStyle w:val="FootnoteReference"/>
        </w:rPr>
        <w:footnoteRef/>
      </w:r>
      <w:r w:rsidRPr="006D6594">
        <w:t xml:space="preserve"> The News International, “Volatile Kyrgyzstan temporarily bans protests”, </w:t>
      </w:r>
      <w:r w:rsidRPr="006D6594">
        <w:rPr>
          <w:i/>
        </w:rPr>
        <w:t xml:space="preserve">The News International, </w:t>
      </w:r>
      <w:r w:rsidRPr="006D6594">
        <w:t xml:space="preserve">6 March 2020, available at: </w:t>
      </w:r>
      <w:hyperlink r:id="rId24" w:history="1">
        <w:r w:rsidRPr="006D6594">
          <w:rPr>
            <w:rStyle w:val="Hyperlink"/>
          </w:rPr>
          <w:t>https://www.thenews.com.pk/print/624656-volatile-kyrgyzstan-temporarily-bans-protests</w:t>
        </w:r>
      </w:hyperlink>
      <w:r w:rsidRPr="006D6594">
        <w:t>.</w:t>
      </w:r>
    </w:p>
  </w:footnote>
  <w:footnote w:id="35">
    <w:p w14:paraId="118BC09B" w14:textId="09A4E22C" w:rsidR="00F750B0" w:rsidRPr="006D6594" w:rsidRDefault="00F750B0" w:rsidP="006D6594">
      <w:pPr>
        <w:pStyle w:val="FootnoteText"/>
        <w:spacing w:after="120"/>
      </w:pPr>
      <w:r w:rsidRPr="006D6594">
        <w:rPr>
          <w:rStyle w:val="FootnoteReference"/>
        </w:rPr>
        <w:footnoteRef/>
      </w:r>
      <w:r w:rsidRPr="006D6594">
        <w:t xml:space="preserve"> AKIpress, “Как сорвали женский марш солидарности”, </w:t>
      </w:r>
      <w:r w:rsidRPr="006D6594">
        <w:rPr>
          <w:i/>
        </w:rPr>
        <w:t xml:space="preserve">AKIpress, </w:t>
      </w:r>
      <w:r w:rsidRPr="006D6594">
        <w:t xml:space="preserve">9 March 2020, available at: </w:t>
      </w:r>
      <w:hyperlink r:id="rId25" w:history="1">
        <w:r w:rsidRPr="006D6594">
          <w:rPr>
            <w:rStyle w:val="Hyperlink"/>
          </w:rPr>
          <w:t>https://tv.akipress.org/news:1601467/?from=kgnews&amp;place=maincats</w:t>
        </w:r>
      </w:hyperlink>
      <w:r w:rsidRPr="006D6594">
        <w:t>.</w:t>
      </w:r>
    </w:p>
  </w:footnote>
  <w:footnote w:id="36">
    <w:p w14:paraId="3968B9D9" w14:textId="3BA319BE" w:rsidR="00F750B0" w:rsidRPr="006D6594" w:rsidRDefault="00F750B0" w:rsidP="006D6594">
      <w:pPr>
        <w:pStyle w:val="FootnoteText"/>
        <w:spacing w:after="120"/>
      </w:pPr>
      <w:r w:rsidRPr="006D6594">
        <w:rPr>
          <w:rStyle w:val="FootnoteReference"/>
        </w:rPr>
        <w:footnoteRef/>
      </w:r>
      <w:r w:rsidRPr="006D6594">
        <w:t xml:space="preserve"> AKIpress, “В Бишкеке провели түлөө против коронавируса”, </w:t>
      </w:r>
      <w:r w:rsidRPr="006D6594">
        <w:rPr>
          <w:i/>
        </w:rPr>
        <w:t xml:space="preserve">AKIpress, </w:t>
      </w:r>
      <w:r w:rsidRPr="006D6594">
        <w:t xml:space="preserve">8 March 2020, available at: </w:t>
      </w:r>
      <w:hyperlink r:id="rId26" w:history="1">
        <w:r w:rsidRPr="006D6594">
          <w:rPr>
            <w:rStyle w:val="Hyperlink"/>
          </w:rPr>
          <w:t>https://kg.akipress.org/news:1601482?from=svodka&amp;place=newstoplast</w:t>
        </w:r>
      </w:hyperlink>
      <w:r w:rsidRPr="006D6594">
        <w:t>.</w:t>
      </w:r>
    </w:p>
  </w:footnote>
  <w:footnote w:id="37">
    <w:p w14:paraId="01AE94E0" w14:textId="00280C38" w:rsidR="00F750B0" w:rsidRPr="006D6594" w:rsidRDefault="00F750B0" w:rsidP="006D6594">
      <w:pPr>
        <w:pStyle w:val="FootnoteText"/>
        <w:spacing w:after="120"/>
      </w:pPr>
      <w:r w:rsidRPr="006D6594">
        <w:rPr>
          <w:rStyle w:val="FootnoteReference"/>
        </w:rPr>
        <w:footnoteRef/>
      </w:r>
      <w:r w:rsidRPr="006D6594">
        <w:t xml:space="preserve"> Ghosal, N., “Uganda LGBT Shelter Residents Arrested on COVID-19 Pretext”, </w:t>
      </w:r>
      <w:r w:rsidRPr="006D6594">
        <w:rPr>
          <w:i/>
        </w:rPr>
        <w:t xml:space="preserve">Human Rights Watch Dispatches, </w:t>
      </w:r>
      <w:r w:rsidRPr="006D6594">
        <w:t xml:space="preserve">3 April 2020, available at: </w:t>
      </w:r>
      <w:hyperlink r:id="rId27" w:history="1">
        <w:r w:rsidRPr="006D6594">
          <w:rPr>
            <w:rStyle w:val="Hyperlink"/>
          </w:rPr>
          <w:t>https://www.hrw.org/news/2020/04/03/uganda-lgbt-shelter-residents-arrested-covid-19-pretext</w:t>
        </w:r>
      </w:hyperlink>
      <w:r w:rsidRPr="006D6594">
        <w:t>.</w:t>
      </w:r>
    </w:p>
  </w:footnote>
  <w:footnote w:id="38">
    <w:p w14:paraId="2191FD17" w14:textId="3611A209" w:rsidR="00F750B0" w:rsidRPr="006D6594" w:rsidRDefault="00F750B0" w:rsidP="006D6594">
      <w:pPr>
        <w:pStyle w:val="FootnoteText"/>
        <w:spacing w:after="120"/>
      </w:pPr>
      <w:r w:rsidRPr="006D6594">
        <w:rPr>
          <w:rStyle w:val="FootnoteReference"/>
        </w:rPr>
        <w:footnoteRef/>
      </w:r>
      <w:r w:rsidRPr="006D6594">
        <w:t xml:space="preserve"> Sperber, A., “‘They have killed us more than corona’: Kenyans protest against police brutality”, </w:t>
      </w:r>
      <w:r w:rsidRPr="006D6594">
        <w:rPr>
          <w:i/>
        </w:rPr>
        <w:t xml:space="preserve">The Guardian, </w:t>
      </w:r>
      <w:r w:rsidRPr="006D6594">
        <w:t xml:space="preserve">9 June 2020, available at: </w:t>
      </w:r>
      <w:hyperlink r:id="rId28" w:history="1">
        <w:r w:rsidRPr="006D6594">
          <w:rPr>
            <w:rStyle w:val="Hyperlink"/>
          </w:rPr>
          <w:t>https://www.theguardian.com/global-development/2020/jun/09/they-have-killed-us-more-than-corona-kenyans-protest-against-police-brutality</w:t>
        </w:r>
      </w:hyperlink>
      <w:r w:rsidRPr="006D6594">
        <w:t>.</w:t>
      </w:r>
    </w:p>
  </w:footnote>
  <w:footnote w:id="39">
    <w:p w14:paraId="0ED8F6A3" w14:textId="4C25B971" w:rsidR="005B6434" w:rsidRPr="006D6594" w:rsidRDefault="005B6434" w:rsidP="006D6594">
      <w:pPr>
        <w:pStyle w:val="FootnoteText"/>
        <w:spacing w:after="120"/>
      </w:pPr>
      <w:r w:rsidRPr="006D6594">
        <w:rPr>
          <w:rStyle w:val="FootnoteReference"/>
        </w:rPr>
        <w:footnoteRef/>
      </w:r>
      <w:r w:rsidRPr="006D6594">
        <w:t xml:space="preserve"> See, for instance, Gabbatt, A., “Protests about police brutality are met with wave of police brutality across US”, </w:t>
      </w:r>
      <w:r w:rsidRPr="006D6594">
        <w:rPr>
          <w:i/>
        </w:rPr>
        <w:t xml:space="preserve">The Guardian, </w:t>
      </w:r>
      <w:r w:rsidRPr="006D6594">
        <w:t xml:space="preserve">6 June 2020, available at: </w:t>
      </w:r>
      <w:hyperlink r:id="rId29" w:history="1">
        <w:r w:rsidRPr="006D6594">
          <w:rPr>
            <w:rStyle w:val="Hyperlink"/>
          </w:rPr>
          <w:t>https://www.theguardian.com/us-news/2020/jun/06/police-violence-protests-us-george-floyd</w:t>
        </w:r>
      </w:hyperlink>
      <w:r w:rsidRPr="006D6594">
        <w:t>.</w:t>
      </w:r>
    </w:p>
  </w:footnote>
  <w:footnote w:id="40">
    <w:p w14:paraId="3D7D9835" w14:textId="211CE3E3" w:rsidR="00F750B0" w:rsidRPr="006D6594" w:rsidRDefault="00F750B0" w:rsidP="006D6594">
      <w:pPr>
        <w:pStyle w:val="FootnoteText"/>
        <w:spacing w:after="120"/>
      </w:pPr>
      <w:r w:rsidRPr="006D6594">
        <w:rPr>
          <w:rStyle w:val="FootnoteReference"/>
        </w:rPr>
        <w:footnoteRef/>
      </w:r>
      <w:r w:rsidRPr="006D6594">
        <w:t xml:space="preserve"> See, for instance, Ismail, A., “The Anti-Lockdown Protests Prove Police Know How to Treat Protesters Fairly”, </w:t>
      </w:r>
      <w:r w:rsidRPr="006D6594">
        <w:rPr>
          <w:i/>
        </w:rPr>
        <w:t xml:space="preserve">Slate, </w:t>
      </w:r>
      <w:r w:rsidRPr="006D6594">
        <w:t xml:space="preserve">28 May 2020, available at: </w:t>
      </w:r>
      <w:hyperlink r:id="rId30" w:history="1">
        <w:r w:rsidRPr="006D6594">
          <w:rPr>
            <w:rStyle w:val="Hyperlink"/>
          </w:rPr>
          <w:t>https://slate.com/news-and-politics/2020/05/police-response-george-floyd-minneapolis-shutdowns.html</w:t>
        </w:r>
      </w:hyperlink>
      <w:r w:rsidRPr="006D6594">
        <w:t xml:space="preserve">; SBS News, “How US police responded differently to protesters demanding justice for George Floyd and anti-lockdown rallies”, </w:t>
      </w:r>
      <w:r w:rsidRPr="006D6594">
        <w:rPr>
          <w:i/>
        </w:rPr>
        <w:t xml:space="preserve">SBS News, </w:t>
      </w:r>
      <w:r w:rsidRPr="006D6594">
        <w:t xml:space="preserve">28 May 2020, available at: </w:t>
      </w:r>
      <w:hyperlink r:id="rId31" w:history="1">
        <w:r w:rsidRPr="006D6594">
          <w:rPr>
            <w:rStyle w:val="Hyperlink"/>
          </w:rPr>
          <w:t>https://www.sbs.com.au/news/how-us-police-responded-differently-to-protesters-demanding-justice-for-george-floyd-and-anti-lockdown-rallies</w:t>
        </w:r>
      </w:hyperlink>
      <w:r w:rsidRPr="006D6594">
        <w:t xml:space="preserve">; Zhou, L. and Amaria, K., “These photos capture the stark contrast in police response to the George Floyd protests and the anti-lockdown protests”, </w:t>
      </w:r>
      <w:r w:rsidRPr="006D6594">
        <w:rPr>
          <w:i/>
        </w:rPr>
        <w:t>Vox</w:t>
      </w:r>
      <w:r w:rsidRPr="006D6594">
        <w:t>,</w:t>
      </w:r>
      <w:r w:rsidRPr="006D6594">
        <w:rPr>
          <w:i/>
        </w:rPr>
        <w:t xml:space="preserve"> </w:t>
      </w:r>
      <w:r w:rsidRPr="006D6594">
        <w:t xml:space="preserve">27 May 2020, available at: </w:t>
      </w:r>
      <w:hyperlink r:id="rId32" w:history="1">
        <w:r w:rsidRPr="006D6594">
          <w:rPr>
            <w:rStyle w:val="Hyperlink"/>
          </w:rPr>
          <w:t>https://www.vox.com/2020/5/27/21271811/george-floyd-protests-minneapolis-lockdown-protests</w:t>
        </w:r>
      </w:hyperlink>
      <w:r w:rsidRPr="006D6594">
        <w:t xml:space="preserve">. </w:t>
      </w:r>
    </w:p>
  </w:footnote>
  <w:footnote w:id="41">
    <w:p w14:paraId="16450066" w14:textId="1BFA3551" w:rsidR="00F750B0" w:rsidRPr="006D6594" w:rsidRDefault="00F750B0" w:rsidP="006D6594">
      <w:pPr>
        <w:pStyle w:val="FootnoteText"/>
        <w:spacing w:after="120"/>
      </w:pPr>
      <w:r w:rsidRPr="006D6594">
        <w:rPr>
          <w:rStyle w:val="FootnoteReference"/>
        </w:rPr>
        <w:footnoteRef/>
      </w:r>
      <w:r w:rsidRPr="006D6594">
        <w:t xml:space="preserve"> Liberty, “Our Right to Protest is More Important Than Ever During Lockdown”, </w:t>
      </w:r>
      <w:r w:rsidRPr="006D6594">
        <w:rPr>
          <w:i/>
        </w:rPr>
        <w:t xml:space="preserve">Liberty, </w:t>
      </w:r>
      <w:r w:rsidRPr="006D6594">
        <w:t xml:space="preserve">12 June 2020, available at: </w:t>
      </w:r>
      <w:hyperlink r:id="rId33" w:history="1">
        <w:r w:rsidRPr="006D6594">
          <w:rPr>
            <w:rStyle w:val="Hyperlink"/>
          </w:rPr>
          <w:t>https://www.libertyhumanrights.org.uk/issue/our-right-to-protest-is-more-important-than-ever-during-lockdown/</w:t>
        </w:r>
      </w:hyperlink>
      <w:r w:rsidRPr="006D6594">
        <w:t>.</w:t>
      </w:r>
    </w:p>
  </w:footnote>
  <w:footnote w:id="42">
    <w:p w14:paraId="702D060B" w14:textId="6305D71E" w:rsidR="00F750B0" w:rsidRPr="006D6594" w:rsidRDefault="00F750B0" w:rsidP="006D6594">
      <w:pPr>
        <w:pStyle w:val="FootnoteText"/>
        <w:spacing w:after="120"/>
      </w:pPr>
      <w:r w:rsidRPr="006D6594">
        <w:rPr>
          <w:rStyle w:val="FootnoteReference"/>
        </w:rPr>
        <w:footnoteRef/>
      </w:r>
      <w:r w:rsidRPr="006D6594">
        <w:t xml:space="preserve"> Gidda, M. and Dodd, V., “Police Forces In England and Wales up to Seven Times More Likely to Fine BAME People in Lockdown”, </w:t>
      </w:r>
      <w:r w:rsidRPr="006D6594">
        <w:rPr>
          <w:i/>
        </w:rPr>
        <w:t xml:space="preserve">Liberty Investigates, </w:t>
      </w:r>
      <w:r w:rsidRPr="006D6594">
        <w:t xml:space="preserve">17 June 2020, available at: </w:t>
      </w:r>
      <w:hyperlink r:id="rId34" w:history="1">
        <w:r w:rsidRPr="006D6594">
          <w:rPr>
            <w:rStyle w:val="Hyperlink"/>
          </w:rPr>
          <w:t>https://libertyinvestigates.org.uk/articles/police-forces-in-england-and-wales-up-to-seven-times-more-likely-to-fine-bame-people-in-lockdown/</w:t>
        </w:r>
      </w:hyperlink>
      <w:r w:rsidRPr="006D6594">
        <w:t>.</w:t>
      </w:r>
    </w:p>
  </w:footnote>
  <w:footnote w:id="43">
    <w:p w14:paraId="17F68514" w14:textId="665CA84C" w:rsidR="0012644B" w:rsidRDefault="0012644B">
      <w:pPr>
        <w:pStyle w:val="FootnoteText"/>
      </w:pPr>
      <w:r>
        <w:rPr>
          <w:rStyle w:val="FootnoteReference"/>
        </w:rPr>
        <w:footnoteRef/>
      </w:r>
      <w:r>
        <w:t xml:space="preserve"> </w:t>
      </w:r>
      <w:r w:rsidRPr="00F4029F">
        <w:t xml:space="preserve">International Disability Alliance, “Disability Rights During the Coronavirus Pandemic: Launch of the COVID-19 Disability Rights Monitor”, </w:t>
      </w:r>
      <w:r w:rsidRPr="00F4029F">
        <w:rPr>
          <w:i/>
        </w:rPr>
        <w:t xml:space="preserve">International Disability Alliance, </w:t>
      </w:r>
      <w:r w:rsidRPr="00F4029F">
        <w:t xml:space="preserve">17 April 2020, available at: </w:t>
      </w:r>
      <w:hyperlink r:id="rId35" w:history="1">
        <w:r w:rsidRPr="00F4029F">
          <w:rPr>
            <w:rStyle w:val="Hyperlink"/>
          </w:rPr>
          <w:t>http://www.internationaldisabilityalliance.org/covid-drm</w:t>
        </w:r>
      </w:hyperlink>
      <w:r w:rsidRPr="00F4029F">
        <w:t>.</w:t>
      </w:r>
      <w:r>
        <w:br/>
      </w:r>
    </w:p>
  </w:footnote>
  <w:footnote w:id="44">
    <w:p w14:paraId="4EB6F647" w14:textId="16A3535C" w:rsidR="0012644B" w:rsidRDefault="0012644B">
      <w:pPr>
        <w:pStyle w:val="FootnoteText"/>
      </w:pPr>
      <w:r>
        <w:rPr>
          <w:rStyle w:val="FootnoteReference"/>
        </w:rPr>
        <w:footnoteRef/>
      </w:r>
      <w:r>
        <w:t xml:space="preserve"> </w:t>
      </w:r>
      <w:r w:rsidRPr="00F4029F">
        <w:t xml:space="preserve">Equality Now, “COVID-19: A time for strength, humanity and kindness”, </w:t>
      </w:r>
      <w:r w:rsidRPr="00F4029F">
        <w:rPr>
          <w:i/>
        </w:rPr>
        <w:t xml:space="preserve">Equality Now, </w:t>
      </w:r>
      <w:r w:rsidRPr="00F4029F">
        <w:t xml:space="preserve">26 March 2020, available at: </w:t>
      </w:r>
      <w:hyperlink r:id="rId36" w:history="1">
        <w:r w:rsidRPr="00F4029F">
          <w:rPr>
            <w:rStyle w:val="Hyperlink"/>
          </w:rPr>
          <w:t>https://www.equalitynow.org/covid_19</w:t>
        </w:r>
      </w:hyperlink>
      <w:r w:rsidRPr="00F4029F">
        <w:t>.</w:t>
      </w:r>
      <w:r>
        <w:t xml:space="preserve"> </w:t>
      </w:r>
      <w:r>
        <w:br/>
      </w:r>
    </w:p>
  </w:footnote>
  <w:footnote w:id="45">
    <w:p w14:paraId="78A47A0A" w14:textId="693EE64D" w:rsidR="0012644B" w:rsidRDefault="0012644B">
      <w:pPr>
        <w:pStyle w:val="FootnoteText"/>
      </w:pPr>
      <w:r>
        <w:rPr>
          <w:rStyle w:val="FootnoteReference"/>
        </w:rPr>
        <w:footnoteRef/>
      </w:r>
      <w:r>
        <w:t xml:space="preserve"> </w:t>
      </w:r>
      <w:r w:rsidRPr="00F4029F">
        <w:t xml:space="preserve">Botha, K., “LBTI Caucus Statement in Response to the COVID-19 Pandemic”, </w:t>
      </w:r>
      <w:r w:rsidRPr="00F4029F">
        <w:rPr>
          <w:i/>
        </w:rPr>
        <w:t xml:space="preserve">ILGA, </w:t>
      </w:r>
      <w:r w:rsidRPr="00F4029F">
        <w:t xml:space="preserve">6 April 2020, available at: </w:t>
      </w:r>
      <w:hyperlink r:id="rId37" w:history="1">
        <w:r w:rsidRPr="00F4029F">
          <w:rPr>
            <w:rStyle w:val="Hyperlink"/>
          </w:rPr>
          <w:t>https://ilga.org/lbti-caucus-covid19-statement</w:t>
        </w:r>
      </w:hyperlink>
      <w:r w:rsidRPr="00F4029F">
        <w:t>.</w:t>
      </w:r>
      <w:r>
        <w:br/>
      </w:r>
    </w:p>
  </w:footnote>
  <w:footnote w:id="46">
    <w:p w14:paraId="373CE7BB" w14:textId="43CCC678" w:rsidR="0012644B" w:rsidRDefault="0012644B">
      <w:pPr>
        <w:pStyle w:val="FootnoteText"/>
      </w:pPr>
      <w:r>
        <w:rPr>
          <w:rStyle w:val="FootnoteReference"/>
        </w:rPr>
        <w:footnoteRef/>
      </w:r>
      <w:r>
        <w:t xml:space="preserve"> </w:t>
      </w:r>
      <w:r w:rsidRPr="00F4029F">
        <w:t xml:space="preserve">De Chickera, A., “As the world washes its hands of the stateless, they risk facing COVID-19 alone”, </w:t>
      </w:r>
      <w:r w:rsidRPr="00F4029F">
        <w:rPr>
          <w:i/>
        </w:rPr>
        <w:t xml:space="preserve">Open Democracy, </w:t>
      </w:r>
      <w:r w:rsidRPr="00F4029F">
        <w:t xml:space="preserve">27 April 2020, available at: </w:t>
      </w:r>
      <w:hyperlink r:id="rId38" w:history="1">
        <w:r w:rsidRPr="00F4029F">
          <w:rPr>
            <w:rStyle w:val="Hyperlink"/>
          </w:rPr>
          <w:t>https://www.opendemocracy.net/en/world-washes-its-hands-stateless-they-risk-facing-covid-19-alone/</w:t>
        </w:r>
      </w:hyperlink>
      <w:r w:rsidRPr="00F4029F">
        <w:t>; see also</w:t>
      </w:r>
      <w:r>
        <w:t xml:space="preserve">, </w:t>
      </w:r>
      <w:r w:rsidRPr="00F4029F">
        <w:t xml:space="preserve">Institute on Statelessness and Inclusion, </w:t>
      </w:r>
      <w:r w:rsidRPr="00F4029F">
        <w:rPr>
          <w:i/>
        </w:rPr>
        <w:t xml:space="preserve">Joint Statement in Solidarity with the Stateless, </w:t>
      </w:r>
      <w:r w:rsidRPr="00F4029F">
        <w:t xml:space="preserve">2020, available at: </w:t>
      </w:r>
      <w:hyperlink r:id="rId39" w:history="1">
        <w:r w:rsidRPr="00F4029F">
          <w:rPr>
            <w:rStyle w:val="Hyperlink"/>
          </w:rPr>
          <w:t>https://www.institutesi.org/resources/joint-statement-in-solidarity-with-the-stateless</w:t>
        </w:r>
      </w:hyperlink>
      <w:r w:rsidRPr="00F4029F">
        <w:rPr>
          <w:rStyle w:val="Hyperlink"/>
        </w:rPr>
        <w:t>.</w:t>
      </w:r>
      <w:r>
        <w:t xml:space="preserve"> </w:t>
      </w:r>
    </w:p>
  </w:footnote>
  <w:footnote w:id="47">
    <w:p w14:paraId="2756A490" w14:textId="150C5A14" w:rsidR="00F750B0" w:rsidRPr="006D6594" w:rsidRDefault="00F750B0" w:rsidP="006D6594">
      <w:pPr>
        <w:pStyle w:val="FootnoteText"/>
        <w:spacing w:after="120"/>
      </w:pPr>
      <w:r w:rsidRPr="006D6594">
        <w:rPr>
          <w:rStyle w:val="FootnoteReference"/>
        </w:rPr>
        <w:footnoteRef/>
      </w:r>
      <w:r w:rsidRPr="006D6594">
        <w:t xml:space="preserve"> Right to Education</w:t>
      </w:r>
      <w:r w:rsidR="006B3CC7" w:rsidRPr="006D6594">
        <w:t xml:space="preserve"> Initiative</w:t>
      </w:r>
      <w:r w:rsidRPr="006D6594">
        <w:t xml:space="preserve">, “Pandemic shakes up the world’s education systems”, 19 March 2020, available at: </w:t>
      </w:r>
      <w:hyperlink r:id="rId40" w:history="1">
        <w:r w:rsidRPr="006D6594">
          <w:rPr>
            <w:rStyle w:val="Hyperlink"/>
          </w:rPr>
          <w:t>https://www.right-to-education.org/blog/pandemic-shakes-world-s-education-systems</w:t>
        </w:r>
      </w:hyperlink>
    </w:p>
  </w:footnote>
  <w:footnote w:id="48">
    <w:p w14:paraId="7C8AAA54" w14:textId="68BF1829" w:rsidR="00F750B0" w:rsidRPr="006D6594" w:rsidRDefault="00F750B0" w:rsidP="006D6594">
      <w:pPr>
        <w:pStyle w:val="FootnoteText"/>
        <w:spacing w:after="120"/>
      </w:pPr>
      <w:r w:rsidRPr="006D6594">
        <w:rPr>
          <w:rStyle w:val="FootnoteReference"/>
        </w:rPr>
        <w:footnoteRef/>
      </w:r>
      <w:r w:rsidRPr="006D6594">
        <w:t xml:space="preserve"> </w:t>
      </w:r>
      <w:r w:rsidRPr="006D6594">
        <w:rPr>
          <w:i/>
          <w:iCs/>
        </w:rPr>
        <w:t>Ibid</w:t>
      </w:r>
      <w:r w:rsidRPr="006D6594">
        <w:t xml:space="preserve">. </w:t>
      </w:r>
    </w:p>
  </w:footnote>
  <w:footnote w:id="49">
    <w:p w14:paraId="7E8D4FB6" w14:textId="3935E486" w:rsidR="00F750B0" w:rsidRPr="006D6594" w:rsidRDefault="00F750B0" w:rsidP="006D6594">
      <w:pPr>
        <w:pStyle w:val="FootnoteText"/>
        <w:spacing w:after="120"/>
      </w:pPr>
      <w:r w:rsidRPr="006D6594">
        <w:rPr>
          <w:rStyle w:val="FootnoteReference"/>
        </w:rPr>
        <w:footnoteRef/>
      </w:r>
      <w:r w:rsidRPr="006D6594">
        <w:t xml:space="preserve"> UCL Institute of Education, “Predicted grades: accuracy and impact: A report for University and College Union”, December 2016, available at: </w:t>
      </w:r>
      <w:hyperlink r:id="rId41" w:history="1">
        <w:r w:rsidRPr="006D6594">
          <w:rPr>
            <w:rStyle w:val="Hyperlink"/>
          </w:rPr>
          <w:t>https://www.ucu.org.uk/media/8409/Predicted-grades-accuracy-and-impact-Dec-16/pdf/Predicted_grades_report_Dec2016.pdf</w:t>
        </w:r>
      </w:hyperlink>
    </w:p>
  </w:footnote>
  <w:footnote w:id="50">
    <w:p w14:paraId="307CDF84" w14:textId="75A4ECE3" w:rsidR="00F750B0" w:rsidRPr="006D6594" w:rsidRDefault="00F750B0" w:rsidP="006D6594">
      <w:pPr>
        <w:pStyle w:val="FootnoteText"/>
        <w:spacing w:after="120"/>
      </w:pPr>
      <w:r w:rsidRPr="006D6594">
        <w:rPr>
          <w:rStyle w:val="FootnoteReference"/>
        </w:rPr>
        <w:footnoteRef/>
      </w:r>
      <w:r w:rsidRPr="006D6594">
        <w:t xml:space="preserve"> Thompson, I., “Guest Post: “Let us look into the UK’s Equality and Discrimination laws in the Age of Black Lives Matter” by Ife Thompson”, </w:t>
      </w:r>
      <w:r w:rsidRPr="006D6594">
        <w:rPr>
          <w:i/>
          <w:iCs/>
        </w:rPr>
        <w:t xml:space="preserve">Equal Rights Trust, </w:t>
      </w:r>
      <w:r w:rsidRPr="006D6594">
        <w:t xml:space="preserve">25 June 2020, available at: </w:t>
      </w:r>
      <w:hyperlink r:id="rId42" w:history="1">
        <w:r w:rsidRPr="006D6594">
          <w:rPr>
            <w:rStyle w:val="Hyperlink"/>
          </w:rPr>
          <w:t>https://www.ucu.org.uk/media/8409/Predicted-grades-accuracy-and-impact-Dec-16/pdf/Predicted_grades_report_Dec2016.pdf</w:t>
        </w:r>
      </w:hyperlink>
      <w:hyperlink r:id="rId43" w:history="1">
        <w:r w:rsidRPr="006D6594">
          <w:rPr>
            <w:rStyle w:val="Hyperlink"/>
          </w:rPr>
          <w:t>https://www.equalrightstrust.org/news/guest-post-let-us-look-uk%E2%80%99s-equality-and-discrimination-laws-age-black-lives-matter-ife-thompson</w:t>
        </w:r>
      </w:hyperlink>
      <w:r w:rsidRPr="006D6594">
        <w:t xml:space="preserve"> </w:t>
      </w:r>
    </w:p>
  </w:footnote>
  <w:footnote w:id="51">
    <w:p w14:paraId="25F4FB02" w14:textId="6679A227" w:rsidR="00F750B0" w:rsidRPr="006D6594" w:rsidRDefault="00F750B0" w:rsidP="006D6594">
      <w:pPr>
        <w:pStyle w:val="FootnoteText"/>
        <w:spacing w:after="120"/>
      </w:pPr>
      <w:r w:rsidRPr="006D6594">
        <w:rPr>
          <w:rStyle w:val="FootnoteReference"/>
        </w:rPr>
        <w:footnoteRef/>
      </w:r>
      <w:r w:rsidRPr="006D6594">
        <w:t xml:space="preserve"> Thomson Reuters Foundation, “Teen pregnancy risks rises as schools shut for coronavirus in Africa”, 19 March 2020, available at: </w:t>
      </w:r>
      <w:hyperlink r:id="rId44" w:history="1">
        <w:r w:rsidRPr="006D6594">
          <w:rPr>
            <w:rStyle w:val="Hyperlink"/>
          </w:rPr>
          <w:t>https://news.trust.org/item/20200319115906-eieyl/</w:t>
        </w:r>
      </w:hyperlink>
    </w:p>
  </w:footnote>
  <w:footnote w:id="52">
    <w:p w14:paraId="2CB9EC71" w14:textId="77777777" w:rsidR="00561A05" w:rsidRPr="006D6594" w:rsidRDefault="00561A05" w:rsidP="006D6594">
      <w:pPr>
        <w:pStyle w:val="FootnoteText"/>
        <w:spacing w:after="120"/>
      </w:pPr>
      <w:r w:rsidRPr="006D6594">
        <w:rPr>
          <w:rStyle w:val="FootnoteReference"/>
        </w:rPr>
        <w:footnoteRef/>
      </w:r>
      <w:r w:rsidRPr="006D6594">
        <w:t xml:space="preserve"> International Labour Organisation, “COVID-19 and the world of work”, n.d., available at: </w:t>
      </w:r>
      <w:hyperlink r:id="rId45" w:history="1">
        <w:r w:rsidRPr="006D6594">
          <w:rPr>
            <w:rStyle w:val="Hyperlink"/>
          </w:rPr>
          <w:t>https://www.ilo.org/global/topics/coronavirus/lang--en/index.htm</w:t>
        </w:r>
      </w:hyperlink>
    </w:p>
  </w:footnote>
  <w:footnote w:id="53">
    <w:p w14:paraId="33387A7D" w14:textId="77777777" w:rsidR="00F750B0" w:rsidRPr="006D6594" w:rsidRDefault="00F750B0" w:rsidP="006D6594">
      <w:pPr>
        <w:pStyle w:val="FootnoteText"/>
        <w:spacing w:after="120"/>
      </w:pPr>
      <w:r w:rsidRPr="006D6594">
        <w:rPr>
          <w:rStyle w:val="FootnoteReference"/>
        </w:rPr>
        <w:footnoteRef/>
      </w:r>
      <w:r w:rsidRPr="006D6594">
        <w:t xml:space="preserve"> Equal Rights Trust, “Submission to the UN Special Rapporteur on contemporary forms of racism, racial discrimination, xenophobia and related intolerance on new information technologies, racial equality and nondiscrimination”, 19 December 2019, available at: </w:t>
      </w:r>
      <w:hyperlink r:id="rId46" w:history="1">
        <w:r w:rsidRPr="006D6594">
          <w:rPr>
            <w:rStyle w:val="Hyperlink"/>
          </w:rPr>
          <w:t>https://www.equalrightstrust.org/news/equal-rights-trusts-submission-un-special-rapporteur-contemporary-forms-racism</w:t>
        </w:r>
      </w:hyperlink>
    </w:p>
  </w:footnote>
  <w:footnote w:id="54">
    <w:p w14:paraId="18BFD7F7" w14:textId="77777777" w:rsidR="00F750B0" w:rsidRPr="006D6594" w:rsidRDefault="00F750B0" w:rsidP="006D6594">
      <w:pPr>
        <w:pStyle w:val="FootnoteText"/>
        <w:spacing w:after="120"/>
      </w:pPr>
      <w:r w:rsidRPr="006D6594">
        <w:rPr>
          <w:rStyle w:val="FootnoteReference"/>
        </w:rPr>
        <w:footnoteRef/>
      </w:r>
      <w:r w:rsidRPr="006D6594">
        <w:t xml:space="preserve"> Joint Committee on Human Rights, “Written evidence from the Information Law and Policy Centre, Institute for Advanced Legal Studies, University of London (COV0098)”, 11 May 2020, available at: </w:t>
      </w:r>
      <w:hyperlink r:id="rId47" w:history="1">
        <w:r w:rsidRPr="006D6594">
          <w:rPr>
            <w:rStyle w:val="Hyperlink"/>
          </w:rPr>
          <w:t>https://committees.parliament.uk/writtenevidence/4720/html/</w:t>
        </w:r>
      </w:hyperlink>
    </w:p>
  </w:footnote>
  <w:footnote w:id="55">
    <w:p w14:paraId="12CCEE4F" w14:textId="77777777" w:rsidR="00F750B0" w:rsidRPr="006D6594" w:rsidRDefault="00F750B0" w:rsidP="006D6594">
      <w:pPr>
        <w:pStyle w:val="FootnoteText"/>
        <w:spacing w:after="120"/>
      </w:pPr>
      <w:r w:rsidRPr="006D6594">
        <w:rPr>
          <w:rStyle w:val="FootnoteReference"/>
        </w:rPr>
        <w:footnoteRef/>
      </w:r>
      <w:r w:rsidRPr="006D6594">
        <w:t xml:space="preserve"> Joint Committee on Human Rights, “Written evidence from Liberty (COV0092)”, 6 May 2020, available at: </w:t>
      </w:r>
      <w:hyperlink r:id="rId48" w:history="1">
        <w:r w:rsidRPr="006D6594">
          <w:rPr>
            <w:rStyle w:val="Hyperlink"/>
          </w:rPr>
          <w:t>https://committees.parliament.uk/writtenevidence/4081/html/</w:t>
        </w:r>
      </w:hyperlink>
    </w:p>
  </w:footnote>
  <w:footnote w:id="56">
    <w:p w14:paraId="63372AE4" w14:textId="77777777" w:rsidR="006D6594" w:rsidRPr="006D6594" w:rsidRDefault="006D6594" w:rsidP="006D6594">
      <w:pPr>
        <w:pStyle w:val="FootnoteText"/>
        <w:spacing w:after="120"/>
      </w:pPr>
      <w:r w:rsidRPr="006D6594">
        <w:rPr>
          <w:rStyle w:val="FootnoteReference"/>
        </w:rPr>
        <w:footnoteRef/>
      </w:r>
      <w:r w:rsidRPr="006D6594">
        <w:t xml:space="preserve"> Ada Lovelace Institute, Something to declare? Surfacing issues with immunity certificates” 2 June 2020, available at: </w:t>
      </w:r>
      <w:hyperlink r:id="rId49" w:history="1">
        <w:r w:rsidRPr="006D6594">
          <w:rPr>
            <w:rStyle w:val="Hyperlink"/>
          </w:rPr>
          <w:t>https://www.adalovelaceinstitute.org/something-to-declare-surfacing-issues-with-immunity-certificates/</w:t>
        </w:r>
      </w:hyperlink>
    </w:p>
  </w:footnote>
  <w:footnote w:id="57">
    <w:p w14:paraId="6687E11D" w14:textId="17E11FD1" w:rsidR="00F750B0" w:rsidRPr="006D6594" w:rsidRDefault="00F750B0" w:rsidP="006D6594">
      <w:pPr>
        <w:pStyle w:val="FootnoteText"/>
        <w:spacing w:after="120"/>
      </w:pPr>
      <w:r w:rsidRPr="006D6594">
        <w:rPr>
          <w:rStyle w:val="FootnoteReference"/>
        </w:rPr>
        <w:footnoteRef/>
      </w:r>
      <w:r w:rsidRPr="006D6594">
        <w:t xml:space="preserve"> Nuffield Council of Bioethics, “Rapid policy briefing: COVID-19 antibody testing and ‘immunity certification’”, 18 June 2020, available at: </w:t>
      </w:r>
      <w:hyperlink r:id="rId50" w:history="1">
        <w:r w:rsidRPr="006D6594">
          <w:rPr>
            <w:rStyle w:val="Hyperlink"/>
          </w:rPr>
          <w:t>https://www.nuffieldbioethics.org/assets/pdfs/Immunity-certificates-rapid-policy-briefing.pdf</w:t>
        </w:r>
      </w:hyperlink>
    </w:p>
  </w:footnote>
  <w:footnote w:id="58">
    <w:p w14:paraId="20803819" w14:textId="6BA6393B" w:rsidR="00F750B0" w:rsidRPr="006D6594" w:rsidRDefault="00F750B0" w:rsidP="006D6594">
      <w:pPr>
        <w:pStyle w:val="FootnoteText"/>
        <w:spacing w:after="120"/>
      </w:pPr>
      <w:r w:rsidRPr="006D6594">
        <w:rPr>
          <w:rStyle w:val="FootnoteReference"/>
        </w:rPr>
        <w:footnoteRef/>
      </w:r>
      <w:r w:rsidRPr="006D6594">
        <w:t xml:space="preserve"> </w:t>
      </w:r>
      <w:r w:rsidRPr="006D6594">
        <w:rPr>
          <w:i/>
          <w:iCs/>
        </w:rPr>
        <w:t>Ibid.</w:t>
      </w:r>
    </w:p>
  </w:footnote>
  <w:footnote w:id="59">
    <w:p w14:paraId="240E7B16" w14:textId="08748553" w:rsidR="00F750B0" w:rsidRPr="006D6594" w:rsidRDefault="00F750B0" w:rsidP="006D6594">
      <w:pPr>
        <w:pStyle w:val="FootnoteText"/>
        <w:spacing w:after="120"/>
      </w:pPr>
      <w:r w:rsidRPr="006D6594">
        <w:rPr>
          <w:rStyle w:val="FootnoteReference"/>
        </w:rPr>
        <w:footnoteRef/>
      </w:r>
      <w:r w:rsidRPr="006D6594">
        <w:t xml:space="preserve"> In the UK, the Office of National Statistics reported that the largest proportion of adult ‘internet non-users’ are those aged over 65; that disabled adults make “up a large proportion of adult internet non-users”; and that “wide disparities [exist] between ethnic groups”. Office for National Statistics, “Exploring the UK’s digital divide”,</w:t>
      </w:r>
      <w:r w:rsidRPr="006D6594">
        <w:rPr>
          <w:i/>
          <w:iCs/>
        </w:rPr>
        <w:t xml:space="preserve"> </w:t>
      </w:r>
      <w:r w:rsidRPr="006D6594">
        <w:t xml:space="preserve">4 March 2019, available at: </w:t>
      </w:r>
      <w:hyperlink r:id="rId51" w:history="1">
        <w:r w:rsidRPr="006D6594">
          <w:rPr>
            <w:rStyle w:val="Hyperlink"/>
          </w:rPr>
          <w:t>https://www.ons.gov.uk/peoplepopulationandcommunity/householdcharacteristics/homeinternetandsocialmediausage/articles/exploringtheuksdigitaldivide/2019-03-04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B475E"/>
    <w:multiLevelType w:val="multilevel"/>
    <w:tmpl w:val="5BA068EE"/>
    <w:lvl w:ilvl="0">
      <w:start w:val="1"/>
      <w:numFmt w:val="decimal"/>
      <w:lvlText w:val="%1."/>
      <w:lvlJc w:val="left"/>
      <w:pPr>
        <w:tabs>
          <w:tab w:val="num" w:pos="567"/>
        </w:tabs>
        <w:ind w:left="567" w:hanging="567"/>
      </w:pPr>
      <w:rPr>
        <w:rFonts w:ascii="Cambria" w:hAnsi="Cambria" w:hint="default"/>
        <w:b w:val="0"/>
        <w:bCs w:val="0"/>
        <w:color w:val="000000" w:themeColor="text1"/>
        <w:sz w:val="22"/>
        <w:szCs w:val="22"/>
      </w:rPr>
    </w:lvl>
    <w:lvl w:ilvl="1">
      <w:start w:val="1"/>
      <w:numFmt w:val="upperRoman"/>
      <w:lvlText w:val="%2."/>
      <w:lvlJc w:val="left"/>
      <w:pPr>
        <w:ind w:left="1440" w:hanging="720"/>
      </w:pPr>
      <w:rPr>
        <w:rFonts w:hint="default"/>
        <w:b/>
        <w:bCs w:val="0"/>
        <w:u w:val="none"/>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1C8674FE"/>
    <w:multiLevelType w:val="hybridMultilevel"/>
    <w:tmpl w:val="614C2D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F1028"/>
    <w:multiLevelType w:val="hybridMultilevel"/>
    <w:tmpl w:val="79181FE4"/>
    <w:lvl w:ilvl="0" w:tplc="2D08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60944"/>
    <w:multiLevelType w:val="hybridMultilevel"/>
    <w:tmpl w:val="435C9778"/>
    <w:lvl w:ilvl="0" w:tplc="A36E42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B91C8C"/>
    <w:multiLevelType w:val="hybridMultilevel"/>
    <w:tmpl w:val="5B2AC4AE"/>
    <w:lvl w:ilvl="0" w:tplc="BD44576C">
      <w:start w:val="1"/>
      <w:numFmt w:val="lowerLetter"/>
      <w:lvlText w:val="%1."/>
      <w:lvlJc w:val="left"/>
      <w:pPr>
        <w:ind w:left="720" w:hanging="360"/>
      </w:pPr>
      <w:rPr>
        <w:rFonts w:ascii="Cambria" w:hAnsi="Cambri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1644B"/>
    <w:multiLevelType w:val="hybridMultilevel"/>
    <w:tmpl w:val="EF181EB0"/>
    <w:lvl w:ilvl="0" w:tplc="ABBCE78E">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48"/>
    <w:rsid w:val="0000203B"/>
    <w:rsid w:val="0001179C"/>
    <w:rsid w:val="00017D2B"/>
    <w:rsid w:val="000305DC"/>
    <w:rsid w:val="000429DD"/>
    <w:rsid w:val="000448CC"/>
    <w:rsid w:val="00051177"/>
    <w:rsid w:val="00052B0D"/>
    <w:rsid w:val="00065D9A"/>
    <w:rsid w:val="000A6718"/>
    <w:rsid w:val="000E56D7"/>
    <w:rsid w:val="000F51F3"/>
    <w:rsid w:val="001200EE"/>
    <w:rsid w:val="0012644B"/>
    <w:rsid w:val="001745F4"/>
    <w:rsid w:val="00186ADE"/>
    <w:rsid w:val="001B1D31"/>
    <w:rsid w:val="001C3EB8"/>
    <w:rsid w:val="001C463D"/>
    <w:rsid w:val="001E1DB9"/>
    <w:rsid w:val="001E6F48"/>
    <w:rsid w:val="00271A77"/>
    <w:rsid w:val="002B7D57"/>
    <w:rsid w:val="002D4CA4"/>
    <w:rsid w:val="002D54ED"/>
    <w:rsid w:val="002F0B0A"/>
    <w:rsid w:val="0030274B"/>
    <w:rsid w:val="00303BAD"/>
    <w:rsid w:val="00307839"/>
    <w:rsid w:val="00314F38"/>
    <w:rsid w:val="003152FE"/>
    <w:rsid w:val="0032581A"/>
    <w:rsid w:val="00334A78"/>
    <w:rsid w:val="00340D0D"/>
    <w:rsid w:val="00344181"/>
    <w:rsid w:val="003572BD"/>
    <w:rsid w:val="00357F65"/>
    <w:rsid w:val="00360555"/>
    <w:rsid w:val="003672E7"/>
    <w:rsid w:val="00392BA6"/>
    <w:rsid w:val="003A3F11"/>
    <w:rsid w:val="003D7DB4"/>
    <w:rsid w:val="003F491C"/>
    <w:rsid w:val="00401937"/>
    <w:rsid w:val="00415B31"/>
    <w:rsid w:val="00475325"/>
    <w:rsid w:val="004C0638"/>
    <w:rsid w:val="004E0644"/>
    <w:rsid w:val="004E3967"/>
    <w:rsid w:val="004E3AEC"/>
    <w:rsid w:val="00515D64"/>
    <w:rsid w:val="005267C1"/>
    <w:rsid w:val="00532F72"/>
    <w:rsid w:val="005363BA"/>
    <w:rsid w:val="00551998"/>
    <w:rsid w:val="00556963"/>
    <w:rsid w:val="00561A05"/>
    <w:rsid w:val="00562D09"/>
    <w:rsid w:val="00572474"/>
    <w:rsid w:val="005907AA"/>
    <w:rsid w:val="00590E30"/>
    <w:rsid w:val="005A25B9"/>
    <w:rsid w:val="005B6434"/>
    <w:rsid w:val="005B7772"/>
    <w:rsid w:val="006335D9"/>
    <w:rsid w:val="006658E9"/>
    <w:rsid w:val="006837C3"/>
    <w:rsid w:val="006B3CC7"/>
    <w:rsid w:val="006D6594"/>
    <w:rsid w:val="00712CE3"/>
    <w:rsid w:val="00720FDD"/>
    <w:rsid w:val="00750F35"/>
    <w:rsid w:val="00761FF6"/>
    <w:rsid w:val="00765B62"/>
    <w:rsid w:val="007751FE"/>
    <w:rsid w:val="00781B70"/>
    <w:rsid w:val="007A439C"/>
    <w:rsid w:val="007B21FF"/>
    <w:rsid w:val="00826BB2"/>
    <w:rsid w:val="00831062"/>
    <w:rsid w:val="008502BC"/>
    <w:rsid w:val="00864342"/>
    <w:rsid w:val="0087173C"/>
    <w:rsid w:val="008867FD"/>
    <w:rsid w:val="00893FEC"/>
    <w:rsid w:val="008C0E38"/>
    <w:rsid w:val="008C4FBD"/>
    <w:rsid w:val="008F44B3"/>
    <w:rsid w:val="009050B6"/>
    <w:rsid w:val="00912280"/>
    <w:rsid w:val="0091315F"/>
    <w:rsid w:val="00914E06"/>
    <w:rsid w:val="00917DF3"/>
    <w:rsid w:val="009524E8"/>
    <w:rsid w:val="00955E92"/>
    <w:rsid w:val="00980A09"/>
    <w:rsid w:val="009C7DA6"/>
    <w:rsid w:val="00A01A2F"/>
    <w:rsid w:val="00A20928"/>
    <w:rsid w:val="00A83364"/>
    <w:rsid w:val="00AA1C5F"/>
    <w:rsid w:val="00AB34C6"/>
    <w:rsid w:val="00AC0100"/>
    <w:rsid w:val="00AC2CB0"/>
    <w:rsid w:val="00AC37EA"/>
    <w:rsid w:val="00AE37D9"/>
    <w:rsid w:val="00B21340"/>
    <w:rsid w:val="00B41A65"/>
    <w:rsid w:val="00B566F3"/>
    <w:rsid w:val="00B569E4"/>
    <w:rsid w:val="00B6348E"/>
    <w:rsid w:val="00BA4D85"/>
    <w:rsid w:val="00BA7C82"/>
    <w:rsid w:val="00BC7AC5"/>
    <w:rsid w:val="00C109AB"/>
    <w:rsid w:val="00C238E7"/>
    <w:rsid w:val="00C30E42"/>
    <w:rsid w:val="00C34CB0"/>
    <w:rsid w:val="00C5228E"/>
    <w:rsid w:val="00C63048"/>
    <w:rsid w:val="00C815B6"/>
    <w:rsid w:val="00C8304B"/>
    <w:rsid w:val="00C92E98"/>
    <w:rsid w:val="00C9317B"/>
    <w:rsid w:val="00CA21F2"/>
    <w:rsid w:val="00CD6A6E"/>
    <w:rsid w:val="00D415B1"/>
    <w:rsid w:val="00D47F3A"/>
    <w:rsid w:val="00D62723"/>
    <w:rsid w:val="00D64A4E"/>
    <w:rsid w:val="00D96EDE"/>
    <w:rsid w:val="00D9701B"/>
    <w:rsid w:val="00DC06C6"/>
    <w:rsid w:val="00DC506D"/>
    <w:rsid w:val="00E26686"/>
    <w:rsid w:val="00E37966"/>
    <w:rsid w:val="00E7496D"/>
    <w:rsid w:val="00EA0CE7"/>
    <w:rsid w:val="00EA15E7"/>
    <w:rsid w:val="00EA2629"/>
    <w:rsid w:val="00EB710B"/>
    <w:rsid w:val="00ED4524"/>
    <w:rsid w:val="00EE48C6"/>
    <w:rsid w:val="00EE7F89"/>
    <w:rsid w:val="00F04865"/>
    <w:rsid w:val="00F351C2"/>
    <w:rsid w:val="00F52CF3"/>
    <w:rsid w:val="00F64C61"/>
    <w:rsid w:val="00F712CC"/>
    <w:rsid w:val="00F750B0"/>
    <w:rsid w:val="00F84DFA"/>
    <w:rsid w:val="00F90AC5"/>
    <w:rsid w:val="00F92704"/>
    <w:rsid w:val="00FB3E1C"/>
    <w:rsid w:val="00FB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EA67"/>
  <w14:defaultImageDpi w14:val="32767"/>
  <w15:chartTrackingRefBased/>
  <w15:docId w15:val="{0AB39D4C-6797-2E45-841E-D28B55E9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F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DF3"/>
    <w:pPr>
      <w:spacing w:before="100" w:beforeAutospacing="1" w:after="100" w:afterAutospacing="1"/>
    </w:pPr>
  </w:style>
  <w:style w:type="paragraph" w:styleId="BalloonText">
    <w:name w:val="Balloon Text"/>
    <w:basedOn w:val="Normal"/>
    <w:link w:val="BalloonTextChar"/>
    <w:uiPriority w:val="99"/>
    <w:semiHidden/>
    <w:unhideWhenUsed/>
    <w:rsid w:val="00917DF3"/>
    <w:rPr>
      <w:sz w:val="18"/>
      <w:szCs w:val="18"/>
    </w:rPr>
  </w:style>
  <w:style w:type="character" w:customStyle="1" w:styleId="BalloonTextChar">
    <w:name w:val="Balloon Text Char"/>
    <w:basedOn w:val="DefaultParagraphFont"/>
    <w:link w:val="BalloonText"/>
    <w:uiPriority w:val="99"/>
    <w:semiHidden/>
    <w:rsid w:val="00917DF3"/>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917DF3"/>
    <w:rPr>
      <w:color w:val="0563C1" w:themeColor="hyperlink"/>
      <w:u w:val="single"/>
    </w:rPr>
  </w:style>
  <w:style w:type="paragraph" w:styleId="FootnoteText">
    <w:name w:val="footnote text"/>
    <w:basedOn w:val="Normal"/>
    <w:link w:val="FootnoteTextChar"/>
    <w:unhideWhenUsed/>
    <w:rsid w:val="00917DF3"/>
    <w:rPr>
      <w:rFonts w:ascii="Cambria" w:eastAsiaTheme="minorHAnsi" w:hAnsi="Cambria" w:cs="Times New Roman (Body CS)"/>
      <w:sz w:val="20"/>
      <w:szCs w:val="20"/>
      <w:lang w:eastAsia="en-US"/>
    </w:rPr>
  </w:style>
  <w:style w:type="character" w:customStyle="1" w:styleId="FootnoteTextChar">
    <w:name w:val="Footnote Text Char"/>
    <w:basedOn w:val="DefaultParagraphFont"/>
    <w:link w:val="FootnoteText"/>
    <w:rsid w:val="00917DF3"/>
    <w:rPr>
      <w:rFonts w:ascii="Cambria" w:hAnsi="Cambria" w:cs="Times New Roman (Body CS)"/>
      <w:sz w:val="20"/>
      <w:szCs w:val="20"/>
    </w:rPr>
  </w:style>
  <w:style w:type="character" w:styleId="FootnoteReference">
    <w:name w:val="footnote reference"/>
    <w:basedOn w:val="DefaultParagraphFont"/>
    <w:uiPriority w:val="69"/>
    <w:unhideWhenUsed/>
    <w:rsid w:val="00917DF3"/>
    <w:rPr>
      <w:vertAlign w:val="superscript"/>
    </w:rPr>
  </w:style>
  <w:style w:type="character" w:styleId="CommentReference">
    <w:name w:val="annotation reference"/>
    <w:basedOn w:val="DefaultParagraphFont"/>
    <w:uiPriority w:val="99"/>
    <w:semiHidden/>
    <w:unhideWhenUsed/>
    <w:rsid w:val="00917DF3"/>
    <w:rPr>
      <w:sz w:val="16"/>
      <w:szCs w:val="16"/>
    </w:rPr>
  </w:style>
  <w:style w:type="paragraph" w:styleId="CommentText">
    <w:name w:val="annotation text"/>
    <w:basedOn w:val="Normal"/>
    <w:link w:val="CommentTextChar"/>
    <w:uiPriority w:val="99"/>
    <w:unhideWhenUsed/>
    <w:rsid w:val="00917DF3"/>
    <w:rPr>
      <w:rFonts w:ascii="Cambria" w:eastAsiaTheme="minorHAnsi" w:hAnsi="Cambria" w:cs="Times New Roman (Body CS)"/>
      <w:sz w:val="20"/>
      <w:szCs w:val="20"/>
      <w:lang w:eastAsia="en-US"/>
    </w:rPr>
  </w:style>
  <w:style w:type="character" w:customStyle="1" w:styleId="CommentTextChar">
    <w:name w:val="Comment Text Char"/>
    <w:basedOn w:val="DefaultParagraphFont"/>
    <w:link w:val="CommentText"/>
    <w:uiPriority w:val="99"/>
    <w:rsid w:val="00917DF3"/>
    <w:rPr>
      <w:rFonts w:ascii="Cambria" w:hAnsi="Cambria" w:cs="Times New Roman (Body CS)"/>
      <w:sz w:val="20"/>
      <w:szCs w:val="20"/>
    </w:rPr>
  </w:style>
  <w:style w:type="paragraph" w:styleId="ListParagraph">
    <w:name w:val="List Paragraph"/>
    <w:basedOn w:val="Normal"/>
    <w:uiPriority w:val="34"/>
    <w:qFormat/>
    <w:rsid w:val="00917DF3"/>
    <w:pPr>
      <w:ind w:left="720"/>
      <w:contextualSpacing/>
    </w:pPr>
  </w:style>
  <w:style w:type="character" w:customStyle="1" w:styleId="UnresolvedMention">
    <w:name w:val="Unresolved Mention"/>
    <w:basedOn w:val="DefaultParagraphFont"/>
    <w:uiPriority w:val="99"/>
    <w:rsid w:val="00917D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DF3"/>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17DF3"/>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B7772"/>
    <w:rPr>
      <w:color w:val="954F72" w:themeColor="followedHyperlink"/>
      <w:u w:val="single"/>
    </w:rPr>
  </w:style>
  <w:style w:type="paragraph" w:styleId="Header">
    <w:name w:val="header"/>
    <w:basedOn w:val="Normal"/>
    <w:link w:val="HeaderChar"/>
    <w:uiPriority w:val="99"/>
    <w:unhideWhenUsed/>
    <w:rsid w:val="005267C1"/>
    <w:pPr>
      <w:tabs>
        <w:tab w:val="center" w:pos="4513"/>
        <w:tab w:val="right" w:pos="9026"/>
      </w:tabs>
    </w:pPr>
  </w:style>
  <w:style w:type="character" w:customStyle="1" w:styleId="HeaderChar">
    <w:name w:val="Header Char"/>
    <w:basedOn w:val="DefaultParagraphFont"/>
    <w:link w:val="Header"/>
    <w:uiPriority w:val="99"/>
    <w:rsid w:val="005267C1"/>
    <w:rPr>
      <w:rFonts w:ascii="Times New Roman" w:eastAsia="Times New Roman" w:hAnsi="Times New Roman" w:cs="Times New Roman"/>
      <w:lang w:eastAsia="en-GB"/>
    </w:rPr>
  </w:style>
  <w:style w:type="paragraph" w:styleId="Footer">
    <w:name w:val="footer"/>
    <w:basedOn w:val="Normal"/>
    <w:link w:val="FooterChar"/>
    <w:uiPriority w:val="99"/>
    <w:unhideWhenUsed/>
    <w:rsid w:val="005267C1"/>
    <w:pPr>
      <w:tabs>
        <w:tab w:val="center" w:pos="4513"/>
        <w:tab w:val="right" w:pos="9026"/>
      </w:tabs>
    </w:pPr>
  </w:style>
  <w:style w:type="character" w:customStyle="1" w:styleId="FooterChar">
    <w:name w:val="Footer Char"/>
    <w:basedOn w:val="DefaultParagraphFont"/>
    <w:link w:val="Footer"/>
    <w:uiPriority w:val="99"/>
    <w:rsid w:val="005267C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533">
      <w:bodyDiv w:val="1"/>
      <w:marLeft w:val="0"/>
      <w:marRight w:val="0"/>
      <w:marTop w:val="0"/>
      <w:marBottom w:val="0"/>
      <w:divBdr>
        <w:top w:val="none" w:sz="0" w:space="0" w:color="auto"/>
        <w:left w:val="none" w:sz="0" w:space="0" w:color="auto"/>
        <w:bottom w:val="none" w:sz="0" w:space="0" w:color="auto"/>
        <w:right w:val="none" w:sz="0" w:space="0" w:color="auto"/>
      </w:divBdr>
    </w:div>
    <w:div w:id="240987188">
      <w:bodyDiv w:val="1"/>
      <w:marLeft w:val="0"/>
      <w:marRight w:val="0"/>
      <w:marTop w:val="0"/>
      <w:marBottom w:val="0"/>
      <w:divBdr>
        <w:top w:val="none" w:sz="0" w:space="0" w:color="auto"/>
        <w:left w:val="none" w:sz="0" w:space="0" w:color="auto"/>
        <w:bottom w:val="none" w:sz="0" w:space="0" w:color="auto"/>
        <w:right w:val="none" w:sz="0" w:space="0" w:color="auto"/>
      </w:divBdr>
    </w:div>
    <w:div w:id="10318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hrw.org/news/2020/06/09/systemic-inequities-increase-covid-19-risk-indigenous-people-canada" TargetMode="External"/><Relationship Id="rId18" Type="http://schemas.openxmlformats.org/officeDocument/2006/relationships/hyperlink" Target="https://metro.co.uk/2020/03/11/telegraph-journalist-says-coronavirus-cull-elderly-benefit-economy-12383907/" TargetMode="External"/><Relationship Id="rId26" Type="http://schemas.openxmlformats.org/officeDocument/2006/relationships/hyperlink" Target="https://kg.akipress.org/news:1601482?from=svodka&amp;place=newstoplast" TargetMode="External"/><Relationship Id="rId39" Type="http://schemas.openxmlformats.org/officeDocument/2006/relationships/hyperlink" Target="https://www.institutesi.org/resources/joint-statement-in-solidarity-with-the-stateless" TargetMode="External"/><Relationship Id="rId3" Type="http://schemas.openxmlformats.org/officeDocument/2006/relationships/hyperlink" Target="https://indicators.ohchr.org" TargetMode="External"/><Relationship Id="rId21" Type="http://schemas.openxmlformats.org/officeDocument/2006/relationships/hyperlink" Target="https://www.independent.co.uk/news/uk/politics/coronavirus-dup-john-carson-ballymena-county-antrim-abortion-same-sex-marriage-god-facebook-a9444216.html" TargetMode="External"/><Relationship Id="rId34" Type="http://schemas.openxmlformats.org/officeDocument/2006/relationships/hyperlink" Target="https://libertyinvestigates.org.uk/articles/police-forces-in-england-and-wales-up-to-seven-times-more-likely-to-fine-bame-people-in-lockdown/" TargetMode="External"/><Relationship Id="rId42" Type="http://schemas.openxmlformats.org/officeDocument/2006/relationships/hyperlink" Target="https://www.ucu.org.uk/media/8409/Predicted-grades-accuracy-and-impact-Dec-16/pdf/Predicted_grades_report_Dec2016.pdf" TargetMode="External"/><Relationship Id="rId47" Type="http://schemas.openxmlformats.org/officeDocument/2006/relationships/hyperlink" Target="https://committees.parliament.uk/writtenevidence/4720/html/" TargetMode="External"/><Relationship Id="rId50" Type="http://schemas.openxmlformats.org/officeDocument/2006/relationships/hyperlink" Target="https://www.nuffieldbioethics.org/assets/pdfs/Immunity-certificates-rapid-policy-briefing.pdf" TargetMode="External"/><Relationship Id="rId7" Type="http://schemas.openxmlformats.org/officeDocument/2006/relationships/hyperlink" Target="https://www.corona-older.com/post/problems-of-data-availability-and-quality-for-covid-19-and-older-people-in-lmics" TargetMode="External"/><Relationship Id="rId12" Type="http://schemas.openxmlformats.org/officeDocument/2006/relationships/hyperlink" Target="https://www.nationalgeographic.co.uk/science-and-technology/2020/06/disaster-looms-for-indigenous-amazon-tribes-as-covid-19-cases" TargetMode="External"/><Relationship Id="rId17" Type="http://schemas.openxmlformats.org/officeDocument/2006/relationships/hyperlink" Target="https://m.tagesspiegel.de/politik/boris-palmer-provoziert-in-coronavirus-krise-wir-retten-moeglicherweise-menschen-die-in-einem-halben-jahr-sowieso-tot-waeren/25782926.html" TargetMode="External"/><Relationship Id="rId25" Type="http://schemas.openxmlformats.org/officeDocument/2006/relationships/hyperlink" Target="https://tv.akipress.org/news:1601467/?from=kgnews&amp;place=maincats" TargetMode="External"/><Relationship Id="rId33" Type="http://schemas.openxmlformats.org/officeDocument/2006/relationships/hyperlink" Target="https://www.libertyhumanrights.org.uk/issue/our-right-to-protest-is-more-important-than-ever-during-lockdown/" TargetMode="External"/><Relationship Id="rId38" Type="http://schemas.openxmlformats.org/officeDocument/2006/relationships/hyperlink" Target="https://www.opendemocracy.net/en/world-washes-its-hands-stateless-they-risk-facing-covid-19-alone/" TargetMode="External"/><Relationship Id="rId46" Type="http://schemas.openxmlformats.org/officeDocument/2006/relationships/hyperlink" Target="https://www.equalrightstrust.org/news/equal-rights-trusts-submission-un-special-rapporteur-contemporary-forms-racism" TargetMode="External"/><Relationship Id="rId2" Type="http://schemas.openxmlformats.org/officeDocument/2006/relationships/hyperlink" Target="https://www.equalrightstrust.org/sites/default/files/images/COVIDResponse.pdf" TargetMode="External"/><Relationship Id="rId16" Type="http://schemas.openxmlformats.org/officeDocument/2006/relationships/hyperlink" Target="https://www.newsweek.com/boomer-remover-meme-trends-virus-coronavirus-social-media-covid-19-baby-boomers-1492190" TargetMode="External"/><Relationship Id="rId20" Type="http://schemas.openxmlformats.org/officeDocument/2006/relationships/hyperlink" Target="https://wroclawuncut.com/2020/03/05/priest-coronavirus-lgbt-abortion/" TargetMode="External"/><Relationship Id="rId29" Type="http://schemas.openxmlformats.org/officeDocument/2006/relationships/hyperlink" Target="https://www.theguardian.com/us-news/2020/jun/06/police-violence-protests-us-george-floyd" TargetMode="External"/><Relationship Id="rId41" Type="http://schemas.openxmlformats.org/officeDocument/2006/relationships/hyperlink" Target="https://www.ucu.org.uk/media/8409/Predicted-grades-accuracy-and-impact-Dec-16/pdf/Predicted_grades_report_Dec2016.pdf" TargetMode="External"/><Relationship Id="rId1" Type="http://schemas.openxmlformats.org/officeDocument/2006/relationships/hyperlink" Target="https://covid19.who.int" TargetMode="External"/><Relationship Id="rId6" Type="http://schemas.openxmlformats.org/officeDocument/2006/relationships/hyperlink" Target="https://www.driadvocacy.org/covid19-action-steps/" TargetMode="External"/><Relationship Id="rId11" Type="http://schemas.openxmlformats.org/officeDocument/2006/relationships/hyperlink" Target="https://www.cbsnews.com/news/coronavirus-navajo-nation-running-water-cbsn-originals/" TargetMode="External"/><Relationship Id="rId24" Type="http://schemas.openxmlformats.org/officeDocument/2006/relationships/hyperlink" Target="https://www.thenews.com.pk/print/624656-volatile-kyrgyzstan-temporarily-bans-protests" TargetMode="External"/><Relationship Id="rId32" Type="http://schemas.openxmlformats.org/officeDocument/2006/relationships/hyperlink" Target="https://www.vox.com/2020/5/27/21271811/george-floyd-protests-minneapolis-lockdown-protests" TargetMode="External"/><Relationship Id="rId37" Type="http://schemas.openxmlformats.org/officeDocument/2006/relationships/hyperlink" Target="https://ilga.org/lbti-caucus-covid19-statement" TargetMode="External"/><Relationship Id="rId40" Type="http://schemas.openxmlformats.org/officeDocument/2006/relationships/hyperlink" Target="https://www.right-to-education.org/blog/pandemic-shakes-world-s-education-systems" TargetMode="External"/><Relationship Id="rId45" Type="http://schemas.openxmlformats.org/officeDocument/2006/relationships/hyperlink" Target="https://www.ilo.org/global/topics/coronavirus/lang--en/index.htm" TargetMode="External"/><Relationship Id="rId5" Type="http://schemas.openxmlformats.org/officeDocument/2006/relationships/hyperlink" Target="https://www.ohchr.org/EN/NewsEvents/Pages/DisplayNews.aspx?NewsID=25725&amp;LangID=E" TargetMode="External"/><Relationship Id="rId15" Type="http://schemas.openxmlformats.org/officeDocument/2006/relationships/hyperlink" Target="http://citizensagainsthate.org/wp-content/uploads/2020/05/HIt-Job-Final.pdf" TargetMode="External"/><Relationship Id="rId23" Type="http://schemas.openxmlformats.org/officeDocument/2006/relationships/hyperlink" Target="https://equineteurope.org/2020/covid-19-impact-on-equality-equinet-launches-new-online-database/" TargetMode="External"/><Relationship Id="rId28" Type="http://schemas.openxmlformats.org/officeDocument/2006/relationships/hyperlink" Target="https://www.theguardian.com/global-development/2020/jun/09/they-have-killed-us-more-than-corona-kenyans-protest-against-police-brutality" TargetMode="External"/><Relationship Id="rId36" Type="http://schemas.openxmlformats.org/officeDocument/2006/relationships/hyperlink" Target="https://www.equalitynow.org/covid_19" TargetMode="External"/><Relationship Id="rId49" Type="http://schemas.openxmlformats.org/officeDocument/2006/relationships/hyperlink" Target="https://www.adalovelaceinstitute.org/something-to-declare-surfacing-issues-with-immunity-certificates/" TargetMode="External"/><Relationship Id="rId10" Type="http://schemas.openxmlformats.org/officeDocument/2006/relationships/hyperlink" Target="https://drive.google.com/file/d/1tSU7mV4OPnLRFMMY47JIXZgzkklvkydO/view" TargetMode="External"/><Relationship Id="rId19" Type="http://schemas.openxmlformats.org/officeDocument/2006/relationships/hyperlink" Target="https://www.ohchr.org/Documents/Issues/LGBT/LGBTIpeople.pdf" TargetMode="External"/><Relationship Id="rId31" Type="http://schemas.openxmlformats.org/officeDocument/2006/relationships/hyperlink" Target="https://www.sbs.com.au/news/how-us-police-responded-differently-to-protesters-demanding-justice-for-george-floyd-and-anti-lockdown-rallies" TargetMode="External"/><Relationship Id="rId44" Type="http://schemas.openxmlformats.org/officeDocument/2006/relationships/hyperlink" Target="https://news.trust.org/item/20200319115906-eieyl/" TargetMode="External"/><Relationship Id="rId4" Type="http://schemas.openxmlformats.org/officeDocument/2006/relationships/hyperlink" Target="https://www.ohchr.org/EN/NewsEvents/Pages/DisplayNews.aspx?NewsID=25748&amp;LangID=E" TargetMode="External"/><Relationship Id="rId9" Type="http://schemas.openxmlformats.org/officeDocument/2006/relationships/hyperlink" Target="https://www.apmresearchlab.org/covid/deaths-by-race" TargetMode="External"/><Relationship Id="rId14" Type="http://schemas.openxmlformats.org/officeDocument/2006/relationships/hyperlink" Target="https://news.un.org/en/story/2020/03/1060602" TargetMode="External"/><Relationship Id="rId22" Type="http://schemas.openxmlformats.org/officeDocument/2006/relationships/hyperlink" Target="https://news.un.org/en/story/2020/04/1061052" TargetMode="External"/><Relationship Id="rId27" Type="http://schemas.openxmlformats.org/officeDocument/2006/relationships/hyperlink" Target="https://www.hrw.org/news/2020/04/03/uganda-lgbt-shelter-residents-arrested-covid-19-pretext" TargetMode="External"/><Relationship Id="rId30" Type="http://schemas.openxmlformats.org/officeDocument/2006/relationships/hyperlink" Target="https://slate.com/news-and-politics/2020/05/police-response-george-floyd-minneapolis-shutdowns.html" TargetMode="External"/><Relationship Id="rId35" Type="http://schemas.openxmlformats.org/officeDocument/2006/relationships/hyperlink" Target="http://www.internationaldisabilityalliance.org/covid-drm" TargetMode="External"/><Relationship Id="rId43" Type="http://schemas.openxmlformats.org/officeDocument/2006/relationships/hyperlink" Target="https://www.equalrightstrust.org/news/guest-post-let-us-look-uk%E2%80%99s-equality-and-discrimination-laws-age-black-lives-matter-ife-thompson" TargetMode="External"/><Relationship Id="rId48" Type="http://schemas.openxmlformats.org/officeDocument/2006/relationships/hyperlink" Target="https://committees.parliament.uk/writtenevidence/4081/html/" TargetMode="External"/><Relationship Id="rId8" Type="http://schemas.openxmlformats.org/officeDocument/2006/relationships/hyperlink" Target="https://assets.publishing.service.gov.uk/government/uploads/system/uploads/attachment_data/file/892376/COVID_stakeholder_engagement_synthesis_beyond_the_data.pdf" TargetMode="External"/><Relationship Id="rId51" Type="http://schemas.openxmlformats.org/officeDocument/2006/relationships/hyperlink" Target="https://www.ons.gov.uk/peoplepopulationandcommunity/householdcharacteristics/homeinternetandsocialmediausage/articles/exploringtheuksdigitaldivide/2019-0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9A23C-5545-462B-AD6E-0F04436A62F3}">
  <ds:schemaRefs>
    <ds:schemaRef ds:uri="http://schemas.openxmlformats.org/officeDocument/2006/bibliography"/>
  </ds:schemaRefs>
</ds:datastoreItem>
</file>

<file path=customXml/itemProps2.xml><?xml version="1.0" encoding="utf-8"?>
<ds:datastoreItem xmlns:ds="http://schemas.openxmlformats.org/officeDocument/2006/customXml" ds:itemID="{D35F6011-BCEF-40CC-99B3-C570F84E3949}"/>
</file>

<file path=customXml/itemProps3.xml><?xml version="1.0" encoding="utf-8"?>
<ds:datastoreItem xmlns:ds="http://schemas.openxmlformats.org/officeDocument/2006/customXml" ds:itemID="{7112FBD3-E017-4402-943C-84EE8BE94B33}"/>
</file>

<file path=customXml/itemProps4.xml><?xml version="1.0" encoding="utf-8"?>
<ds:datastoreItem xmlns:ds="http://schemas.openxmlformats.org/officeDocument/2006/customXml" ds:itemID="{FC6D7AFB-FAD5-4E3B-AC2B-1E9C8E3439ED}"/>
</file>

<file path=docProps/app.xml><?xml version="1.0" encoding="utf-8"?>
<Properties xmlns="http://schemas.openxmlformats.org/officeDocument/2006/extended-properties" xmlns:vt="http://schemas.openxmlformats.org/officeDocument/2006/docPropsVTypes">
  <Template>Normal.dotm</Template>
  <TotalTime>0</TotalTime>
  <Pages>10</Pages>
  <Words>3810</Words>
  <Characters>21718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Adam</dc:creator>
  <cp:keywords/>
  <dc:description/>
  <cp:lastModifiedBy>THEISSEN Gunnar</cp:lastModifiedBy>
  <cp:revision>2</cp:revision>
  <cp:lastPrinted>2020-06-29T10:13:00Z</cp:lastPrinted>
  <dcterms:created xsi:type="dcterms:W3CDTF">2020-06-29T10:51:00Z</dcterms:created>
  <dcterms:modified xsi:type="dcterms:W3CDTF">2020-06-29T10:51:00Z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