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77F58" w:rsidRPr="00C62BA0" w:rsidRDefault="002354A1" w:rsidP="005818F8">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1F63A1" w:rsidRPr="001F63A1">
        <w:rPr>
          <w:b/>
          <w:sz w:val="24"/>
          <w:szCs w:val="24"/>
          <w:u w:val="single"/>
          <w:lang w:val="fr-FR"/>
        </w:rPr>
        <w:t xml:space="preserve">Prolongation de la date limite pour la réception des candidatures </w:t>
      </w:r>
      <w:r w:rsidRPr="00C62BA0">
        <w:rPr>
          <w:b/>
          <w:sz w:val="24"/>
          <w:szCs w:val="24"/>
          <w:u w:val="single"/>
          <w:lang w:val="fr-FR"/>
        </w:rPr>
        <w:t xml:space="preserve">pour </w:t>
      </w:r>
      <w:r w:rsidR="005818F8">
        <w:rPr>
          <w:b/>
          <w:sz w:val="24"/>
          <w:szCs w:val="24"/>
          <w:u w:val="single"/>
          <w:lang w:val="fr-FR"/>
        </w:rPr>
        <w:t>quatre</w:t>
      </w:r>
      <w:r w:rsidR="00EE7C67">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5818F8">
        <w:rPr>
          <w:b/>
          <w:sz w:val="24"/>
          <w:szCs w:val="24"/>
          <w:u w:val="single"/>
          <w:lang w:val="fr-FR"/>
        </w:rPr>
        <w:t>43</w:t>
      </w:r>
      <w:r w:rsidR="00106106" w:rsidRPr="00106106">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97060F" w:rsidRPr="007E5AB9" w:rsidRDefault="00B44460" w:rsidP="00CB0234">
      <w:pPr>
        <w:spacing w:after="120"/>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82186B">
        <w:rPr>
          <w:rStyle w:val="hps"/>
          <w:sz w:val="24"/>
          <w:szCs w:val="24"/>
          <w:lang w:val="fr-FR"/>
        </w:rPr>
        <w:t xml:space="preserve">suite </w:t>
      </w:r>
      <w:r w:rsidR="0082186B" w:rsidRPr="0082186B">
        <w:rPr>
          <w:sz w:val="24"/>
          <w:szCs w:val="24"/>
          <w:lang w:val="fr-FR"/>
        </w:rPr>
        <w:t>à s</w:t>
      </w:r>
      <w:r w:rsidR="00CB0234">
        <w:rPr>
          <w:sz w:val="24"/>
          <w:szCs w:val="24"/>
          <w:lang w:val="fr-FR"/>
        </w:rPr>
        <w:t>a</w:t>
      </w:r>
      <w:r w:rsidR="0082186B" w:rsidRPr="0082186B">
        <w:rPr>
          <w:sz w:val="24"/>
          <w:szCs w:val="24"/>
          <w:lang w:val="fr-FR"/>
        </w:rPr>
        <w:t xml:space="preserve"> note verbale du</w:t>
      </w:r>
      <w:r w:rsidR="0082186B">
        <w:rPr>
          <w:sz w:val="24"/>
          <w:szCs w:val="24"/>
          <w:lang w:val="fr-FR"/>
        </w:rPr>
        <w:t xml:space="preserve"> </w:t>
      </w:r>
      <w:r w:rsidR="005818F8">
        <w:rPr>
          <w:sz w:val="24"/>
          <w:szCs w:val="24"/>
          <w:lang w:val="fr-FR"/>
        </w:rPr>
        <w:t>6 septembre</w:t>
      </w:r>
      <w:r w:rsidR="0082186B">
        <w:rPr>
          <w:sz w:val="24"/>
          <w:szCs w:val="24"/>
          <w:lang w:val="fr-FR"/>
        </w:rPr>
        <w:t xml:space="preserve"> 201</w:t>
      </w:r>
      <w:r w:rsidR="005818F8">
        <w:rPr>
          <w:sz w:val="24"/>
          <w:szCs w:val="24"/>
          <w:lang w:val="fr-FR"/>
        </w:rPr>
        <w:t>9</w:t>
      </w:r>
      <w:r w:rsidR="0082186B">
        <w:rPr>
          <w:sz w:val="24"/>
          <w:szCs w:val="24"/>
          <w:lang w:val="fr-FR"/>
        </w:rPr>
        <w:t xml:space="preserve">, </w:t>
      </w:r>
      <w:r w:rsidR="0082186B" w:rsidRPr="0082186B">
        <w:rPr>
          <w:b/>
          <w:sz w:val="24"/>
          <w:szCs w:val="24"/>
          <w:u w:val="single"/>
          <w:lang w:val="fr-FR"/>
        </w:rPr>
        <w:t>la date limite pour la réception des candidatures</w:t>
      </w:r>
      <w:r w:rsidR="0082186B" w:rsidRPr="0082186B">
        <w:rPr>
          <w:sz w:val="24"/>
          <w:szCs w:val="24"/>
          <w:lang w:val="fr-FR"/>
        </w:rPr>
        <w:t xml:space="preserve"> pour </w:t>
      </w:r>
      <w:r w:rsidR="00032131" w:rsidRPr="0082186B">
        <w:rPr>
          <w:rStyle w:val="hps"/>
          <w:sz w:val="24"/>
          <w:szCs w:val="24"/>
          <w:lang w:val="fr-FR"/>
        </w:rPr>
        <w:t xml:space="preserve">les </w:t>
      </w:r>
      <w:r w:rsidR="005818F8">
        <w:rPr>
          <w:rStyle w:val="hps"/>
          <w:sz w:val="24"/>
          <w:szCs w:val="24"/>
          <w:lang w:val="fr-FR"/>
        </w:rPr>
        <w:t>quatre</w:t>
      </w:r>
      <w:r w:rsidR="0048036E" w:rsidRPr="0082186B">
        <w:rPr>
          <w:rStyle w:val="hps"/>
          <w:sz w:val="24"/>
          <w:szCs w:val="24"/>
          <w:lang w:val="fr-FR"/>
        </w:rPr>
        <w:t xml:space="preserve"> </w:t>
      </w:r>
      <w:r w:rsidR="0095634D" w:rsidRPr="0082186B">
        <w:rPr>
          <w:rStyle w:val="hps"/>
          <w:sz w:val="24"/>
          <w:szCs w:val="24"/>
          <w:lang w:val="fr-FR"/>
        </w:rPr>
        <w:t>titulaire</w:t>
      </w:r>
      <w:r w:rsidR="0048036E" w:rsidRPr="0082186B">
        <w:rPr>
          <w:rStyle w:val="hps"/>
          <w:sz w:val="24"/>
          <w:szCs w:val="24"/>
          <w:lang w:val="fr-FR"/>
        </w:rPr>
        <w:t>s</w:t>
      </w:r>
      <w:r w:rsidR="0095634D" w:rsidRPr="0095634D">
        <w:rPr>
          <w:rStyle w:val="hps"/>
          <w:sz w:val="24"/>
          <w:szCs w:val="24"/>
          <w:lang w:val="fr-FR"/>
        </w:rPr>
        <w:t xml:space="preserve"> de mandat</w:t>
      </w:r>
      <w:r w:rsidR="0048036E">
        <w:rPr>
          <w:rStyle w:val="hps"/>
          <w:sz w:val="24"/>
          <w:szCs w:val="24"/>
          <w:lang w:val="fr-FR"/>
        </w:rPr>
        <w:t xml:space="preserve">s </w:t>
      </w:r>
      <w:r w:rsidR="00032131">
        <w:rPr>
          <w:rStyle w:val="hps"/>
          <w:sz w:val="24"/>
          <w:szCs w:val="24"/>
          <w:lang w:val="fr-FR"/>
        </w:rPr>
        <w:t>ci-dessous</w:t>
      </w:r>
      <w:r w:rsidR="008E5D71">
        <w:rPr>
          <w:rStyle w:val="hps"/>
          <w:sz w:val="24"/>
          <w:szCs w:val="24"/>
          <w:lang w:val="fr-FR"/>
        </w:rPr>
        <w:t>,</w:t>
      </w:r>
      <w:r w:rsidR="00032131">
        <w:rPr>
          <w:rStyle w:val="hps"/>
          <w:sz w:val="24"/>
          <w:szCs w:val="24"/>
          <w:lang w:val="fr-FR"/>
        </w:rPr>
        <w:t xml:space="preserve"> </w:t>
      </w:r>
      <w:r w:rsidR="0048036E">
        <w:rPr>
          <w:rStyle w:val="hps"/>
          <w:sz w:val="24"/>
          <w:szCs w:val="24"/>
          <w:lang w:val="fr-FR"/>
        </w:rPr>
        <w:t>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r w:rsidR="0000053C">
        <w:rPr>
          <w:rStyle w:val="hps"/>
          <w:sz w:val="24"/>
          <w:szCs w:val="24"/>
          <w:lang w:val="fr-FR"/>
        </w:rPr>
        <w:t>quarante-troisième</w:t>
      </w:r>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w:t>
      </w:r>
      <w:r w:rsidR="00243B45" w:rsidRPr="00243B45">
        <w:rPr>
          <w:sz w:val="24"/>
          <w:szCs w:val="24"/>
          <w:lang w:val="fr-FR"/>
        </w:rPr>
        <w:t>2</w:t>
      </w:r>
      <w:r w:rsidR="005818F8">
        <w:rPr>
          <w:sz w:val="24"/>
          <w:szCs w:val="24"/>
          <w:lang w:val="fr-FR"/>
        </w:rPr>
        <w:t>4</w:t>
      </w:r>
      <w:r w:rsidR="00243B45" w:rsidRPr="00243B45">
        <w:rPr>
          <w:sz w:val="24"/>
          <w:szCs w:val="24"/>
          <w:lang w:val="fr-FR"/>
        </w:rPr>
        <w:t xml:space="preserve"> février au 2</w:t>
      </w:r>
      <w:r w:rsidR="005818F8">
        <w:rPr>
          <w:sz w:val="24"/>
          <w:szCs w:val="24"/>
          <w:lang w:val="fr-FR"/>
        </w:rPr>
        <w:t>0</w:t>
      </w:r>
      <w:r w:rsidR="00243B45" w:rsidRPr="00243B45">
        <w:rPr>
          <w:sz w:val="24"/>
          <w:szCs w:val="24"/>
          <w:lang w:val="fr-FR"/>
        </w:rPr>
        <w:t xml:space="preserve"> mars 2018</w:t>
      </w:r>
      <w:r w:rsidR="00487B35">
        <w:rPr>
          <w:sz w:val="24"/>
          <w:szCs w:val="24"/>
          <w:lang w:val="fr-FR"/>
        </w:rPr>
        <w:t>)</w:t>
      </w:r>
      <w:r w:rsidR="0082186B">
        <w:rPr>
          <w:sz w:val="24"/>
          <w:szCs w:val="24"/>
          <w:lang w:val="fr-FR"/>
        </w:rPr>
        <w:t xml:space="preserve"> </w:t>
      </w:r>
      <w:r w:rsidR="0082186B" w:rsidRPr="0082186B">
        <w:rPr>
          <w:b/>
          <w:sz w:val="24"/>
          <w:szCs w:val="24"/>
          <w:u w:val="single"/>
          <w:lang w:val="fr-FR"/>
        </w:rPr>
        <w:t>a</w:t>
      </w:r>
      <w:r w:rsidR="0082186B">
        <w:rPr>
          <w:b/>
          <w:sz w:val="24"/>
          <w:szCs w:val="24"/>
          <w:u w:val="single"/>
          <w:lang w:val="fr-FR"/>
        </w:rPr>
        <w:t xml:space="preserve"> été prolongée jusqu’au </w:t>
      </w:r>
      <w:r w:rsidR="005818F8">
        <w:rPr>
          <w:b/>
          <w:sz w:val="24"/>
          <w:szCs w:val="24"/>
          <w:u w:val="single"/>
          <w:lang w:val="fr-FR"/>
        </w:rPr>
        <w:t>27 octobre 2019</w:t>
      </w:r>
      <w:r w:rsidR="0082186B" w:rsidRPr="0082186B">
        <w:rPr>
          <w:b/>
          <w:sz w:val="24"/>
          <w:szCs w:val="24"/>
          <w:u w:val="single"/>
          <w:lang w:val="fr-FR"/>
        </w:rPr>
        <w:t xml:space="preserve"> midi temps moyen de Greenwich / GMT</w:t>
      </w:r>
      <w:r w:rsidRPr="00C62BA0">
        <w:rPr>
          <w:sz w:val="24"/>
          <w:szCs w:val="24"/>
          <w:lang w:val="fr-FR"/>
        </w:rPr>
        <w:t>:</w:t>
      </w:r>
      <w:r w:rsidR="00B74361">
        <w:rPr>
          <w:sz w:val="24"/>
          <w:szCs w:val="24"/>
          <w:lang w:val="fr-FR"/>
        </w:rPr>
        <w:t xml:space="preserve"> </w:t>
      </w:r>
    </w:p>
    <w:p w:rsidR="00243B45" w:rsidRPr="00726D38" w:rsidRDefault="00726D38" w:rsidP="00FA02B3">
      <w:pPr>
        <w:numPr>
          <w:ilvl w:val="0"/>
          <w:numId w:val="32"/>
        </w:numPr>
        <w:shd w:val="clear" w:color="auto" w:fill="FFFFFF"/>
        <w:outlineLvl w:val="3"/>
        <w:rPr>
          <w:b/>
          <w:bCs/>
          <w:sz w:val="24"/>
          <w:szCs w:val="24"/>
          <w:lang w:val="fr-CH" w:eastAsia="en-GB"/>
        </w:rPr>
      </w:pPr>
      <w:r w:rsidRPr="00726D38">
        <w:rPr>
          <w:b/>
          <w:bCs/>
          <w:sz w:val="24"/>
          <w:szCs w:val="24"/>
          <w:lang w:val="fr-CH" w:eastAsia="en-GB"/>
        </w:rPr>
        <w:t>Mécanisme d’experts sur les droits des peuples autochtones (MEDPA), membre de l’</w:t>
      </w:r>
      <w:r w:rsidR="00FA02B3">
        <w:rPr>
          <w:b/>
          <w:bCs/>
          <w:sz w:val="24"/>
          <w:szCs w:val="24"/>
          <w:lang w:val="fr-CH" w:eastAsia="en-GB"/>
        </w:rPr>
        <w:t>Arctique</w:t>
      </w:r>
      <w:r w:rsidR="00243B45" w:rsidRPr="00726D38">
        <w:rPr>
          <w:b/>
          <w:bCs/>
          <w:sz w:val="24"/>
          <w:szCs w:val="24"/>
          <w:lang w:val="fr-CH" w:eastAsia="en-GB"/>
        </w:rPr>
        <w:t xml:space="preserve"> </w:t>
      </w:r>
      <w:r w:rsidR="00243B45" w:rsidRPr="00726D38">
        <w:rPr>
          <w:bCs/>
          <w:sz w:val="24"/>
          <w:szCs w:val="24"/>
          <w:lang w:val="fr-CH" w:eastAsia="en-GB"/>
        </w:rPr>
        <w:t>[</w:t>
      </w:r>
      <w:proofErr w:type="spellStart"/>
      <w:r w:rsidR="00243B45" w:rsidRPr="00726D38">
        <w:rPr>
          <w:bCs/>
          <w:sz w:val="24"/>
          <w:szCs w:val="24"/>
          <w:lang w:val="fr-CH" w:eastAsia="en-GB"/>
        </w:rPr>
        <w:t>rés</w:t>
      </w:r>
      <w:proofErr w:type="spellEnd"/>
      <w:r w:rsidR="00243B45" w:rsidRPr="00726D38">
        <w:rPr>
          <w:bCs/>
          <w:sz w:val="24"/>
          <w:szCs w:val="24"/>
          <w:lang w:val="fr-CH" w:eastAsia="en-GB"/>
        </w:rPr>
        <w:t xml:space="preserve">. </w:t>
      </w:r>
      <w:proofErr w:type="gramStart"/>
      <w:r w:rsidR="00243B45" w:rsidRPr="00726D38">
        <w:rPr>
          <w:bCs/>
          <w:sz w:val="24"/>
          <w:szCs w:val="24"/>
          <w:lang w:val="fr-CH" w:eastAsia="en-GB"/>
        </w:rPr>
        <w:t>du</w:t>
      </w:r>
      <w:proofErr w:type="gramEnd"/>
      <w:r w:rsidR="00243B45" w:rsidRPr="00726D38">
        <w:rPr>
          <w:bCs/>
          <w:sz w:val="24"/>
          <w:szCs w:val="24"/>
          <w:lang w:val="fr-CH" w:eastAsia="en-GB"/>
        </w:rPr>
        <w:t xml:space="preserve"> CDH 33/25]</w:t>
      </w:r>
    </w:p>
    <w:p w:rsidR="0000053C" w:rsidRPr="0000053C" w:rsidRDefault="0000053C" w:rsidP="0000053C">
      <w:pPr>
        <w:numPr>
          <w:ilvl w:val="0"/>
          <w:numId w:val="32"/>
        </w:numPr>
        <w:shd w:val="clear" w:color="auto" w:fill="FFFFFF"/>
        <w:outlineLvl w:val="3"/>
        <w:rPr>
          <w:b/>
          <w:bCs/>
          <w:sz w:val="24"/>
          <w:szCs w:val="24"/>
          <w:lang w:val="fr-CH" w:eastAsia="en-GB"/>
        </w:rPr>
      </w:pPr>
      <w:r w:rsidRPr="0000053C">
        <w:rPr>
          <w:b/>
          <w:bCs/>
          <w:sz w:val="24"/>
          <w:szCs w:val="24"/>
          <w:lang w:val="fr-CH" w:eastAsia="en-GB"/>
        </w:rPr>
        <w:t>Expert indépendant chargé d’examiner la situation des droits de l’homme en Somalie</w:t>
      </w:r>
      <w:r>
        <w:rPr>
          <w:sz w:val="24"/>
          <w:szCs w:val="24"/>
          <w:lang w:val="fr-CH" w:eastAsia="en-GB"/>
        </w:rPr>
        <w:t xml:space="preserve"> [</w:t>
      </w:r>
      <w:proofErr w:type="spellStart"/>
      <w:r>
        <w:rPr>
          <w:sz w:val="24"/>
          <w:szCs w:val="24"/>
          <w:lang w:val="fr-CH" w:eastAsia="en-GB"/>
        </w:rPr>
        <w:t>rés</w:t>
      </w:r>
      <w:proofErr w:type="spellEnd"/>
      <w:r>
        <w:rPr>
          <w:sz w:val="24"/>
          <w:szCs w:val="24"/>
          <w:lang w:val="fr-CH" w:eastAsia="en-GB"/>
        </w:rPr>
        <w:t xml:space="preserve">. </w:t>
      </w:r>
      <w:proofErr w:type="gramStart"/>
      <w:r>
        <w:rPr>
          <w:sz w:val="24"/>
          <w:szCs w:val="24"/>
          <w:lang w:val="fr-CH" w:eastAsia="en-GB"/>
        </w:rPr>
        <w:t>du</w:t>
      </w:r>
      <w:proofErr w:type="gramEnd"/>
      <w:r>
        <w:rPr>
          <w:sz w:val="24"/>
          <w:szCs w:val="24"/>
          <w:lang w:val="fr-CH" w:eastAsia="en-GB"/>
        </w:rPr>
        <w:t xml:space="preserve"> CDH 39/23]</w:t>
      </w:r>
    </w:p>
    <w:p w:rsidR="0000053C" w:rsidRDefault="0000053C" w:rsidP="0000053C">
      <w:pPr>
        <w:numPr>
          <w:ilvl w:val="0"/>
          <w:numId w:val="32"/>
        </w:numPr>
        <w:shd w:val="clear" w:color="auto" w:fill="FFFFFF"/>
        <w:outlineLvl w:val="3"/>
        <w:rPr>
          <w:b/>
          <w:bCs/>
          <w:sz w:val="24"/>
          <w:szCs w:val="24"/>
          <w:lang w:val="fr-CH" w:eastAsia="en-GB"/>
        </w:rPr>
      </w:pPr>
      <w:r w:rsidRPr="0000053C">
        <w:rPr>
          <w:b/>
          <w:bCs/>
          <w:sz w:val="24"/>
          <w:szCs w:val="24"/>
          <w:lang w:val="fr-CH" w:eastAsia="en-GB"/>
        </w:rPr>
        <w:t>Rapporteur spécial sur la question du logement convenable en tant qu’élément du droit à un niveau de vie suffisant ainsi que sur le droit à la non-discrimination dans ce domaine</w:t>
      </w:r>
      <w:r>
        <w:rPr>
          <w:sz w:val="24"/>
          <w:szCs w:val="24"/>
          <w:lang w:val="fr-CH" w:eastAsia="en-GB"/>
        </w:rPr>
        <w:t xml:space="preserve"> [</w:t>
      </w:r>
      <w:proofErr w:type="spellStart"/>
      <w:r>
        <w:rPr>
          <w:sz w:val="24"/>
          <w:szCs w:val="24"/>
          <w:lang w:val="fr-CH" w:eastAsia="en-GB"/>
        </w:rPr>
        <w:t>ré</w:t>
      </w:r>
      <w:r w:rsidRPr="0000053C">
        <w:rPr>
          <w:sz w:val="24"/>
          <w:szCs w:val="24"/>
          <w:lang w:val="fr-CH" w:eastAsia="en-GB"/>
        </w:rPr>
        <w:t>s</w:t>
      </w:r>
      <w:proofErr w:type="spellEnd"/>
      <w:r w:rsidRPr="0000053C">
        <w:rPr>
          <w:sz w:val="24"/>
          <w:szCs w:val="24"/>
          <w:lang w:val="fr-CH" w:eastAsia="en-GB"/>
        </w:rPr>
        <w:t xml:space="preserve">. </w:t>
      </w:r>
      <w:proofErr w:type="gramStart"/>
      <w:r>
        <w:rPr>
          <w:sz w:val="24"/>
          <w:szCs w:val="24"/>
          <w:lang w:val="fr-CH" w:eastAsia="en-GB"/>
        </w:rPr>
        <w:t>du</w:t>
      </w:r>
      <w:proofErr w:type="gramEnd"/>
      <w:r>
        <w:rPr>
          <w:sz w:val="24"/>
          <w:szCs w:val="24"/>
          <w:lang w:val="fr-CH" w:eastAsia="en-GB"/>
        </w:rPr>
        <w:t xml:space="preserve"> CDH </w:t>
      </w:r>
      <w:r w:rsidRPr="0000053C">
        <w:rPr>
          <w:sz w:val="24"/>
          <w:szCs w:val="24"/>
          <w:lang w:val="fr-CH" w:eastAsia="en-GB"/>
        </w:rPr>
        <w:t>34/9]</w:t>
      </w:r>
    </w:p>
    <w:p w:rsidR="00726D38" w:rsidRPr="0000053C" w:rsidRDefault="0000053C" w:rsidP="00156AF1">
      <w:pPr>
        <w:numPr>
          <w:ilvl w:val="0"/>
          <w:numId w:val="32"/>
        </w:numPr>
        <w:shd w:val="clear" w:color="auto" w:fill="FFFFFF"/>
        <w:outlineLvl w:val="3"/>
        <w:rPr>
          <w:b/>
          <w:bCs/>
          <w:sz w:val="24"/>
          <w:szCs w:val="24"/>
          <w:lang w:val="fr-CH" w:eastAsia="en-GB"/>
        </w:rPr>
      </w:pPr>
      <w:r w:rsidRPr="0000053C">
        <w:rPr>
          <w:b/>
          <w:bCs/>
          <w:sz w:val="24"/>
          <w:szCs w:val="24"/>
          <w:lang w:val="fr-CH" w:eastAsia="en-GB"/>
        </w:rPr>
        <w:t>Rapporteur spécial sur la situation des droits de l’homme au Myanmar</w:t>
      </w:r>
      <w:r>
        <w:rPr>
          <w:sz w:val="24"/>
          <w:szCs w:val="24"/>
          <w:lang w:val="fr-CH" w:eastAsia="en-GB"/>
        </w:rPr>
        <w:t xml:space="preserve"> [</w:t>
      </w:r>
      <w:proofErr w:type="spellStart"/>
      <w:r>
        <w:rPr>
          <w:sz w:val="24"/>
          <w:szCs w:val="24"/>
          <w:lang w:val="fr-CH" w:eastAsia="en-GB"/>
        </w:rPr>
        <w:t>ré</w:t>
      </w:r>
      <w:r w:rsidRPr="0000053C">
        <w:rPr>
          <w:sz w:val="24"/>
          <w:szCs w:val="24"/>
          <w:lang w:val="fr-CH" w:eastAsia="en-GB"/>
        </w:rPr>
        <w:t>s</w:t>
      </w:r>
      <w:proofErr w:type="spellEnd"/>
      <w:r w:rsidRPr="0000053C">
        <w:rPr>
          <w:sz w:val="24"/>
          <w:szCs w:val="24"/>
          <w:lang w:val="fr-CH" w:eastAsia="en-GB"/>
        </w:rPr>
        <w:t>.</w:t>
      </w:r>
      <w:r>
        <w:rPr>
          <w:sz w:val="24"/>
          <w:szCs w:val="24"/>
          <w:lang w:val="fr-CH" w:eastAsia="en-GB"/>
        </w:rPr>
        <w:t xml:space="preserve"> </w:t>
      </w:r>
      <w:r w:rsidR="00156AF1">
        <w:rPr>
          <w:sz w:val="24"/>
          <w:szCs w:val="24"/>
          <w:lang w:val="fr-CH" w:eastAsia="en-GB"/>
        </w:rPr>
        <w:t>d</w:t>
      </w:r>
      <w:r>
        <w:rPr>
          <w:sz w:val="24"/>
          <w:szCs w:val="24"/>
          <w:lang w:val="fr-CH" w:eastAsia="en-GB"/>
        </w:rPr>
        <w:t xml:space="preserve">u CDH </w:t>
      </w:r>
      <w:r w:rsidRPr="0000053C">
        <w:rPr>
          <w:sz w:val="24"/>
          <w:szCs w:val="24"/>
          <w:lang w:val="fr-CH" w:eastAsia="en-GB"/>
        </w:rPr>
        <w:t>40/29]</w:t>
      </w:r>
    </w:p>
    <w:p w:rsidR="0000053C" w:rsidRPr="0000053C" w:rsidRDefault="0000053C" w:rsidP="0000053C">
      <w:pPr>
        <w:shd w:val="clear" w:color="auto" w:fill="FFFFFF"/>
        <w:ind w:left="360"/>
        <w:outlineLvl w:val="3"/>
        <w:rPr>
          <w:b/>
          <w:bCs/>
          <w:sz w:val="24"/>
          <w:szCs w:val="24"/>
          <w:lang w:val="fr-CH" w:eastAsia="en-GB"/>
        </w:rPr>
      </w:pPr>
    </w:p>
    <w:p w:rsidR="00C75E1A" w:rsidRDefault="007E1D64" w:rsidP="00243B45">
      <w:pPr>
        <w:ind w:firstLine="851"/>
        <w:jc w:val="both"/>
        <w:rPr>
          <w:sz w:val="24"/>
          <w:szCs w:val="24"/>
          <w:lang w:val="fr-FR"/>
        </w:rPr>
      </w:pPr>
      <w:r w:rsidRPr="00C62BA0">
        <w:rPr>
          <w:rStyle w:val="hps"/>
          <w:sz w:val="24"/>
          <w:szCs w:val="24"/>
          <w:lang w:val="fr-FR"/>
        </w:rPr>
        <w:t>Des informations</w:t>
      </w:r>
      <w:r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Pr="00C62BA0">
        <w:rPr>
          <w:sz w:val="24"/>
          <w:szCs w:val="24"/>
          <w:lang w:val="fr-FR"/>
        </w:rPr>
        <w:t xml:space="preserve">sont disponibles </w:t>
      </w:r>
      <w:r w:rsidR="00933FC7">
        <w:rPr>
          <w:sz w:val="24"/>
          <w:szCs w:val="24"/>
          <w:lang w:val="fr-FR"/>
        </w:rPr>
        <w:t xml:space="preserve">au </w:t>
      </w:r>
      <w:r w:rsidRPr="00C62BA0">
        <w:rPr>
          <w:sz w:val="24"/>
          <w:szCs w:val="24"/>
          <w:lang w:val="fr-FR"/>
        </w:rPr>
        <w:t>lien électronique suivant :</w:t>
      </w:r>
      <w:r w:rsidR="007F4BCA" w:rsidRPr="00C62BA0">
        <w:rPr>
          <w:sz w:val="24"/>
          <w:szCs w:val="24"/>
          <w:lang w:val="fr-FR"/>
        </w:rPr>
        <w:t xml:space="preserve"> </w:t>
      </w:r>
    </w:p>
    <w:p w:rsidR="00865209" w:rsidRPr="00C62BA0" w:rsidRDefault="00EE3435" w:rsidP="00BF7B86">
      <w:pPr>
        <w:spacing w:after="120"/>
        <w:jc w:val="both"/>
        <w:rPr>
          <w:sz w:val="24"/>
          <w:szCs w:val="24"/>
          <w:lang w:val="fr-FR"/>
        </w:rPr>
      </w:pPr>
      <w:hyperlink r:id="rId8"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C62BA0" w:rsidRPr="003831CA" w:rsidRDefault="007E1D64" w:rsidP="00BF7B86">
      <w:pPr>
        <w:spacing w:after="120"/>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9"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à</w:t>
      </w:r>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3E7638" w:rsidRPr="00C62BA0" w:rsidRDefault="00AE0B5D" w:rsidP="00BF7B86">
      <w:pPr>
        <w:spacing w:after="120"/>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7471F1">
      <w:pPr>
        <w:spacing w:before="240" w:after="120"/>
        <w:jc w:val="right"/>
        <w:rPr>
          <w:sz w:val="24"/>
          <w:szCs w:val="24"/>
          <w:lang w:val="fr-FR"/>
        </w:rPr>
      </w:pPr>
      <w:r w:rsidRPr="00C62BA0">
        <w:rPr>
          <w:sz w:val="24"/>
          <w:szCs w:val="24"/>
          <w:lang w:val="fr-FR"/>
        </w:rPr>
        <w:t xml:space="preserve">Le </w:t>
      </w:r>
      <w:r w:rsidR="007471F1">
        <w:rPr>
          <w:sz w:val="24"/>
          <w:szCs w:val="24"/>
          <w:lang w:val="fr-FR"/>
        </w:rPr>
        <w:t>21</w:t>
      </w:r>
      <w:bookmarkStart w:id="0" w:name="_GoBack"/>
      <w:bookmarkEnd w:id="0"/>
      <w:r w:rsidR="005818F8">
        <w:rPr>
          <w:sz w:val="24"/>
          <w:szCs w:val="24"/>
          <w:lang w:val="fr-FR"/>
        </w:rPr>
        <w:t xml:space="preserve"> octo</w:t>
      </w:r>
      <w:r w:rsidR="00F533F3">
        <w:rPr>
          <w:sz w:val="24"/>
          <w:szCs w:val="24"/>
          <w:lang w:val="fr-FR"/>
        </w:rPr>
        <w:t>bre</w:t>
      </w:r>
      <w:r w:rsidR="00106106">
        <w:rPr>
          <w:sz w:val="24"/>
          <w:szCs w:val="24"/>
          <w:lang w:val="fr-FR"/>
        </w:rPr>
        <w:t xml:space="preserve"> 201</w:t>
      </w:r>
      <w:r w:rsidR="005818F8">
        <w:rPr>
          <w:sz w:val="24"/>
          <w:szCs w:val="24"/>
          <w:lang w:val="fr-FR"/>
        </w:rPr>
        <w:t>9</w:t>
      </w:r>
    </w:p>
    <w:sectPr w:rsidR="008C286A" w:rsidRPr="00C62BA0" w:rsidSect="007E3193">
      <w:headerReference w:type="default" r:id="rId10"/>
      <w:footerReference w:type="default" r:id="rId11"/>
      <w:headerReference w:type="first" r:id="rId12"/>
      <w:pgSz w:w="11906" w:h="16838" w:code="9"/>
      <w:pgMar w:top="579" w:right="1416"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0FBFC2AF" wp14:editId="4A9C701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6E85FFBE" wp14:editId="25B11BDA">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D2A0DF8"/>
    <w:multiLevelType w:val="hybridMultilevel"/>
    <w:tmpl w:val="92E83C34"/>
    <w:lvl w:ilvl="0" w:tplc="F79CB4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40067885"/>
    <w:multiLevelType w:val="hybridMultilevel"/>
    <w:tmpl w:val="4790F4B2"/>
    <w:lvl w:ilvl="0" w:tplc="1500013E">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26"/>
  </w:num>
  <w:num w:numId="4">
    <w:abstractNumId w:val="11"/>
  </w:num>
  <w:num w:numId="5">
    <w:abstractNumId w:val="27"/>
  </w:num>
  <w:num w:numId="6">
    <w:abstractNumId w:val="14"/>
  </w:num>
  <w:num w:numId="7">
    <w:abstractNumId w:val="2"/>
  </w:num>
  <w:num w:numId="8">
    <w:abstractNumId w:val="15"/>
  </w:num>
  <w:num w:numId="9">
    <w:abstractNumId w:val="3"/>
  </w:num>
  <w:num w:numId="10">
    <w:abstractNumId w:val="1"/>
  </w:num>
  <w:num w:numId="11">
    <w:abstractNumId w:val="13"/>
  </w:num>
  <w:num w:numId="12">
    <w:abstractNumId w:val="31"/>
  </w:num>
  <w:num w:numId="13">
    <w:abstractNumId w:val="33"/>
  </w:num>
  <w:num w:numId="14">
    <w:abstractNumId w:val="22"/>
  </w:num>
  <w:num w:numId="15">
    <w:abstractNumId w:val="6"/>
  </w:num>
  <w:num w:numId="16">
    <w:abstractNumId w:val="0"/>
  </w:num>
  <w:num w:numId="17">
    <w:abstractNumId w:val="29"/>
  </w:num>
  <w:num w:numId="18">
    <w:abstractNumId w:val="8"/>
  </w:num>
  <w:num w:numId="19">
    <w:abstractNumId w:val="20"/>
  </w:num>
  <w:num w:numId="20">
    <w:abstractNumId w:val="4"/>
  </w:num>
  <w:num w:numId="21">
    <w:abstractNumId w:val="28"/>
  </w:num>
  <w:num w:numId="22">
    <w:abstractNumId w:val="25"/>
  </w:num>
  <w:num w:numId="23">
    <w:abstractNumId w:val="5"/>
  </w:num>
  <w:num w:numId="24">
    <w:abstractNumId w:val="12"/>
  </w:num>
  <w:num w:numId="25">
    <w:abstractNumId w:val="21"/>
  </w:num>
  <w:num w:numId="26">
    <w:abstractNumId w:val="32"/>
  </w:num>
  <w:num w:numId="27">
    <w:abstractNumId w:val="24"/>
  </w:num>
  <w:num w:numId="28">
    <w:abstractNumId w:val="18"/>
  </w:num>
  <w:num w:numId="29">
    <w:abstractNumId w:val="10"/>
  </w:num>
  <w:num w:numId="30">
    <w:abstractNumId w:val="30"/>
  </w:num>
  <w:num w:numId="31">
    <w:abstractNumId w:val="1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53C"/>
    <w:rsid w:val="0000105C"/>
    <w:rsid w:val="0000160F"/>
    <w:rsid w:val="000138F6"/>
    <w:rsid w:val="0001629C"/>
    <w:rsid w:val="00026D1F"/>
    <w:rsid w:val="00032131"/>
    <w:rsid w:val="0007203A"/>
    <w:rsid w:val="00077294"/>
    <w:rsid w:val="0008479D"/>
    <w:rsid w:val="000875C6"/>
    <w:rsid w:val="00087F6C"/>
    <w:rsid w:val="000A2B89"/>
    <w:rsid w:val="000A6F03"/>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6AF1"/>
    <w:rsid w:val="0015719C"/>
    <w:rsid w:val="00170F4C"/>
    <w:rsid w:val="00180547"/>
    <w:rsid w:val="00194332"/>
    <w:rsid w:val="001A464B"/>
    <w:rsid w:val="001C1756"/>
    <w:rsid w:val="001E1761"/>
    <w:rsid w:val="001E3384"/>
    <w:rsid w:val="001F63A1"/>
    <w:rsid w:val="00201642"/>
    <w:rsid w:val="002028A9"/>
    <w:rsid w:val="0021296A"/>
    <w:rsid w:val="00221893"/>
    <w:rsid w:val="00223646"/>
    <w:rsid w:val="00227E2F"/>
    <w:rsid w:val="002354A1"/>
    <w:rsid w:val="00235A1A"/>
    <w:rsid w:val="002431DB"/>
    <w:rsid w:val="00243B45"/>
    <w:rsid w:val="0025174E"/>
    <w:rsid w:val="0025472C"/>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4C90"/>
    <w:rsid w:val="00335FB9"/>
    <w:rsid w:val="00336C0E"/>
    <w:rsid w:val="00352320"/>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0DA9"/>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18F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87376"/>
    <w:rsid w:val="00695E57"/>
    <w:rsid w:val="006A3D58"/>
    <w:rsid w:val="006B1101"/>
    <w:rsid w:val="006B5A71"/>
    <w:rsid w:val="006C250F"/>
    <w:rsid w:val="006F790C"/>
    <w:rsid w:val="007024CA"/>
    <w:rsid w:val="00707890"/>
    <w:rsid w:val="007109CC"/>
    <w:rsid w:val="00711852"/>
    <w:rsid w:val="00712363"/>
    <w:rsid w:val="007210F6"/>
    <w:rsid w:val="00723438"/>
    <w:rsid w:val="00726D38"/>
    <w:rsid w:val="00733660"/>
    <w:rsid w:val="00740386"/>
    <w:rsid w:val="00741EBC"/>
    <w:rsid w:val="00742436"/>
    <w:rsid w:val="007432E5"/>
    <w:rsid w:val="007442C9"/>
    <w:rsid w:val="007450E8"/>
    <w:rsid w:val="007471F1"/>
    <w:rsid w:val="00751D17"/>
    <w:rsid w:val="00771EB2"/>
    <w:rsid w:val="00776BDB"/>
    <w:rsid w:val="00777096"/>
    <w:rsid w:val="00790CBE"/>
    <w:rsid w:val="007A4E2E"/>
    <w:rsid w:val="007C0C2A"/>
    <w:rsid w:val="007C4A8E"/>
    <w:rsid w:val="007C5EE5"/>
    <w:rsid w:val="007D1657"/>
    <w:rsid w:val="007E1D64"/>
    <w:rsid w:val="007E3193"/>
    <w:rsid w:val="007E538E"/>
    <w:rsid w:val="007E5AB9"/>
    <w:rsid w:val="007F4BCA"/>
    <w:rsid w:val="0082186B"/>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1FB"/>
    <w:rsid w:val="008C286A"/>
    <w:rsid w:val="008C2924"/>
    <w:rsid w:val="008C60C0"/>
    <w:rsid w:val="008D2648"/>
    <w:rsid w:val="008E3492"/>
    <w:rsid w:val="008E46C1"/>
    <w:rsid w:val="008E5D71"/>
    <w:rsid w:val="0091145B"/>
    <w:rsid w:val="009240B2"/>
    <w:rsid w:val="00925A9D"/>
    <w:rsid w:val="00933FC7"/>
    <w:rsid w:val="00944040"/>
    <w:rsid w:val="00944E25"/>
    <w:rsid w:val="00946959"/>
    <w:rsid w:val="00955F9B"/>
    <w:rsid w:val="0095634D"/>
    <w:rsid w:val="0097060F"/>
    <w:rsid w:val="00977743"/>
    <w:rsid w:val="00983F2F"/>
    <w:rsid w:val="00991094"/>
    <w:rsid w:val="00994409"/>
    <w:rsid w:val="00996E9F"/>
    <w:rsid w:val="009976A3"/>
    <w:rsid w:val="009A4B7B"/>
    <w:rsid w:val="009A5475"/>
    <w:rsid w:val="009B459A"/>
    <w:rsid w:val="009D76A9"/>
    <w:rsid w:val="009E61D5"/>
    <w:rsid w:val="009F18EC"/>
    <w:rsid w:val="009F2043"/>
    <w:rsid w:val="009F4ED2"/>
    <w:rsid w:val="00A01741"/>
    <w:rsid w:val="00A209BE"/>
    <w:rsid w:val="00A21EF1"/>
    <w:rsid w:val="00A23038"/>
    <w:rsid w:val="00A33305"/>
    <w:rsid w:val="00A34DA7"/>
    <w:rsid w:val="00A355F0"/>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BF7B86"/>
    <w:rsid w:val="00C12BED"/>
    <w:rsid w:val="00C133AD"/>
    <w:rsid w:val="00C162CB"/>
    <w:rsid w:val="00C20173"/>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0234"/>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74B44"/>
    <w:rsid w:val="00D84C7E"/>
    <w:rsid w:val="00D91364"/>
    <w:rsid w:val="00D968C8"/>
    <w:rsid w:val="00DA7966"/>
    <w:rsid w:val="00DB5616"/>
    <w:rsid w:val="00DC3799"/>
    <w:rsid w:val="00DD32B4"/>
    <w:rsid w:val="00DD4909"/>
    <w:rsid w:val="00DE35CD"/>
    <w:rsid w:val="00DE3CFC"/>
    <w:rsid w:val="00E05430"/>
    <w:rsid w:val="00E15347"/>
    <w:rsid w:val="00E16DBE"/>
    <w:rsid w:val="00E23FC8"/>
    <w:rsid w:val="00E331FE"/>
    <w:rsid w:val="00E60057"/>
    <w:rsid w:val="00E679E8"/>
    <w:rsid w:val="00E95BCA"/>
    <w:rsid w:val="00EA6B3E"/>
    <w:rsid w:val="00EA6E5A"/>
    <w:rsid w:val="00EB773F"/>
    <w:rsid w:val="00EC4C75"/>
    <w:rsid w:val="00EE3435"/>
    <w:rsid w:val="00EE5BA8"/>
    <w:rsid w:val="00EE7C67"/>
    <w:rsid w:val="00F006B5"/>
    <w:rsid w:val="00F2678A"/>
    <w:rsid w:val="00F26DC9"/>
    <w:rsid w:val="00F33FC2"/>
    <w:rsid w:val="00F44F23"/>
    <w:rsid w:val="00F46337"/>
    <w:rsid w:val="00F47B64"/>
    <w:rsid w:val="00F533F3"/>
    <w:rsid w:val="00F54784"/>
    <w:rsid w:val="00F611C6"/>
    <w:rsid w:val="00F80A14"/>
    <w:rsid w:val="00F80D28"/>
    <w:rsid w:val="00F84AF6"/>
    <w:rsid w:val="00F84B6F"/>
    <w:rsid w:val="00FA02B3"/>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DA9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083062584">
      <w:bodyDiv w:val="1"/>
      <w:marLeft w:val="0"/>
      <w:marRight w:val="0"/>
      <w:marTop w:val="0"/>
      <w:marBottom w:val="0"/>
      <w:divBdr>
        <w:top w:val="none" w:sz="0" w:space="0" w:color="auto"/>
        <w:left w:val="none" w:sz="0" w:space="0" w:color="auto"/>
        <w:bottom w:val="none" w:sz="0" w:space="0" w:color="auto"/>
        <w:right w:val="none" w:sz="0" w:space="0" w:color="auto"/>
      </w:divBdr>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Nomination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specialprocedures@ohch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FE1BCD-33B2-44BD-A85B-5F44DF4ACBDA}">
  <ds:schemaRefs>
    <ds:schemaRef ds:uri="http://schemas.openxmlformats.org/officeDocument/2006/bibliography"/>
  </ds:schemaRefs>
</ds:datastoreItem>
</file>

<file path=customXml/itemProps2.xml><?xml version="1.0" encoding="utf-8"?>
<ds:datastoreItem xmlns:ds="http://schemas.openxmlformats.org/officeDocument/2006/customXml" ds:itemID="{0BE460F6-DA44-4C24-B539-D250BBBA578B}"/>
</file>

<file path=customXml/itemProps3.xml><?xml version="1.0" encoding="utf-8"?>
<ds:datastoreItem xmlns:ds="http://schemas.openxmlformats.org/officeDocument/2006/customXml" ds:itemID="{A461DD35-2A2E-4C59-A684-C79E6AE7D26B}"/>
</file>

<file path=customXml/itemProps4.xml><?xml version="1.0" encoding="utf-8"?>
<ds:datastoreItem xmlns:ds="http://schemas.openxmlformats.org/officeDocument/2006/customXml" ds:itemID="{2B9F7905-6C93-45AC-9D0F-E71401534C94}"/>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2270</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2017-02-09T14:07:00Z</dcterms:created>
  <dcterms:modified xsi:type="dcterms:W3CDTF">2019-10-18T15:33:00Z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