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F17A4A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FB3668" w:rsidRPr="00FB3668">
        <w:rPr>
          <w:b/>
          <w:sz w:val="24"/>
          <w:szCs w:val="24"/>
          <w:u w:val="single"/>
        </w:rPr>
        <w:t>Extension of the</w:t>
      </w:r>
      <w:r w:rsidR="00FB3668" w:rsidRPr="002675D5">
        <w:rPr>
          <w:b/>
          <w:sz w:val="24"/>
          <w:szCs w:val="24"/>
          <w:u w:val="single"/>
        </w:rPr>
        <w:t xml:space="preserve"> </w:t>
      </w:r>
      <w:r w:rsidR="00FB3668">
        <w:rPr>
          <w:b/>
          <w:sz w:val="24"/>
          <w:szCs w:val="24"/>
          <w:u w:val="single"/>
        </w:rPr>
        <w:t xml:space="preserve">deadline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C72E15">
        <w:rPr>
          <w:b/>
          <w:sz w:val="24"/>
          <w:szCs w:val="24"/>
          <w:u w:val="single"/>
        </w:rPr>
        <w:t>two</w:t>
      </w:r>
      <w:r w:rsidR="00FB3668">
        <w:rPr>
          <w:b/>
          <w:sz w:val="24"/>
          <w:szCs w:val="24"/>
          <w:u w:val="single"/>
        </w:rPr>
        <w:t xml:space="preserve"> </w:t>
      </w:r>
      <w:r w:rsidR="00EA6D25">
        <w:rPr>
          <w:b/>
          <w:sz w:val="24"/>
          <w:szCs w:val="24"/>
          <w:u w:val="single"/>
        </w:rPr>
        <w:t>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</w:t>
      </w:r>
      <w:r w:rsidR="00DF76F9">
        <w:rPr>
          <w:b/>
          <w:sz w:val="24"/>
          <w:szCs w:val="24"/>
          <w:u w:val="single"/>
        </w:rPr>
        <w:t>Working Group members</w:t>
      </w:r>
      <w:r w:rsidR="00B27284">
        <w:rPr>
          <w:b/>
          <w:sz w:val="24"/>
          <w:szCs w:val="24"/>
          <w:u w:val="single"/>
        </w:rPr>
        <w:t xml:space="preserve"> </w:t>
      </w:r>
      <w:r w:rsidR="002675D5" w:rsidRPr="002675D5">
        <w:rPr>
          <w:b/>
          <w:sz w:val="24"/>
          <w:szCs w:val="24"/>
          <w:u w:val="single"/>
        </w:rPr>
        <w:t xml:space="preserve">to be </w:t>
      </w:r>
      <w:r w:rsidR="00B27284">
        <w:rPr>
          <w:b/>
          <w:sz w:val="24"/>
          <w:szCs w:val="24"/>
          <w:u w:val="single"/>
        </w:rPr>
        <w:t xml:space="preserve">appointed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F22E73">
        <w:rPr>
          <w:b/>
          <w:sz w:val="24"/>
          <w:szCs w:val="24"/>
          <w:u w:val="single"/>
        </w:rPr>
        <w:t>4</w:t>
      </w:r>
      <w:r w:rsidR="00D26FC5">
        <w:rPr>
          <w:b/>
          <w:sz w:val="24"/>
          <w:szCs w:val="24"/>
          <w:u w:val="single"/>
        </w:rPr>
        <w:t>5</w:t>
      </w:r>
      <w:r w:rsidR="009110F8">
        <w:rPr>
          <w:b/>
          <w:sz w:val="24"/>
          <w:szCs w:val="24"/>
          <w:u w:val="single"/>
        </w:rPr>
        <w:t>th</w:t>
      </w:r>
      <w:r w:rsidR="004F6E1B">
        <w:rPr>
          <w:b/>
          <w:sz w:val="24"/>
          <w:szCs w:val="24"/>
          <w:u w:val="single"/>
        </w:rPr>
        <w:t xml:space="preserve"> </w:t>
      </w:r>
      <w:r w:rsidR="00DD2471">
        <w:rPr>
          <w:b/>
          <w:sz w:val="24"/>
          <w:szCs w:val="24"/>
          <w:u w:val="single"/>
        </w:rPr>
        <w:t>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A131DC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The Secretariat of the Human Rights Council presents its compliments to all Permanent Missions to the United Nations Office at Geneva, international organizations or their offices, national institutions, non-</w:t>
      </w:r>
      <w:bookmarkStart w:id="0" w:name="_GoBack"/>
      <w:bookmarkEnd w:id="0"/>
      <w:r w:rsidRPr="0084317C">
        <w:rPr>
          <w:sz w:val="24"/>
          <w:szCs w:val="24"/>
        </w:rPr>
        <w:t xml:space="preserve">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3B3C5A">
        <w:rPr>
          <w:sz w:val="24"/>
          <w:szCs w:val="24"/>
        </w:rPr>
        <w:t xml:space="preserve">, further to its note verbale dated </w:t>
      </w:r>
      <w:r w:rsidR="00D26FC5">
        <w:rPr>
          <w:sz w:val="24"/>
          <w:szCs w:val="24"/>
        </w:rPr>
        <w:t xml:space="preserve">22 June </w:t>
      </w:r>
      <w:r w:rsidR="00B55591">
        <w:rPr>
          <w:sz w:val="24"/>
          <w:szCs w:val="24"/>
        </w:rPr>
        <w:t>2020</w:t>
      </w:r>
      <w:r w:rsidR="003B3C5A">
        <w:rPr>
          <w:sz w:val="24"/>
          <w:szCs w:val="24"/>
        </w:rPr>
        <w:t xml:space="preserve">, </w:t>
      </w:r>
      <w:r w:rsidR="00E1451D" w:rsidRPr="008C6282">
        <w:rPr>
          <w:b/>
          <w:sz w:val="24"/>
          <w:szCs w:val="24"/>
          <w:u w:val="single"/>
        </w:rPr>
        <w:t xml:space="preserve">the </w:t>
      </w:r>
      <w:r w:rsidR="003B3C5A" w:rsidRPr="008C6282">
        <w:rPr>
          <w:b/>
          <w:sz w:val="24"/>
          <w:szCs w:val="24"/>
          <w:u w:val="single"/>
        </w:rPr>
        <w:t>deadline to apply</w:t>
      </w:r>
      <w:r w:rsidR="003B3C5A">
        <w:rPr>
          <w:sz w:val="24"/>
          <w:szCs w:val="24"/>
        </w:rPr>
        <w:t xml:space="preserve"> </w:t>
      </w:r>
      <w:r w:rsidR="00DF76F9">
        <w:rPr>
          <w:sz w:val="24"/>
          <w:szCs w:val="24"/>
        </w:rPr>
        <w:t xml:space="preserve">only </w:t>
      </w:r>
      <w:r w:rsidR="003B3C5A">
        <w:rPr>
          <w:sz w:val="24"/>
          <w:szCs w:val="24"/>
        </w:rPr>
        <w:t xml:space="preserve">for the </w:t>
      </w:r>
      <w:r w:rsidR="00E1451D" w:rsidRPr="00E1451D">
        <w:rPr>
          <w:sz w:val="24"/>
          <w:szCs w:val="24"/>
        </w:rPr>
        <w:t xml:space="preserve">following </w:t>
      </w:r>
      <w:r w:rsidR="00C72E15">
        <w:rPr>
          <w:sz w:val="24"/>
          <w:szCs w:val="24"/>
        </w:rPr>
        <w:t>two</w:t>
      </w:r>
      <w:r w:rsidR="003B3C5A">
        <w:rPr>
          <w:sz w:val="24"/>
          <w:szCs w:val="24"/>
        </w:rPr>
        <w:t xml:space="preserve"> </w:t>
      </w:r>
      <w:r w:rsidR="008C6282">
        <w:rPr>
          <w:sz w:val="24"/>
          <w:szCs w:val="24"/>
        </w:rPr>
        <w:t>post</w:t>
      </w:r>
      <w:r w:rsidR="00495695">
        <w:rPr>
          <w:sz w:val="24"/>
          <w:szCs w:val="24"/>
        </w:rPr>
        <w:t>s</w:t>
      </w:r>
      <w:r w:rsidR="008C6282">
        <w:rPr>
          <w:sz w:val="24"/>
          <w:szCs w:val="24"/>
        </w:rPr>
        <w:t xml:space="preserve"> of </w:t>
      </w:r>
      <w:r w:rsidR="00FF51A7">
        <w:rPr>
          <w:sz w:val="24"/>
          <w:szCs w:val="24"/>
        </w:rPr>
        <w:t>Working Group members</w:t>
      </w:r>
      <w:r w:rsidR="000512B1">
        <w:rPr>
          <w:sz w:val="24"/>
          <w:szCs w:val="24"/>
        </w:rPr>
        <w:t xml:space="preserve"> </w:t>
      </w:r>
      <w:r w:rsidR="003B3C5A" w:rsidRPr="008C6282">
        <w:rPr>
          <w:b/>
          <w:sz w:val="24"/>
          <w:szCs w:val="24"/>
          <w:u w:val="single"/>
        </w:rPr>
        <w:t xml:space="preserve">has been extended </w:t>
      </w:r>
      <w:r w:rsidR="003B3C5A" w:rsidRPr="00C72E15">
        <w:rPr>
          <w:b/>
          <w:sz w:val="24"/>
          <w:szCs w:val="24"/>
          <w:u w:val="single"/>
        </w:rPr>
        <w:t xml:space="preserve">to </w:t>
      </w:r>
      <w:r w:rsidR="00C72E15" w:rsidRPr="00C72E15">
        <w:rPr>
          <w:b/>
          <w:sz w:val="24"/>
          <w:szCs w:val="24"/>
          <w:u w:val="single"/>
        </w:rPr>
        <w:t>11</w:t>
      </w:r>
      <w:r w:rsidR="004F6E1B" w:rsidRPr="00C72E15">
        <w:rPr>
          <w:b/>
          <w:sz w:val="24"/>
          <w:szCs w:val="24"/>
          <w:u w:val="single"/>
        </w:rPr>
        <w:t xml:space="preserve"> </w:t>
      </w:r>
      <w:r w:rsidR="00D26FC5" w:rsidRPr="00C72E15">
        <w:rPr>
          <w:b/>
          <w:sz w:val="24"/>
          <w:szCs w:val="24"/>
          <w:u w:val="single"/>
        </w:rPr>
        <w:t xml:space="preserve">August </w:t>
      </w:r>
      <w:r w:rsidR="004F6E1B" w:rsidRPr="00C72E15">
        <w:rPr>
          <w:b/>
          <w:sz w:val="24"/>
          <w:szCs w:val="24"/>
          <w:u w:val="single"/>
        </w:rPr>
        <w:t xml:space="preserve">2020 </w:t>
      </w:r>
      <w:r w:rsidR="00F50E70">
        <w:rPr>
          <w:b/>
          <w:sz w:val="24"/>
          <w:szCs w:val="24"/>
          <w:u w:val="single"/>
        </w:rPr>
        <w:t>(</w:t>
      </w:r>
      <w:r w:rsidR="00F22E73">
        <w:rPr>
          <w:b/>
          <w:sz w:val="24"/>
          <w:szCs w:val="24"/>
          <w:u w:val="single"/>
        </w:rPr>
        <w:t>1</w:t>
      </w:r>
      <w:r w:rsidR="003B3C5A" w:rsidRPr="008C6282">
        <w:rPr>
          <w:b/>
          <w:sz w:val="24"/>
          <w:szCs w:val="24"/>
          <w:u w:val="single"/>
        </w:rPr>
        <w:t>2 noon Greenwich Mean Time / GMT)</w:t>
      </w:r>
      <w:r w:rsidR="00307392" w:rsidRPr="0084317C">
        <w:rPr>
          <w:sz w:val="24"/>
          <w:szCs w:val="24"/>
        </w:rPr>
        <w:t>:</w:t>
      </w:r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D26FC5" w:rsidRPr="00A64227" w:rsidRDefault="00D26FC5" w:rsidP="00D26FC5">
      <w:pPr>
        <w:numPr>
          <w:ilvl w:val="0"/>
          <w:numId w:val="36"/>
        </w:numPr>
        <w:spacing w:after="120"/>
        <w:ind w:left="576" w:hanging="288"/>
        <w:jc w:val="both"/>
        <w:rPr>
          <w:b/>
          <w:sz w:val="24"/>
          <w:szCs w:val="24"/>
        </w:rPr>
      </w:pPr>
      <w:r w:rsidRPr="00A64227">
        <w:rPr>
          <w:rFonts w:eastAsia="MS Mincho"/>
          <w:b/>
          <w:color w:val="000000"/>
          <w:sz w:val="24"/>
          <w:szCs w:val="24"/>
          <w:lang w:eastAsia="ja-JP"/>
        </w:rPr>
        <w:t>Working Group on Enforced or Involuntary Disappearances, member from African States</w:t>
      </w:r>
      <w:r w:rsidRPr="00A64227">
        <w:rPr>
          <w:rFonts w:eastAsia="MS Mincho"/>
          <w:color w:val="000000"/>
          <w:sz w:val="24"/>
          <w:szCs w:val="24"/>
          <w:lang w:eastAsia="ja-JP"/>
        </w:rPr>
        <w:t xml:space="preserve"> (</w:t>
      </w:r>
      <w:hyperlink r:id="rId11" w:history="1">
        <w:r w:rsidRPr="00A64227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HRC resolution 36/6</w:t>
        </w:r>
      </w:hyperlink>
      <w:r w:rsidRPr="00A64227">
        <w:rPr>
          <w:rFonts w:eastAsia="MS Mincho"/>
          <w:color w:val="000000"/>
          <w:sz w:val="24"/>
          <w:szCs w:val="24"/>
          <w:lang w:eastAsia="ja-JP"/>
        </w:rPr>
        <w:t>)</w:t>
      </w:r>
      <w:r w:rsidR="003D0614" w:rsidRPr="00A64227">
        <w:rPr>
          <w:rFonts w:eastAsia="Calibri"/>
          <w:sz w:val="24"/>
          <w:szCs w:val="24"/>
          <w:vertAlign w:val="superscript"/>
          <w:lang w:val="fr-CH"/>
        </w:rPr>
        <w:footnoteReference w:id="1"/>
      </w:r>
    </w:p>
    <w:p w:rsidR="00D26FC5" w:rsidRPr="00A64227" w:rsidRDefault="00D26FC5" w:rsidP="00D26FC5">
      <w:pPr>
        <w:numPr>
          <w:ilvl w:val="0"/>
          <w:numId w:val="36"/>
        </w:numPr>
        <w:spacing w:after="120"/>
        <w:ind w:left="576" w:hanging="288"/>
        <w:jc w:val="both"/>
        <w:rPr>
          <w:b/>
          <w:sz w:val="24"/>
          <w:szCs w:val="24"/>
        </w:rPr>
      </w:pPr>
      <w:r w:rsidRPr="00A64227">
        <w:rPr>
          <w:rFonts w:eastAsia="MS Mincho"/>
          <w:b/>
          <w:color w:val="000000"/>
          <w:sz w:val="24"/>
          <w:szCs w:val="24"/>
          <w:lang w:eastAsia="ja-JP"/>
        </w:rPr>
        <w:t xml:space="preserve">Working Group on the use of </w:t>
      </w:r>
      <w:r w:rsidRPr="00A64227">
        <w:rPr>
          <w:rFonts w:eastAsia="MS Mincho"/>
          <w:b/>
          <w:bCs/>
          <w:color w:val="000000"/>
          <w:sz w:val="24"/>
          <w:szCs w:val="24"/>
          <w:lang w:eastAsia="ja-JP"/>
        </w:rPr>
        <w:t>mercenaries</w:t>
      </w:r>
      <w:r w:rsidRPr="00A64227">
        <w:rPr>
          <w:rFonts w:eastAsia="MS Mincho"/>
          <w:b/>
          <w:color w:val="000000"/>
          <w:sz w:val="24"/>
          <w:szCs w:val="24"/>
          <w:lang w:eastAsia="ja-JP"/>
        </w:rPr>
        <w:t xml:space="preserve"> as a means of violating human rights and impeding the exercise of the right of peoples to self-determination, member from Asia-Pacific States</w:t>
      </w:r>
      <w:r w:rsidRPr="00A64227">
        <w:rPr>
          <w:rFonts w:eastAsia="MS Mincho"/>
          <w:color w:val="000000"/>
          <w:sz w:val="24"/>
          <w:szCs w:val="24"/>
          <w:lang w:eastAsia="ja-JP"/>
        </w:rPr>
        <w:t xml:space="preserve"> (</w:t>
      </w:r>
      <w:hyperlink r:id="rId12" w:history="1">
        <w:r w:rsidRPr="00A64227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HRC resolution 42/9</w:t>
        </w:r>
      </w:hyperlink>
      <w:r w:rsidRPr="00A64227">
        <w:rPr>
          <w:rFonts w:eastAsia="MS Mincho"/>
          <w:color w:val="000000"/>
          <w:sz w:val="24"/>
          <w:szCs w:val="24"/>
          <w:lang w:eastAsia="ja-JP"/>
        </w:rPr>
        <w:t>)</w:t>
      </w:r>
    </w:p>
    <w:p w:rsidR="00D97933" w:rsidRPr="0002638F" w:rsidRDefault="00D97933" w:rsidP="0023008B">
      <w:pPr>
        <w:jc w:val="both"/>
        <w:rPr>
          <w:sz w:val="24"/>
          <w:szCs w:val="24"/>
        </w:rPr>
      </w:pPr>
    </w:p>
    <w:p w:rsidR="00A131DC" w:rsidRDefault="00BA69B9" w:rsidP="00A131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="00C77F58"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13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  <w:r w:rsidR="00A131DC">
        <w:rPr>
          <w:sz w:val="24"/>
          <w:szCs w:val="24"/>
        </w:rPr>
        <w:t>.</w:t>
      </w:r>
    </w:p>
    <w:p w:rsidR="00A131DC" w:rsidRDefault="00A131DC" w:rsidP="00A131DC">
      <w:pPr>
        <w:ind w:firstLine="851"/>
        <w:jc w:val="both"/>
        <w:rPr>
          <w:sz w:val="24"/>
          <w:szCs w:val="24"/>
        </w:rPr>
      </w:pPr>
    </w:p>
    <w:p w:rsidR="004C6638" w:rsidRPr="0084317C" w:rsidRDefault="004C6638" w:rsidP="00D26FC5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4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Default="00D26FC5" w:rsidP="00D26FC5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4F6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July </w:t>
      </w:r>
      <w:r w:rsidR="004F6E1B">
        <w:rPr>
          <w:sz w:val="24"/>
          <w:szCs w:val="24"/>
        </w:rPr>
        <w:t>2020</w:t>
      </w:r>
    </w:p>
    <w:p w:rsidR="00C66330" w:rsidRDefault="00C66330" w:rsidP="005B6E28">
      <w:pPr>
        <w:spacing w:line="720" w:lineRule="auto"/>
        <w:ind w:firstLine="851"/>
        <w:jc w:val="right"/>
        <w:rPr>
          <w:sz w:val="24"/>
          <w:szCs w:val="24"/>
        </w:rPr>
      </w:pPr>
    </w:p>
    <w:sectPr w:rsidR="00C66330" w:rsidSect="00B35C49">
      <w:headerReference w:type="default" r:id="rId15"/>
      <w:footerReference w:type="default" r:id="rId16"/>
      <w:headerReference w:type="first" r:id="rId17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  <w:footnote w:id="1">
    <w:p w:rsidR="003D0614" w:rsidRPr="005A07CB" w:rsidRDefault="003D0614" w:rsidP="003D0614">
      <w:pPr>
        <w:pStyle w:val="FootnoteText"/>
        <w:jc w:val="both"/>
        <w:rPr>
          <w:sz w:val="22"/>
          <w:szCs w:val="22"/>
        </w:rPr>
      </w:pPr>
      <w:r w:rsidRPr="005A07CB">
        <w:rPr>
          <w:rStyle w:val="FootnoteReference"/>
          <w:sz w:val="22"/>
          <w:szCs w:val="22"/>
        </w:rPr>
        <w:footnoteRef/>
      </w:r>
      <w:r w:rsidRPr="005A07CB">
        <w:rPr>
          <w:sz w:val="22"/>
          <w:szCs w:val="22"/>
        </w:rPr>
        <w:t xml:space="preserve"> The appointment of th</w:t>
      </w:r>
      <w:r>
        <w:rPr>
          <w:sz w:val="22"/>
          <w:szCs w:val="22"/>
        </w:rPr>
        <w:t>is</w:t>
      </w:r>
      <w:r w:rsidRPr="005A07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special procedure </w:t>
      </w:r>
      <w:r w:rsidRPr="005A07CB">
        <w:rPr>
          <w:sz w:val="22"/>
          <w:szCs w:val="22"/>
        </w:rPr>
        <w:t xml:space="preserve">mandate holder will be made provided the mandate </w:t>
      </w:r>
      <w:r>
        <w:rPr>
          <w:sz w:val="22"/>
          <w:szCs w:val="22"/>
        </w:rPr>
        <w:t>itself is</w:t>
      </w:r>
      <w:r w:rsidRPr="005A07C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5A07CB">
        <w:rPr>
          <w:sz w:val="22"/>
          <w:szCs w:val="22"/>
        </w:rPr>
        <w:t xml:space="preserve">xtended by the Human Rights Council.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C72E15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D26FC5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D26FC5">
      <w:rPr>
        <w:sz w:val="14"/>
        <w:szCs w:val="14"/>
        <w:lang w:val="fr-CH"/>
      </w:rPr>
      <w:t>www.ohchr.org • FAX:  +41 22 917 90</w:t>
    </w:r>
    <w:r w:rsidR="00B94F6B" w:rsidRPr="00D26FC5">
      <w:rPr>
        <w:sz w:val="14"/>
        <w:szCs w:val="14"/>
        <w:lang w:val="fr-CH"/>
      </w:rPr>
      <w:t>08</w:t>
    </w:r>
    <w:r w:rsidRPr="00D26FC5">
      <w:rPr>
        <w:sz w:val="14"/>
        <w:szCs w:val="14"/>
        <w:lang w:val="fr-CH"/>
      </w:rPr>
      <w:t xml:space="preserve"> • E-MAIL:  hrc</w:t>
    </w:r>
    <w:r w:rsidR="00A209BE" w:rsidRPr="00D26FC5">
      <w:rPr>
        <w:sz w:val="14"/>
        <w:szCs w:val="14"/>
        <w:lang w:val="fr-CH"/>
      </w:rPr>
      <w:t>specialprocedures</w:t>
    </w:r>
    <w:r w:rsidRPr="00D26FC5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772BD4"/>
    <w:multiLevelType w:val="hybridMultilevel"/>
    <w:tmpl w:val="C45C92F0"/>
    <w:lvl w:ilvl="0" w:tplc="781C2C4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11"/>
  </w:num>
  <w:num w:numId="5">
    <w:abstractNumId w:val="26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1"/>
  </w:num>
  <w:num w:numId="13">
    <w:abstractNumId w:val="34"/>
  </w:num>
  <w:num w:numId="14">
    <w:abstractNumId w:val="22"/>
  </w:num>
  <w:num w:numId="15">
    <w:abstractNumId w:val="7"/>
  </w:num>
  <w:num w:numId="16">
    <w:abstractNumId w:val="0"/>
  </w:num>
  <w:num w:numId="17">
    <w:abstractNumId w:val="28"/>
  </w:num>
  <w:num w:numId="18">
    <w:abstractNumId w:val="9"/>
  </w:num>
  <w:num w:numId="19">
    <w:abstractNumId w:val="21"/>
  </w:num>
  <w:num w:numId="20">
    <w:abstractNumId w:val="5"/>
  </w:num>
  <w:num w:numId="21">
    <w:abstractNumId w:val="27"/>
  </w:num>
  <w:num w:numId="22">
    <w:abstractNumId w:val="24"/>
  </w:num>
  <w:num w:numId="23">
    <w:abstractNumId w:val="6"/>
  </w:num>
  <w:num w:numId="24">
    <w:abstractNumId w:val="12"/>
  </w:num>
  <w:num w:numId="25">
    <w:abstractNumId w:val="30"/>
  </w:num>
  <w:num w:numId="26">
    <w:abstractNumId w:val="19"/>
  </w:num>
  <w:num w:numId="27">
    <w:abstractNumId w:val="14"/>
  </w:num>
  <w:num w:numId="28">
    <w:abstractNumId w:val="33"/>
  </w:num>
  <w:num w:numId="29">
    <w:abstractNumId w:val="32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6C3C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13A3"/>
    <w:rsid w:val="00335FB9"/>
    <w:rsid w:val="00346EB6"/>
    <w:rsid w:val="00356299"/>
    <w:rsid w:val="00396E4C"/>
    <w:rsid w:val="003A3957"/>
    <w:rsid w:val="003A3E25"/>
    <w:rsid w:val="003B3C5A"/>
    <w:rsid w:val="003C37C3"/>
    <w:rsid w:val="003C4370"/>
    <w:rsid w:val="003D0614"/>
    <w:rsid w:val="003D3D66"/>
    <w:rsid w:val="003E3AE8"/>
    <w:rsid w:val="003E7638"/>
    <w:rsid w:val="003F2AC1"/>
    <w:rsid w:val="003F5B39"/>
    <w:rsid w:val="003F697D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95695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6E1B"/>
    <w:rsid w:val="004F73C3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78D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2BA1"/>
    <w:rsid w:val="00645695"/>
    <w:rsid w:val="006605E5"/>
    <w:rsid w:val="006617A4"/>
    <w:rsid w:val="006617F7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C6EC7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C6282"/>
    <w:rsid w:val="008E46C1"/>
    <w:rsid w:val="008F72A1"/>
    <w:rsid w:val="009110F8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31DC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2815"/>
    <w:rsid w:val="00A63977"/>
    <w:rsid w:val="00A86B19"/>
    <w:rsid w:val="00A95960"/>
    <w:rsid w:val="00A96E5E"/>
    <w:rsid w:val="00AA17D9"/>
    <w:rsid w:val="00AC3341"/>
    <w:rsid w:val="00AC50E4"/>
    <w:rsid w:val="00AC584C"/>
    <w:rsid w:val="00AC68C5"/>
    <w:rsid w:val="00AC7BE4"/>
    <w:rsid w:val="00AD4CA9"/>
    <w:rsid w:val="00AD62C5"/>
    <w:rsid w:val="00AE307F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55591"/>
    <w:rsid w:val="00B657C5"/>
    <w:rsid w:val="00B7425B"/>
    <w:rsid w:val="00B830CF"/>
    <w:rsid w:val="00B84F46"/>
    <w:rsid w:val="00B8548D"/>
    <w:rsid w:val="00B94F6B"/>
    <w:rsid w:val="00BA597F"/>
    <w:rsid w:val="00BA69B9"/>
    <w:rsid w:val="00BA7D43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66330"/>
    <w:rsid w:val="00C72045"/>
    <w:rsid w:val="00C72310"/>
    <w:rsid w:val="00C72E15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26FC5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415"/>
    <w:rsid w:val="00DA4D39"/>
    <w:rsid w:val="00DA52A3"/>
    <w:rsid w:val="00DB3CB2"/>
    <w:rsid w:val="00DB5616"/>
    <w:rsid w:val="00DD2471"/>
    <w:rsid w:val="00DD4909"/>
    <w:rsid w:val="00DD4B43"/>
    <w:rsid w:val="00DD5EB3"/>
    <w:rsid w:val="00DF76F9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17A4A"/>
    <w:rsid w:val="00F22CF6"/>
    <w:rsid w:val="00F22E73"/>
    <w:rsid w:val="00F2678A"/>
    <w:rsid w:val="00F26DC9"/>
    <w:rsid w:val="00F33FC2"/>
    <w:rsid w:val="00F44F23"/>
    <w:rsid w:val="00F46337"/>
    <w:rsid w:val="00F47B64"/>
    <w:rsid w:val="00F47F0B"/>
    <w:rsid w:val="00F50E70"/>
    <w:rsid w:val="00F54784"/>
    <w:rsid w:val="00F611C6"/>
    <w:rsid w:val="00F80A14"/>
    <w:rsid w:val="00F80D28"/>
    <w:rsid w:val="00FB3668"/>
    <w:rsid w:val="00FB41B6"/>
    <w:rsid w:val="00FB4D1C"/>
    <w:rsid w:val="00FB63F7"/>
    <w:rsid w:val="00FB7826"/>
    <w:rsid w:val="00FC1DDB"/>
    <w:rsid w:val="00FE6E4C"/>
    <w:rsid w:val="00FF3CE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99B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3C5A"/>
    <w:rPr>
      <w:b/>
      <w:bCs/>
    </w:rPr>
  </w:style>
  <w:style w:type="paragraph" w:styleId="FootnoteText">
    <w:name w:val="footnote text"/>
    <w:basedOn w:val="Normal"/>
    <w:link w:val="FootnoteTextChar"/>
    <w:unhideWhenUsed/>
    <w:rsid w:val="00A62815"/>
  </w:style>
  <w:style w:type="character" w:customStyle="1" w:styleId="FootnoteTextChar">
    <w:name w:val="Footnote Text Char"/>
    <w:basedOn w:val="DefaultParagraphFont"/>
    <w:link w:val="FootnoteText"/>
    <w:rsid w:val="00A628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hchr.org/EN/HRBodies/SP/Pages/Nomination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n/A/HRC/RES/42/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n/A/HRC/RES/36/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cspecialprocedures@ohch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1ADC-BBF5-4E41-89C2-6DCC1A1A7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CFA77-2D2B-44D8-9DFE-AD3FF8F9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7E7FD-F1AF-4EA9-B81C-E20D51F0C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08103B-77E9-4A2D-A234-FC71D82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2020-07-30T07:52:00Z</dcterms:created>
  <dcterms:modified xsi:type="dcterms:W3CDTF">2020-07-30T13:54:00Z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