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89782" w14:textId="137FF812" w:rsidR="000153AE" w:rsidRPr="00237938" w:rsidRDefault="00D56050" w:rsidP="00801C6B">
      <w:pPr>
        <w:spacing w:before="120" w:after="120"/>
        <w:jc w:val="center"/>
        <w:rPr>
          <w:b/>
          <w:u w:val="single"/>
        </w:rPr>
      </w:pPr>
      <w:r w:rsidRPr="00C36CC3">
        <w:rPr>
          <w:b/>
          <w:u w:val="single"/>
        </w:rPr>
        <w:t xml:space="preserve">Joint NGO </w:t>
      </w:r>
      <w:r w:rsidR="00AB3603" w:rsidRPr="00C36CC3">
        <w:rPr>
          <w:b/>
          <w:u w:val="single"/>
        </w:rPr>
        <w:t xml:space="preserve">Statement on the occasion of the </w:t>
      </w:r>
      <w:r w:rsidR="00434A95" w:rsidRPr="00400D0C">
        <w:rPr>
          <w:b/>
          <w:u w:val="single"/>
        </w:rPr>
        <w:t>28</w:t>
      </w:r>
      <w:r w:rsidR="00434A95" w:rsidRPr="00400D0C">
        <w:rPr>
          <w:b/>
          <w:u w:val="single"/>
          <w:vertAlign w:val="superscript"/>
        </w:rPr>
        <w:t>TH</w:t>
      </w:r>
      <w:r w:rsidR="00434A95" w:rsidRPr="00400D0C">
        <w:rPr>
          <w:b/>
          <w:u w:val="single"/>
        </w:rPr>
        <w:t xml:space="preserve"> </w:t>
      </w:r>
      <w:r w:rsidR="00AB3603" w:rsidRPr="00400D0C">
        <w:rPr>
          <w:b/>
          <w:u w:val="single"/>
        </w:rPr>
        <w:t>meeting of Treaty Body Chair</w:t>
      </w:r>
      <w:r w:rsidR="00434A95" w:rsidRPr="00400D0C">
        <w:rPr>
          <w:b/>
          <w:u w:val="single"/>
        </w:rPr>
        <w:t xml:space="preserve">persons </w:t>
      </w:r>
      <w:r w:rsidR="00801C6B">
        <w:rPr>
          <w:b/>
          <w:u w:val="single"/>
        </w:rPr>
        <w:br/>
      </w:r>
      <w:r w:rsidR="00434A95" w:rsidRPr="00400D0C">
        <w:rPr>
          <w:b/>
          <w:u w:val="single"/>
        </w:rPr>
        <w:t>30 May-3 June 2016, New York</w:t>
      </w:r>
    </w:p>
    <w:p w14:paraId="59C92FFD" w14:textId="77777777" w:rsidR="007A5D54" w:rsidRPr="00C36CC3" w:rsidRDefault="007A5D54" w:rsidP="00D6423A">
      <w:pPr>
        <w:spacing w:before="120" w:after="120"/>
        <w:jc w:val="both"/>
        <w:rPr>
          <w:b/>
          <w:u w:val="single"/>
        </w:rPr>
      </w:pPr>
    </w:p>
    <w:p w14:paraId="1642EDFB" w14:textId="65EB7446" w:rsidR="00D56050" w:rsidRPr="00C36CC3" w:rsidRDefault="00D56050" w:rsidP="00801C6B">
      <w:pPr>
        <w:jc w:val="both"/>
      </w:pPr>
      <w:r w:rsidRPr="00C36CC3">
        <w:t>This statement has been prepared by</w:t>
      </w:r>
      <w:r w:rsidR="000C3DC7">
        <w:t xml:space="preserve"> the</w:t>
      </w:r>
      <w:r w:rsidRPr="00C36CC3">
        <w:t xml:space="preserve"> </w:t>
      </w:r>
      <w:r w:rsidR="00801C6B">
        <w:t>following</w:t>
      </w:r>
      <w:r w:rsidRPr="00C36CC3">
        <w:t xml:space="preserve"> NGOs</w:t>
      </w:r>
      <w:r w:rsidR="00801C6B">
        <w:t xml:space="preserve"> </w:t>
      </w:r>
      <w:r w:rsidRPr="00C36CC3">
        <w:t xml:space="preserve">that regularly contribute to the work of the </w:t>
      </w:r>
      <w:r w:rsidR="000070BC">
        <w:t>T</w:t>
      </w:r>
      <w:r w:rsidRPr="00C36CC3">
        <w:t xml:space="preserve">reaty </w:t>
      </w:r>
      <w:r w:rsidR="000070BC">
        <w:t>B</w:t>
      </w:r>
      <w:r w:rsidR="000070BC" w:rsidRPr="00C36CC3">
        <w:t>odies</w:t>
      </w:r>
      <w:r w:rsidRPr="00C36CC3">
        <w:t xml:space="preserve">, many of whom also followed and contributed to discussions around the reform and strengthening of the </w:t>
      </w:r>
      <w:r w:rsidR="000070BC">
        <w:t>T</w:t>
      </w:r>
      <w:r w:rsidRPr="00C36CC3">
        <w:t xml:space="preserve">reaty </w:t>
      </w:r>
      <w:r w:rsidR="000070BC">
        <w:t>B</w:t>
      </w:r>
      <w:r w:rsidR="000070BC" w:rsidRPr="00C36CC3">
        <w:t xml:space="preserve">ody </w:t>
      </w:r>
      <w:r w:rsidR="00801C6B">
        <w:t xml:space="preserve">system: Amnesty International, The Centre for Civil and Political Rights, </w:t>
      </w:r>
      <w:r w:rsidR="00801C6B" w:rsidRPr="00801C6B">
        <w:t>The Centre for Reproductive Rights</w:t>
      </w:r>
      <w:r w:rsidR="00801C6B">
        <w:t xml:space="preserve">, </w:t>
      </w:r>
      <w:r w:rsidR="00D12BB4" w:rsidRPr="00D12BB4">
        <w:t>CIVICUS: World Alliance for Citizen Participation</w:t>
      </w:r>
      <w:r w:rsidR="00D12BB4">
        <w:t xml:space="preserve">; </w:t>
      </w:r>
      <w:bookmarkStart w:id="0" w:name="_GoBack"/>
      <w:bookmarkEnd w:id="0"/>
      <w:r w:rsidR="00801C6B">
        <w:t xml:space="preserve">The </w:t>
      </w:r>
      <w:r w:rsidR="00801C6B" w:rsidRPr="00801C6B">
        <w:t>International Disability Alliance</w:t>
      </w:r>
      <w:r w:rsidR="00801C6B">
        <w:t>, The International Rehabilitation Council for Torture Victims</w:t>
      </w:r>
      <w:r w:rsidR="00801C6B" w:rsidRPr="00801C6B">
        <w:t xml:space="preserve"> </w:t>
      </w:r>
      <w:r w:rsidR="00801C6B">
        <w:t>and The International Service for Human Rights.</w:t>
      </w:r>
      <w:r w:rsidR="00801C6B" w:rsidRPr="00801C6B">
        <w:t> </w:t>
      </w:r>
      <w:r w:rsidRPr="00C36CC3">
        <w:t xml:space="preserve"> </w:t>
      </w:r>
    </w:p>
    <w:p w14:paraId="20B06D55" w14:textId="77777777" w:rsidR="00D56050" w:rsidRPr="00C36CC3" w:rsidRDefault="00D56050" w:rsidP="00D6423A">
      <w:pPr>
        <w:jc w:val="both"/>
      </w:pPr>
    </w:p>
    <w:p w14:paraId="2B5F23BB" w14:textId="77777777" w:rsidR="00D56050" w:rsidRPr="00C36CC3" w:rsidRDefault="00D56050" w:rsidP="00D6423A">
      <w:pPr>
        <w:jc w:val="both"/>
      </w:pPr>
      <w:r w:rsidRPr="00C36CC3">
        <w:t>We take this opportunity of the 28</w:t>
      </w:r>
      <w:r w:rsidRPr="00C36CC3">
        <w:rPr>
          <w:vertAlign w:val="superscript"/>
        </w:rPr>
        <w:t>th</w:t>
      </w:r>
      <w:r w:rsidRPr="00C36CC3">
        <w:t xml:space="preserve"> Chairpersons’ Meeting to highlight the following priority areas for the consideration of the Treaty Body Chairpersons (the Chairs) as critical elements of the implementation of General Assembly resolution 68/268 and the continuing process of strengthening the Treaty Body system. </w:t>
      </w:r>
    </w:p>
    <w:p w14:paraId="7BEA8C34" w14:textId="77777777" w:rsidR="00E94D23" w:rsidRPr="00C36CC3" w:rsidRDefault="00E94D23">
      <w:pPr>
        <w:spacing w:before="120" w:after="120"/>
        <w:jc w:val="both"/>
        <w:rPr>
          <w:b/>
          <w:i/>
          <w:color w:val="5B9BD5" w:themeColor="accent1"/>
          <w:u w:val="single"/>
        </w:rPr>
      </w:pPr>
    </w:p>
    <w:p w14:paraId="7011ADD5" w14:textId="77777777" w:rsidR="007A5D54" w:rsidRPr="00237938" w:rsidRDefault="007A5D54">
      <w:pPr>
        <w:spacing w:before="120" w:after="120"/>
        <w:jc w:val="both"/>
        <w:rPr>
          <w:b/>
          <w:i/>
          <w:color w:val="5B9BD5" w:themeColor="accent1"/>
          <w:u w:val="single"/>
        </w:rPr>
      </w:pPr>
      <w:r w:rsidRPr="00237938">
        <w:rPr>
          <w:b/>
          <w:i/>
          <w:color w:val="5B9BD5" w:themeColor="accent1"/>
          <w:u w:val="single"/>
        </w:rPr>
        <w:t xml:space="preserve">Agenda item 4: Reporting compliance by States parties to the </w:t>
      </w:r>
      <w:r w:rsidR="00A13A5A" w:rsidRPr="00237938">
        <w:rPr>
          <w:b/>
          <w:i/>
          <w:color w:val="5B9BD5" w:themeColor="accent1"/>
          <w:u w:val="single"/>
        </w:rPr>
        <w:t>Treaty Bodies</w:t>
      </w:r>
      <w:r w:rsidRPr="00237938">
        <w:rPr>
          <w:b/>
          <w:i/>
          <w:color w:val="5B9BD5" w:themeColor="accent1"/>
          <w:u w:val="single"/>
        </w:rPr>
        <w:t>.</w:t>
      </w:r>
    </w:p>
    <w:p w14:paraId="7146C9D3" w14:textId="77777777" w:rsidR="002623F8" w:rsidRPr="00237938" w:rsidRDefault="002623F8">
      <w:pPr>
        <w:spacing w:before="120" w:after="120"/>
        <w:jc w:val="both"/>
        <w:rPr>
          <w:b/>
          <w:i/>
        </w:rPr>
      </w:pPr>
    </w:p>
    <w:p w14:paraId="43B990D3" w14:textId="77777777" w:rsidR="00BB29FF" w:rsidRPr="00237938" w:rsidRDefault="00BB29FF">
      <w:pPr>
        <w:spacing w:before="120" w:after="120"/>
        <w:jc w:val="both"/>
        <w:rPr>
          <w:b/>
          <w:i/>
        </w:rPr>
      </w:pPr>
      <w:r w:rsidRPr="00237938">
        <w:rPr>
          <w:b/>
          <w:i/>
        </w:rPr>
        <w:t>Positive developments</w:t>
      </w:r>
    </w:p>
    <w:p w14:paraId="40F5BB28" w14:textId="77777777" w:rsidR="00E94D23" w:rsidRPr="00C36CC3" w:rsidRDefault="00B51DB7">
      <w:pPr>
        <w:spacing w:before="120" w:after="120"/>
        <w:jc w:val="both"/>
      </w:pPr>
      <w:r w:rsidRPr="00237938">
        <w:t xml:space="preserve">The yearly comprehensive note by the Secretariat </w:t>
      </w:r>
      <w:r w:rsidR="00F46C41" w:rsidRPr="00237938">
        <w:t>on the status of reporting by States parties (HRI/MC/2016/2)</w:t>
      </w:r>
      <w:r w:rsidR="00DE4062" w:rsidRPr="00237938">
        <w:t xml:space="preserve"> provides very v</w:t>
      </w:r>
      <w:r w:rsidR="004F7A52" w:rsidRPr="00237938">
        <w:t xml:space="preserve">aluable information and statistics on late and non-reporting states, as well as states with good track records in reporting to </w:t>
      </w:r>
      <w:r w:rsidR="00A13A5A" w:rsidRPr="00C36CC3">
        <w:t>the Treaty Bodies</w:t>
      </w:r>
      <w:r w:rsidR="004F7A52" w:rsidRPr="00C36CC3">
        <w:t xml:space="preserve">. </w:t>
      </w:r>
    </w:p>
    <w:p w14:paraId="2E19B277" w14:textId="77777777" w:rsidR="00C75FA0" w:rsidRPr="00C36CC3" w:rsidRDefault="00C75FA0">
      <w:pPr>
        <w:spacing w:before="120" w:after="120"/>
        <w:jc w:val="both"/>
      </w:pPr>
    </w:p>
    <w:p w14:paraId="2AE05D44" w14:textId="77777777" w:rsidR="00697342" w:rsidRDefault="00697342">
      <w:pPr>
        <w:spacing w:before="120" w:after="120"/>
        <w:jc w:val="both"/>
        <w:rPr>
          <w:b/>
        </w:rPr>
      </w:pPr>
      <w:r w:rsidRPr="00C36CC3">
        <w:rPr>
          <w:b/>
        </w:rPr>
        <w:t>Key recommendations:</w:t>
      </w:r>
    </w:p>
    <w:p w14:paraId="7C66D1F7" w14:textId="77777777" w:rsidR="00F1599C" w:rsidRPr="00C36CC3" w:rsidRDefault="00F1599C">
      <w:pPr>
        <w:spacing w:before="120" w:after="120"/>
        <w:jc w:val="both"/>
        <w:rPr>
          <w:b/>
        </w:rPr>
      </w:pPr>
      <w:r>
        <w:t xml:space="preserve">In order to break the status quo where </w:t>
      </w:r>
      <w:r w:rsidRPr="00C36CC3">
        <w:t>Treaty Bod</w:t>
      </w:r>
      <w:r>
        <w:t xml:space="preserve">y reviews are hindered by State Parties’ failure to report, or report in a timely fashion: </w:t>
      </w:r>
    </w:p>
    <w:p w14:paraId="0F91EFE3" w14:textId="77777777" w:rsidR="0092045F" w:rsidRDefault="00CF744B">
      <w:pPr>
        <w:pStyle w:val="ListParagraph"/>
        <w:numPr>
          <w:ilvl w:val="0"/>
          <w:numId w:val="3"/>
        </w:numPr>
        <w:spacing w:before="120" w:after="120"/>
        <w:jc w:val="both"/>
      </w:pPr>
      <w:r>
        <w:t>T</w:t>
      </w:r>
      <w:r w:rsidR="00E94D23" w:rsidRPr="00C36CC3">
        <w:t>he</w:t>
      </w:r>
      <w:r w:rsidR="000D2960" w:rsidRPr="00C36CC3">
        <w:t xml:space="preserve"> </w:t>
      </w:r>
      <w:r w:rsidR="003F7B6A" w:rsidRPr="00C36CC3">
        <w:t>Chairs</w:t>
      </w:r>
      <w:r w:rsidR="00E94D23" w:rsidRPr="00C36CC3">
        <w:t xml:space="preserve"> </w:t>
      </w:r>
      <w:r w:rsidR="000D2960" w:rsidRPr="00C36CC3">
        <w:t xml:space="preserve">should ask those </w:t>
      </w:r>
      <w:r w:rsidR="00E94D23" w:rsidRPr="00C36CC3">
        <w:t xml:space="preserve">Treaty Bodies </w:t>
      </w:r>
      <w:r w:rsidR="00D56050" w:rsidRPr="00C36CC3">
        <w:t>who</w:t>
      </w:r>
      <w:r w:rsidR="000D2960" w:rsidRPr="00C36CC3">
        <w:t xml:space="preserve"> do not have dedicated procedures to deal with late and non-reporting </w:t>
      </w:r>
      <w:r w:rsidR="00B32967">
        <w:t>S</w:t>
      </w:r>
      <w:r w:rsidR="000D2960" w:rsidRPr="00C36CC3">
        <w:t xml:space="preserve">tates to adopt </w:t>
      </w:r>
      <w:r w:rsidR="00D56050" w:rsidRPr="00C36CC3">
        <w:t xml:space="preserve">one, </w:t>
      </w:r>
      <w:r w:rsidR="000D2960" w:rsidRPr="00C36CC3">
        <w:t xml:space="preserve">in line with existing good practices </w:t>
      </w:r>
      <w:r w:rsidR="00E94D23" w:rsidRPr="00C36CC3">
        <w:t xml:space="preserve">by </w:t>
      </w:r>
      <w:r w:rsidR="000D2960" w:rsidRPr="00C36CC3">
        <w:t xml:space="preserve">other </w:t>
      </w:r>
      <w:r w:rsidR="00E94D23" w:rsidRPr="00C36CC3">
        <w:t>Treaty Bodies</w:t>
      </w:r>
      <w:r w:rsidR="0092045F">
        <w:t>;</w:t>
      </w:r>
    </w:p>
    <w:p w14:paraId="33C540EE" w14:textId="77777777" w:rsidR="000D2960" w:rsidRPr="00C36CC3" w:rsidRDefault="00CF744B">
      <w:pPr>
        <w:pStyle w:val="ListParagraph"/>
        <w:numPr>
          <w:ilvl w:val="0"/>
          <w:numId w:val="3"/>
        </w:numPr>
        <w:spacing w:before="120" w:after="120"/>
        <w:jc w:val="both"/>
      </w:pPr>
      <w:r>
        <w:t>T</w:t>
      </w:r>
      <w:r w:rsidR="003F7B6A" w:rsidRPr="00C36CC3">
        <w:t xml:space="preserve">he Chairs </w:t>
      </w:r>
      <w:r w:rsidR="000D2960" w:rsidRPr="00400D0C">
        <w:t xml:space="preserve">should encourage </w:t>
      </w:r>
      <w:r w:rsidR="00DD012F" w:rsidRPr="00400D0C">
        <w:t xml:space="preserve">those </w:t>
      </w:r>
      <w:r w:rsidR="00E94D23" w:rsidRPr="00400D0C">
        <w:t xml:space="preserve">Treaty Bodies </w:t>
      </w:r>
      <w:r w:rsidR="00D56050" w:rsidRPr="00400D0C">
        <w:t>who</w:t>
      </w:r>
      <w:r w:rsidR="000D2960" w:rsidRPr="00400D0C">
        <w:t xml:space="preserve"> do not </w:t>
      </w:r>
      <w:r w:rsidR="00DD012F" w:rsidRPr="00400D0C">
        <w:t xml:space="preserve">review States in </w:t>
      </w:r>
      <w:r w:rsidR="000C3DC7">
        <w:t xml:space="preserve">the </w:t>
      </w:r>
      <w:r w:rsidR="00DD012F" w:rsidRPr="00400D0C">
        <w:t>absence of a report to do so</w:t>
      </w:r>
      <w:r w:rsidR="000070BC">
        <w:t>, including long overdue initial reports</w:t>
      </w:r>
      <w:r w:rsidR="00E94D23" w:rsidRPr="00400D0C">
        <w:t>;</w:t>
      </w:r>
    </w:p>
    <w:p w14:paraId="3158AF52" w14:textId="77777777" w:rsidR="00D22C0D" w:rsidRPr="00237938" w:rsidRDefault="00CF744B">
      <w:pPr>
        <w:pStyle w:val="ListParagraph"/>
        <w:numPr>
          <w:ilvl w:val="0"/>
          <w:numId w:val="3"/>
        </w:numPr>
        <w:spacing w:before="120" w:after="120"/>
        <w:jc w:val="both"/>
      </w:pPr>
      <w:r>
        <w:t>T</w:t>
      </w:r>
      <w:r w:rsidR="003F7B6A" w:rsidRPr="00400D0C">
        <w:t xml:space="preserve">he Chairs </w:t>
      </w:r>
      <w:r w:rsidR="00D22C0D" w:rsidRPr="00400D0C">
        <w:t xml:space="preserve">should encourage </w:t>
      </w:r>
      <w:r w:rsidR="00E94D23" w:rsidRPr="00400D0C">
        <w:t>Treaty Bodies</w:t>
      </w:r>
      <w:r w:rsidR="00D22C0D" w:rsidRPr="00400D0C">
        <w:t xml:space="preserve"> to systematically request meetings with representatives of late and non-reporting States to convey their concerns</w:t>
      </w:r>
      <w:r w:rsidR="00E94D23" w:rsidRPr="00237938">
        <w:t>;</w:t>
      </w:r>
    </w:p>
    <w:p w14:paraId="324AB3DB" w14:textId="77777777" w:rsidR="00CF38BB" w:rsidRDefault="00CF744B">
      <w:pPr>
        <w:pStyle w:val="ListParagraph"/>
        <w:numPr>
          <w:ilvl w:val="0"/>
          <w:numId w:val="3"/>
        </w:numPr>
        <w:spacing w:before="120" w:after="120"/>
        <w:jc w:val="both"/>
      </w:pPr>
      <w:r>
        <w:t>T</w:t>
      </w:r>
      <w:r w:rsidR="00D56050" w:rsidRPr="00C36CC3">
        <w:t xml:space="preserve">he Chairs and OHCHR should seek wide dissemination of the </w:t>
      </w:r>
      <w:r w:rsidR="002D7848" w:rsidRPr="00C36CC3">
        <w:t>comprehensive and consolidated in</w:t>
      </w:r>
      <w:r w:rsidR="00D56050" w:rsidRPr="00C36CC3">
        <w:t xml:space="preserve">formation available in the note, </w:t>
      </w:r>
      <w:r w:rsidR="002D7848" w:rsidRPr="00C36CC3">
        <w:t>for instance to the UN General Assembly</w:t>
      </w:r>
      <w:r w:rsidR="00CF38BB">
        <w:t xml:space="preserve"> or through regular OHCHR mailings</w:t>
      </w:r>
      <w:r w:rsidR="00B32967">
        <w:t>;</w:t>
      </w:r>
    </w:p>
    <w:p w14:paraId="76E2B4F1" w14:textId="7AE69B3E" w:rsidR="00E94D23" w:rsidRPr="00C36CC3" w:rsidRDefault="00804FEE">
      <w:pPr>
        <w:pStyle w:val="ListParagraph"/>
        <w:numPr>
          <w:ilvl w:val="0"/>
          <w:numId w:val="3"/>
        </w:numPr>
        <w:spacing w:before="120" w:after="120"/>
        <w:jc w:val="both"/>
      </w:pPr>
      <w:r>
        <w:t>The Chairs should call for i</w:t>
      </w:r>
      <w:r w:rsidR="00CF38BB">
        <w:t xml:space="preserve">nformation on </w:t>
      </w:r>
      <w:r w:rsidR="00B32967">
        <w:t>reporting compliance</w:t>
      </w:r>
      <w:r w:rsidR="00CF38BB">
        <w:t xml:space="preserve"> of States candidates for Human Rights Council membership </w:t>
      </w:r>
      <w:r>
        <w:t>to</w:t>
      </w:r>
      <w:r w:rsidR="00CF38BB">
        <w:t xml:space="preserve"> be </w:t>
      </w:r>
      <w:r>
        <w:t xml:space="preserve">made publicly available and </w:t>
      </w:r>
      <w:r w:rsidR="00B32967">
        <w:t>considered at the time of the</w:t>
      </w:r>
      <w:r>
        <w:t xml:space="preserve"> elections</w:t>
      </w:r>
      <w:r w:rsidR="00B32967">
        <w:t>.</w:t>
      </w:r>
    </w:p>
    <w:p w14:paraId="72448054" w14:textId="77777777" w:rsidR="00434A95" w:rsidRPr="00400D0C" w:rsidRDefault="00434A95">
      <w:pPr>
        <w:spacing w:before="120" w:after="120"/>
        <w:jc w:val="both"/>
        <w:rPr>
          <w:rFonts w:eastAsia="SimSun"/>
          <w:lang w:val="en-US" w:eastAsia="zh-CN"/>
        </w:rPr>
      </w:pPr>
    </w:p>
    <w:p w14:paraId="48FBFD3E" w14:textId="2338845B" w:rsidR="00434A95" w:rsidRDefault="00434A95">
      <w:pPr>
        <w:spacing w:before="120" w:after="120"/>
        <w:jc w:val="both"/>
        <w:rPr>
          <w:b/>
          <w:i/>
          <w:color w:val="5B9BD5" w:themeColor="accent1"/>
          <w:u w:val="single"/>
        </w:rPr>
      </w:pPr>
      <w:r w:rsidRPr="00237938">
        <w:rPr>
          <w:rFonts w:eastAsia="SimSun"/>
          <w:b/>
          <w:i/>
          <w:color w:val="5B9BD5" w:themeColor="accent1"/>
          <w:u w:val="single"/>
          <w:lang w:val="en-US" w:eastAsia="zh-CN"/>
        </w:rPr>
        <w:t xml:space="preserve">Agenda Item 6: adoption and implementation by </w:t>
      </w:r>
      <w:r w:rsidR="001B08D5">
        <w:rPr>
          <w:rFonts w:eastAsia="SimSun"/>
          <w:b/>
          <w:i/>
          <w:color w:val="5B9BD5" w:themeColor="accent1"/>
          <w:u w:val="single"/>
          <w:lang w:val="en-US" w:eastAsia="zh-CN"/>
        </w:rPr>
        <w:t>T</w:t>
      </w:r>
      <w:r w:rsidRPr="00237938">
        <w:rPr>
          <w:rFonts w:eastAsia="SimSun"/>
          <w:b/>
          <w:i/>
          <w:color w:val="5B9BD5" w:themeColor="accent1"/>
          <w:u w:val="single"/>
          <w:lang w:val="en-US" w:eastAsia="zh-CN"/>
        </w:rPr>
        <w:t xml:space="preserve">reaty </w:t>
      </w:r>
      <w:r w:rsidR="001B08D5">
        <w:rPr>
          <w:rFonts w:eastAsia="SimSun"/>
          <w:b/>
          <w:i/>
          <w:color w:val="5B9BD5" w:themeColor="accent1"/>
          <w:u w:val="single"/>
          <w:lang w:val="en-US" w:eastAsia="zh-CN"/>
        </w:rPr>
        <w:t>B</w:t>
      </w:r>
      <w:r w:rsidRPr="00237938">
        <w:rPr>
          <w:rFonts w:eastAsia="SimSun"/>
          <w:b/>
          <w:i/>
          <w:color w:val="5B9BD5" w:themeColor="accent1"/>
          <w:u w:val="single"/>
          <w:lang w:val="en-US" w:eastAsia="zh-CN"/>
        </w:rPr>
        <w:t xml:space="preserve">odies of the Guidelines against Intimidation or Reprisals </w:t>
      </w:r>
      <w:r w:rsidRPr="00237938">
        <w:rPr>
          <w:b/>
          <w:i/>
          <w:color w:val="5B9BD5" w:themeColor="accent1"/>
          <w:u w:val="single"/>
        </w:rPr>
        <w:t>(“San José Guidelines”)</w:t>
      </w:r>
    </w:p>
    <w:p w14:paraId="062F0E91" w14:textId="77777777" w:rsidR="00536760" w:rsidRDefault="00536760">
      <w:pPr>
        <w:spacing w:before="120" w:after="120"/>
        <w:jc w:val="both"/>
        <w:rPr>
          <w:b/>
          <w:i/>
        </w:rPr>
      </w:pPr>
      <w:r w:rsidRPr="00ED6DAE">
        <w:rPr>
          <w:b/>
          <w:i/>
        </w:rPr>
        <w:t xml:space="preserve">Positive developments </w:t>
      </w:r>
    </w:p>
    <w:p w14:paraId="564E7863" w14:textId="77777777" w:rsidR="00536760" w:rsidRDefault="00536760" w:rsidP="00ED6DAE">
      <w:pPr>
        <w:jc w:val="both"/>
      </w:pPr>
      <w:r w:rsidRPr="007D5A67">
        <w:t xml:space="preserve">Addressing reprisals against persons engaging with the </w:t>
      </w:r>
      <w:r w:rsidR="00F1599C">
        <w:t>T</w:t>
      </w:r>
      <w:r w:rsidRPr="007D5A67">
        <w:t xml:space="preserve">reaty </w:t>
      </w:r>
      <w:r w:rsidR="00F1599C">
        <w:t>B</w:t>
      </w:r>
      <w:r w:rsidRPr="007D5A67">
        <w:t xml:space="preserve">ody system continues to be one of the highlights and key achievements of the strengthening process. Developments in the processes of individual </w:t>
      </w:r>
      <w:r w:rsidR="005810C0">
        <w:t>T</w:t>
      </w:r>
      <w:r w:rsidRPr="007D5A67">
        <w:t xml:space="preserve">reaty </w:t>
      </w:r>
      <w:r w:rsidR="005810C0">
        <w:t>B</w:t>
      </w:r>
      <w:r w:rsidR="005810C0" w:rsidRPr="007D5A67">
        <w:t xml:space="preserve">odies </w:t>
      </w:r>
      <w:r w:rsidRPr="007D5A67">
        <w:t xml:space="preserve">over the last year have once again been encouraging. </w:t>
      </w:r>
    </w:p>
    <w:p w14:paraId="1B6D5226" w14:textId="77777777" w:rsidR="001C3DBD" w:rsidRPr="007D5A67" w:rsidRDefault="001C3DBD" w:rsidP="00ED6DAE">
      <w:pPr>
        <w:jc w:val="both"/>
      </w:pPr>
    </w:p>
    <w:p w14:paraId="4BF529A9" w14:textId="394FFB2F" w:rsidR="00301091" w:rsidRDefault="000E4476" w:rsidP="00ED6DAE">
      <w:pPr>
        <w:jc w:val="both"/>
      </w:pPr>
      <w:r>
        <w:t xml:space="preserve">Seven </w:t>
      </w:r>
      <w:r w:rsidR="001B08D5">
        <w:t>T</w:t>
      </w:r>
      <w:r>
        <w:t xml:space="preserve">reaty </w:t>
      </w:r>
      <w:r w:rsidR="001B08D5">
        <w:t>B</w:t>
      </w:r>
      <w:r>
        <w:t>odies out of t</w:t>
      </w:r>
      <w:r w:rsidR="005929DD">
        <w:t xml:space="preserve">en have </w:t>
      </w:r>
      <w:r>
        <w:t xml:space="preserve">either </w:t>
      </w:r>
      <w:r w:rsidR="005929DD">
        <w:t xml:space="preserve">adopted </w:t>
      </w:r>
      <w:r>
        <w:t xml:space="preserve">the San José Guidelines or </w:t>
      </w:r>
      <w:r w:rsidR="00646516">
        <w:t xml:space="preserve">have </w:t>
      </w:r>
      <w:r w:rsidR="005929DD">
        <w:t xml:space="preserve">a policy on reprisals. </w:t>
      </w:r>
      <w:r>
        <w:t>T</w:t>
      </w:r>
      <w:r w:rsidR="00536760" w:rsidRPr="00FB1C5B">
        <w:t xml:space="preserve">he Committee on Economic Social and Cultural Rights, </w:t>
      </w:r>
      <w:r w:rsidR="000D5E76">
        <w:t>the</w:t>
      </w:r>
      <w:r w:rsidR="000D5E76" w:rsidRPr="00FB1C5B">
        <w:t xml:space="preserve"> </w:t>
      </w:r>
      <w:r w:rsidR="00536760" w:rsidRPr="00FB1C5B">
        <w:t xml:space="preserve">Committee on the </w:t>
      </w:r>
      <w:r w:rsidR="00536760" w:rsidRPr="00FB1C5B">
        <w:lastRenderedPageBreak/>
        <w:t>Elimination of Discrimination against Women</w:t>
      </w:r>
      <w:r w:rsidR="000D5E76">
        <w:t>, and the Human Rights Committee</w:t>
      </w:r>
      <w:r w:rsidR="00536760" w:rsidRPr="00FB1C5B">
        <w:t xml:space="preserve"> have </w:t>
      </w:r>
      <w:r>
        <w:t>neither</w:t>
      </w:r>
      <w:r w:rsidRPr="00FB1C5B">
        <w:t xml:space="preserve"> </w:t>
      </w:r>
      <w:r w:rsidR="00536760" w:rsidRPr="00FB1C5B">
        <w:t>adopted the San Jose Guidelines</w:t>
      </w:r>
      <w:r w:rsidR="00557237">
        <w:t xml:space="preserve"> nor a dedicated policy</w:t>
      </w:r>
      <w:r w:rsidR="00325399">
        <w:t xml:space="preserve"> on reprisals</w:t>
      </w:r>
      <w:r w:rsidR="00536760" w:rsidRPr="00FB1C5B">
        <w:t>.</w:t>
      </w:r>
      <w:r w:rsidR="00536760" w:rsidRPr="007D5A67">
        <w:t xml:space="preserve"> </w:t>
      </w:r>
    </w:p>
    <w:p w14:paraId="174C1888" w14:textId="77777777" w:rsidR="00ED6DAE" w:rsidRDefault="00ED6DAE" w:rsidP="00ED6DAE">
      <w:pPr>
        <w:jc w:val="both"/>
      </w:pPr>
    </w:p>
    <w:p w14:paraId="5D55CE9B" w14:textId="77777777" w:rsidR="00536760" w:rsidRPr="001C3DBD" w:rsidRDefault="00536760" w:rsidP="00ED6DAE">
      <w:pPr>
        <w:jc w:val="both"/>
      </w:pPr>
      <w:r w:rsidRPr="001C3DBD">
        <w:t xml:space="preserve">Each of the </w:t>
      </w:r>
      <w:r w:rsidR="005810C0">
        <w:t>T</w:t>
      </w:r>
      <w:r w:rsidR="005810C0" w:rsidRPr="001C3DBD">
        <w:t xml:space="preserve">reaty </w:t>
      </w:r>
      <w:r w:rsidR="005810C0">
        <w:t>B</w:t>
      </w:r>
      <w:r w:rsidR="005810C0" w:rsidRPr="001C3DBD">
        <w:t xml:space="preserve">odies </w:t>
      </w:r>
      <w:r w:rsidRPr="001C3DBD">
        <w:t xml:space="preserve">have now adopted a focal point or a rapporteur on reprisals. The Committee Against Torture’s two co-rapporteurs on reprisals have reported in press statements that they resolved cases of reprisals and arbitrary arrests of human rights defenders engaging with the Committee. </w:t>
      </w:r>
    </w:p>
    <w:p w14:paraId="3FE3E8CD" w14:textId="77777777" w:rsidR="00536760" w:rsidRPr="00ED6DAE" w:rsidRDefault="00536760" w:rsidP="00ED6DAE">
      <w:pPr>
        <w:spacing w:before="120" w:after="120"/>
        <w:jc w:val="both"/>
      </w:pPr>
      <w:r w:rsidRPr="001C3DBD">
        <w:t xml:space="preserve">The engagement of non-independent NGOs, or so-called GONGOs (Government Organised NGOs) in the work of the </w:t>
      </w:r>
      <w:r w:rsidR="005810C0">
        <w:t>T</w:t>
      </w:r>
      <w:r w:rsidR="005810C0" w:rsidRPr="001C3DBD">
        <w:t xml:space="preserve">reaty </w:t>
      </w:r>
      <w:r w:rsidR="005810C0">
        <w:t>B</w:t>
      </w:r>
      <w:r w:rsidR="005810C0" w:rsidRPr="001C3DBD">
        <w:t xml:space="preserve">odies </w:t>
      </w:r>
      <w:r w:rsidRPr="001C3DBD">
        <w:t xml:space="preserve">continues. In some instances efforts have been made by </w:t>
      </w:r>
      <w:r w:rsidR="005810C0">
        <w:t>T</w:t>
      </w:r>
      <w:r w:rsidR="005810C0" w:rsidRPr="001C3DBD">
        <w:t xml:space="preserve">reaty </w:t>
      </w:r>
      <w:r w:rsidR="005810C0">
        <w:t>B</w:t>
      </w:r>
      <w:r w:rsidR="005810C0" w:rsidRPr="001C3DBD">
        <w:t xml:space="preserve">odies </w:t>
      </w:r>
      <w:r w:rsidRPr="001C3DBD">
        <w:t xml:space="preserve">to avoid or mitigate the potential threats posed by the presence and participation of GONGOs, however in other instances no preventative or precautionary measures have been taken. When </w:t>
      </w:r>
      <w:r w:rsidR="005810C0">
        <w:t>T</w:t>
      </w:r>
      <w:r w:rsidR="005810C0" w:rsidRPr="001C3DBD">
        <w:t xml:space="preserve">reaty </w:t>
      </w:r>
      <w:r w:rsidR="005810C0">
        <w:t>B</w:t>
      </w:r>
      <w:r w:rsidR="005810C0" w:rsidRPr="001C3DBD">
        <w:t xml:space="preserve">odies </w:t>
      </w:r>
      <w:r w:rsidRPr="001C3DBD">
        <w:t xml:space="preserve">fail to differentiate between GONGOs (in some cases de facto </w:t>
      </w:r>
      <w:r w:rsidR="00FA5CB8" w:rsidRPr="001C3DBD">
        <w:t xml:space="preserve">government </w:t>
      </w:r>
      <w:r w:rsidRPr="001C3DBD">
        <w:t xml:space="preserve">agents) and independent NGOs, their well-meaning efforts to engage in informal dialogue with civil society run the risk of </w:t>
      </w:r>
      <w:r w:rsidR="00C30EB7">
        <w:t xml:space="preserve">exposing and </w:t>
      </w:r>
      <w:r w:rsidRPr="001C3DBD">
        <w:t xml:space="preserve">endangering </w:t>
      </w:r>
      <w:r w:rsidR="00FA5CB8" w:rsidRPr="001C3DBD">
        <w:t xml:space="preserve">legitimate </w:t>
      </w:r>
      <w:r w:rsidRPr="001C3DBD">
        <w:t xml:space="preserve">defenders </w:t>
      </w:r>
      <w:r w:rsidR="00FA5CB8" w:rsidRPr="001C3DBD">
        <w:t xml:space="preserve">who may suffer </w:t>
      </w:r>
      <w:r w:rsidRPr="001C3DBD">
        <w:t>government retaliation for their engagement</w:t>
      </w:r>
      <w:r w:rsidR="00FA5CB8" w:rsidRPr="001C3DBD">
        <w:t xml:space="preserve"> with the </w:t>
      </w:r>
      <w:r w:rsidR="00C30EB7">
        <w:t>T</w:t>
      </w:r>
      <w:r w:rsidR="00FA5CB8" w:rsidRPr="001C3DBD">
        <w:t xml:space="preserve">reaty </w:t>
      </w:r>
      <w:r w:rsidR="00C30EB7">
        <w:t>B</w:t>
      </w:r>
      <w:r w:rsidR="00FA5CB8" w:rsidRPr="001C3DBD">
        <w:t>odies</w:t>
      </w:r>
      <w:r w:rsidRPr="001C3DBD">
        <w:t>.</w:t>
      </w:r>
    </w:p>
    <w:p w14:paraId="2566C7CE" w14:textId="77777777" w:rsidR="00536760" w:rsidRPr="00C36CC3" w:rsidRDefault="00536760">
      <w:pPr>
        <w:spacing w:before="120" w:after="120"/>
        <w:jc w:val="both"/>
        <w:rPr>
          <w:b/>
        </w:rPr>
      </w:pPr>
      <w:r w:rsidRPr="00C36CC3">
        <w:rPr>
          <w:b/>
        </w:rPr>
        <w:t>Key recommendations:</w:t>
      </w:r>
    </w:p>
    <w:p w14:paraId="730C00AD" w14:textId="77777777" w:rsidR="00536760" w:rsidRPr="007D5A67" w:rsidRDefault="00536760" w:rsidP="00005A4F">
      <w:pPr>
        <w:pStyle w:val="ListParagraph"/>
        <w:numPr>
          <w:ilvl w:val="0"/>
          <w:numId w:val="7"/>
        </w:numPr>
        <w:spacing w:before="120" w:after="120"/>
        <w:jc w:val="both"/>
      </w:pPr>
      <w:r w:rsidRPr="007D5A67">
        <w:t>The Committee on Economic Social and Cultural Rights</w:t>
      </w:r>
      <w:r w:rsidR="00DE4E65">
        <w:t>, the Human Rights Committee</w:t>
      </w:r>
      <w:r w:rsidRPr="007D5A67">
        <w:t xml:space="preserve"> and Committee on the </w:t>
      </w:r>
      <w:r w:rsidRPr="00005A4F">
        <w:t>Elimination</w:t>
      </w:r>
      <w:r w:rsidRPr="007D5A67">
        <w:t xml:space="preserve"> of Discrimination against Women should adopt the San Jos</w:t>
      </w:r>
      <w:r w:rsidR="00B32967">
        <w:t>é</w:t>
      </w:r>
      <w:r w:rsidRPr="007D5A67">
        <w:t xml:space="preserve"> Guidelines</w:t>
      </w:r>
      <w:r w:rsidR="00FA5CB8">
        <w:t xml:space="preserve"> without further delay.</w:t>
      </w:r>
    </w:p>
    <w:p w14:paraId="2E82DAB2" w14:textId="77777777" w:rsidR="00536760" w:rsidRPr="007D5A67" w:rsidRDefault="00AC437B" w:rsidP="00005A4F">
      <w:pPr>
        <w:pStyle w:val="ListParagraph"/>
        <w:numPr>
          <w:ilvl w:val="0"/>
          <w:numId w:val="7"/>
        </w:numPr>
        <w:spacing w:before="120" w:after="120"/>
        <w:jc w:val="both"/>
      </w:pPr>
      <w:r>
        <w:t>Those T</w:t>
      </w:r>
      <w:r w:rsidR="00536760" w:rsidRPr="007D5A67">
        <w:t xml:space="preserve">reaty </w:t>
      </w:r>
      <w:r>
        <w:t>B</w:t>
      </w:r>
      <w:r w:rsidR="00536760" w:rsidRPr="007D5A67">
        <w:t>odies that have adopted the San Jos</w:t>
      </w:r>
      <w:r w:rsidR="00B32967">
        <w:t>é</w:t>
      </w:r>
      <w:r w:rsidR="00536760" w:rsidRPr="007D5A67">
        <w:t xml:space="preserve"> Guidelines should work to ensure they are implemented. </w:t>
      </w:r>
    </w:p>
    <w:p w14:paraId="6D0C9D3A" w14:textId="77777777" w:rsidR="00536760" w:rsidRPr="007D5A67" w:rsidRDefault="00536760" w:rsidP="00ED6DAE">
      <w:pPr>
        <w:pStyle w:val="ListParagraph"/>
        <w:numPr>
          <w:ilvl w:val="0"/>
          <w:numId w:val="7"/>
        </w:numPr>
        <w:spacing w:before="120" w:after="120"/>
        <w:jc w:val="both"/>
        <w:rPr>
          <w:lang w:val="en-US"/>
        </w:rPr>
      </w:pPr>
      <w:r w:rsidRPr="007D5A67">
        <w:t xml:space="preserve">Treaty </w:t>
      </w:r>
      <w:r w:rsidR="00B32967">
        <w:t>B</w:t>
      </w:r>
      <w:r w:rsidRPr="007D5A67">
        <w:t>odies should each create a public webpage on reprisals that</w:t>
      </w:r>
      <w:r w:rsidRPr="007D5A67">
        <w:rPr>
          <w:lang w:val="en-US"/>
        </w:rPr>
        <w:t xml:space="preserve"> includes the contact details of the rapporteur or focal point on reprisals, as well as information regarding cases received, communications sent to States concerned, responses received, an</w:t>
      </w:r>
      <w:r w:rsidR="00275EE2">
        <w:rPr>
          <w:lang w:val="en-US"/>
        </w:rPr>
        <w:t>d any follow-up communications, while seeking to protect the confidentiality of victims when they so require;</w:t>
      </w:r>
    </w:p>
    <w:p w14:paraId="17F8AD9D" w14:textId="77777777" w:rsidR="00536760" w:rsidRPr="007D5A67" w:rsidRDefault="00536760" w:rsidP="00ED6DAE">
      <w:pPr>
        <w:pStyle w:val="ListParagraph"/>
        <w:numPr>
          <w:ilvl w:val="0"/>
          <w:numId w:val="7"/>
        </w:numPr>
        <w:spacing w:before="120" w:after="120"/>
        <w:jc w:val="both"/>
        <w:rPr>
          <w:lang w:val="en-US"/>
        </w:rPr>
      </w:pPr>
      <w:r w:rsidRPr="007D5A67">
        <w:rPr>
          <w:lang w:val="en-US"/>
        </w:rPr>
        <w:t xml:space="preserve">The Meeting of Chairpersons should decide to create a common database of cases of reprisals that would enable better coordination across </w:t>
      </w:r>
      <w:r w:rsidR="00B32967">
        <w:rPr>
          <w:lang w:val="en-US"/>
        </w:rPr>
        <w:t>T</w:t>
      </w:r>
      <w:r w:rsidRPr="007D5A67">
        <w:rPr>
          <w:lang w:val="en-US"/>
        </w:rPr>
        <w:t xml:space="preserve">reaty </w:t>
      </w:r>
      <w:r w:rsidR="00B32967">
        <w:rPr>
          <w:lang w:val="en-US"/>
        </w:rPr>
        <w:t>B</w:t>
      </w:r>
      <w:r w:rsidR="00B32967" w:rsidRPr="007D5A67">
        <w:rPr>
          <w:lang w:val="en-US"/>
        </w:rPr>
        <w:t xml:space="preserve">odies </w:t>
      </w:r>
      <w:r w:rsidRPr="007D5A67">
        <w:rPr>
          <w:lang w:val="en-US"/>
        </w:rPr>
        <w:t xml:space="preserve">and between </w:t>
      </w:r>
      <w:r w:rsidR="00DE4E65">
        <w:rPr>
          <w:lang w:val="en-US"/>
        </w:rPr>
        <w:t>T</w:t>
      </w:r>
      <w:r w:rsidRPr="007D5A67">
        <w:rPr>
          <w:lang w:val="en-US"/>
        </w:rPr>
        <w:t xml:space="preserve">reaty </w:t>
      </w:r>
      <w:r w:rsidR="00DE4E65">
        <w:rPr>
          <w:lang w:val="en-US"/>
        </w:rPr>
        <w:t>B</w:t>
      </w:r>
      <w:r w:rsidRPr="007D5A67">
        <w:rPr>
          <w:lang w:val="en-US"/>
        </w:rPr>
        <w:t xml:space="preserve">odies and the wider UN human rights system. </w:t>
      </w:r>
    </w:p>
    <w:p w14:paraId="3A29171C" w14:textId="7BDEA363" w:rsidR="00BA7D4B" w:rsidRPr="000C3DC7" w:rsidRDefault="00BA7D4B" w:rsidP="00BA7D4B">
      <w:pPr>
        <w:pStyle w:val="ListParagraph"/>
        <w:numPr>
          <w:ilvl w:val="0"/>
          <w:numId w:val="7"/>
        </w:numPr>
        <w:spacing w:before="120" w:after="120"/>
        <w:jc w:val="both"/>
        <w:rPr>
          <w:lang w:val="en-US"/>
        </w:rPr>
      </w:pPr>
      <w:r w:rsidRPr="000C3DC7">
        <w:rPr>
          <w:lang w:val="en-US"/>
        </w:rPr>
        <w:t xml:space="preserve">Treaty </w:t>
      </w:r>
      <w:r w:rsidR="00DE4E65" w:rsidRPr="000C3DC7">
        <w:rPr>
          <w:lang w:val="en-US"/>
        </w:rPr>
        <w:t>B</w:t>
      </w:r>
      <w:r w:rsidRPr="000C3DC7">
        <w:rPr>
          <w:lang w:val="en-US"/>
        </w:rPr>
        <w:t xml:space="preserve">odies should </w:t>
      </w:r>
      <w:r w:rsidR="000C3DC7">
        <w:rPr>
          <w:lang w:val="en-US"/>
        </w:rPr>
        <w:t>share</w:t>
      </w:r>
      <w:r w:rsidRPr="000C3DC7">
        <w:rPr>
          <w:lang w:val="en-US"/>
        </w:rPr>
        <w:t xml:space="preserve"> the information they receive on reprisals with the Secretary General to feed into his reports on reprisals</w:t>
      </w:r>
    </w:p>
    <w:p w14:paraId="5568540E" w14:textId="77777777" w:rsidR="00536760" w:rsidRPr="007D5A67" w:rsidRDefault="00536760" w:rsidP="00ED6DAE">
      <w:pPr>
        <w:pStyle w:val="ListParagraph"/>
        <w:numPr>
          <w:ilvl w:val="0"/>
          <w:numId w:val="7"/>
        </w:numPr>
        <w:spacing w:before="120" w:after="120"/>
        <w:jc w:val="both"/>
        <w:rPr>
          <w:lang w:val="en-US"/>
        </w:rPr>
      </w:pPr>
      <w:r w:rsidRPr="007D5A67">
        <w:t xml:space="preserve">Treaty </w:t>
      </w:r>
      <w:r w:rsidR="00DE4E65">
        <w:rPr>
          <w:lang w:val="en-US"/>
        </w:rPr>
        <w:t>B</w:t>
      </w:r>
      <w:r w:rsidR="00DE4E65" w:rsidRPr="00ED6DAE">
        <w:rPr>
          <w:lang w:val="en-US"/>
        </w:rPr>
        <w:t>odies</w:t>
      </w:r>
      <w:r w:rsidR="00DE4E65" w:rsidRPr="007D5A67">
        <w:t xml:space="preserve"> </w:t>
      </w:r>
      <w:r w:rsidRPr="007D5A67">
        <w:t xml:space="preserve">should take steps to avoid or mitigate the potential threats posed by the presence and participation of GONGOs in the work of the </w:t>
      </w:r>
      <w:r w:rsidR="00B32967">
        <w:t>T</w:t>
      </w:r>
      <w:r w:rsidRPr="007D5A67">
        <w:t xml:space="preserve">reaty </w:t>
      </w:r>
      <w:r w:rsidR="00B32967">
        <w:t>B</w:t>
      </w:r>
      <w:r w:rsidR="00B32967" w:rsidRPr="007D5A67">
        <w:t>odies</w:t>
      </w:r>
      <w:r w:rsidRPr="007D5A67">
        <w:t>.</w:t>
      </w:r>
    </w:p>
    <w:p w14:paraId="1E6D707C" w14:textId="77777777" w:rsidR="00C75FA0" w:rsidRPr="00ED6DAE" w:rsidRDefault="00C75FA0">
      <w:pPr>
        <w:spacing w:before="120" w:after="120"/>
        <w:jc w:val="both"/>
        <w:rPr>
          <w:lang w:val="en-US"/>
        </w:rPr>
      </w:pPr>
    </w:p>
    <w:p w14:paraId="6780FEE4" w14:textId="77777777" w:rsidR="00ED0F8E" w:rsidRPr="00237938" w:rsidRDefault="00434A95">
      <w:pPr>
        <w:spacing w:before="120" w:after="120"/>
        <w:jc w:val="both"/>
        <w:rPr>
          <w:b/>
          <w:i/>
          <w:color w:val="5B9BD5" w:themeColor="accent1"/>
          <w:u w:val="single"/>
        </w:rPr>
      </w:pPr>
      <w:r w:rsidRPr="00237938">
        <w:rPr>
          <w:b/>
          <w:i/>
          <w:color w:val="5B9BD5" w:themeColor="accent1"/>
          <w:u w:val="single"/>
        </w:rPr>
        <w:t xml:space="preserve">Agenda Item 7: </w:t>
      </w:r>
      <w:r w:rsidR="00C75FA0" w:rsidRPr="00237938">
        <w:rPr>
          <w:b/>
          <w:i/>
          <w:color w:val="5B9BD5" w:themeColor="accent1"/>
          <w:u w:val="single"/>
        </w:rPr>
        <w:t>Implementation of General Assembly resolution 68/268</w:t>
      </w:r>
    </w:p>
    <w:p w14:paraId="5ABF535C" w14:textId="77777777" w:rsidR="00ED0F8E" w:rsidRPr="00C36CC3" w:rsidRDefault="00ED0F8E">
      <w:pPr>
        <w:spacing w:before="120" w:after="120"/>
        <w:jc w:val="both"/>
        <w:rPr>
          <w:b/>
          <w:i/>
          <w:color w:val="5B9BD5" w:themeColor="accent1"/>
          <w:u w:val="single"/>
        </w:rPr>
      </w:pPr>
    </w:p>
    <w:p w14:paraId="78EDC4CA" w14:textId="77777777" w:rsidR="00ED0F8E" w:rsidRPr="00C36CC3" w:rsidRDefault="00ED0F8E">
      <w:pPr>
        <w:pStyle w:val="ListParagraph"/>
        <w:numPr>
          <w:ilvl w:val="0"/>
          <w:numId w:val="4"/>
        </w:numPr>
        <w:spacing w:before="120" w:after="120"/>
        <w:jc w:val="both"/>
        <w:rPr>
          <w:i/>
        </w:rPr>
      </w:pPr>
      <w:r w:rsidRPr="00C36CC3">
        <w:rPr>
          <w:i/>
        </w:rPr>
        <w:t>Development of an aligned consultation process for the elaboration of general comments (para. 14)</w:t>
      </w:r>
    </w:p>
    <w:p w14:paraId="54A36774" w14:textId="77777777" w:rsidR="00ED0F8E" w:rsidRPr="00C36CC3" w:rsidRDefault="00ED0F8E">
      <w:pPr>
        <w:spacing w:before="120" w:after="120"/>
        <w:jc w:val="both"/>
        <w:rPr>
          <w:i/>
          <w:u w:val="single"/>
        </w:rPr>
      </w:pPr>
    </w:p>
    <w:p w14:paraId="1BC4A08A" w14:textId="77777777" w:rsidR="00ED0F8E" w:rsidRPr="00C36CC3" w:rsidRDefault="00ED0F8E">
      <w:pPr>
        <w:spacing w:before="120" w:after="120"/>
        <w:jc w:val="both"/>
        <w:rPr>
          <w:b/>
          <w:i/>
        </w:rPr>
      </w:pPr>
      <w:r w:rsidRPr="00C36CC3">
        <w:rPr>
          <w:b/>
          <w:i/>
        </w:rPr>
        <w:t>Positive developments</w:t>
      </w:r>
    </w:p>
    <w:p w14:paraId="614F87FA" w14:textId="77777777" w:rsidR="003F7B6A" w:rsidRPr="00400D0C" w:rsidRDefault="002D7848">
      <w:pPr>
        <w:spacing w:before="120" w:after="120"/>
        <w:jc w:val="both"/>
        <w:rPr>
          <w:szCs w:val="20"/>
        </w:rPr>
      </w:pPr>
      <w:r w:rsidRPr="00C36CC3">
        <w:t>At the 27</w:t>
      </w:r>
      <w:r w:rsidRPr="00C36CC3">
        <w:rPr>
          <w:vertAlign w:val="superscript"/>
        </w:rPr>
        <w:t>th</w:t>
      </w:r>
      <w:r w:rsidRPr="00C36CC3">
        <w:t xml:space="preserve"> meeting of Chairpersons, a common </w:t>
      </w:r>
      <w:r w:rsidRPr="00237938">
        <w:t>methodology</w:t>
      </w:r>
      <w:r w:rsidR="002B72E2" w:rsidRPr="00237938">
        <w:t xml:space="preserve"> for consultation </w:t>
      </w:r>
      <w:r w:rsidR="00162027" w:rsidRPr="00237938">
        <w:t xml:space="preserve">regarding draft general comments </w:t>
      </w:r>
      <w:r w:rsidR="002B72E2" w:rsidRPr="00237938">
        <w:t>was endorsed</w:t>
      </w:r>
      <w:r w:rsidR="00237938">
        <w:t xml:space="preserve"> by the Chairs, who</w:t>
      </w:r>
      <w:r w:rsidR="003F7B6A" w:rsidRPr="00C36CC3">
        <w:rPr>
          <w:rFonts w:cs="Times New Roman"/>
          <w:bCs/>
          <w:szCs w:val="20"/>
          <w:lang w:val="en-US" w:eastAsia="en-US"/>
        </w:rPr>
        <w:t xml:space="preserve"> acknowledged that </w:t>
      </w:r>
      <w:r w:rsidR="003F7B6A" w:rsidRPr="00C36CC3">
        <w:rPr>
          <w:bCs/>
        </w:rPr>
        <w:t>“</w:t>
      </w:r>
      <w:r w:rsidRPr="00C36CC3">
        <w:rPr>
          <w:szCs w:val="20"/>
        </w:rPr>
        <w:t>consultation was indispensable for the transparency, legitimacy and publicity of general comments</w:t>
      </w:r>
      <w:r w:rsidR="003F7B6A" w:rsidRPr="00400D0C">
        <w:rPr>
          <w:szCs w:val="20"/>
        </w:rPr>
        <w:t>”</w:t>
      </w:r>
      <w:r w:rsidR="00237938">
        <w:rPr>
          <w:szCs w:val="20"/>
        </w:rPr>
        <w:t xml:space="preserve">. </w:t>
      </w:r>
    </w:p>
    <w:p w14:paraId="4320645A" w14:textId="77777777" w:rsidR="00400D0C" w:rsidRDefault="003F7B6A">
      <w:pPr>
        <w:spacing w:before="120" w:after="120"/>
        <w:jc w:val="both"/>
        <w:rPr>
          <w:b/>
        </w:rPr>
      </w:pPr>
      <w:r w:rsidRPr="00400D0C">
        <w:rPr>
          <w:b/>
        </w:rPr>
        <w:t>Key recommendations</w:t>
      </w:r>
      <w:r w:rsidR="00400D0C">
        <w:rPr>
          <w:b/>
        </w:rPr>
        <w:t>,</w:t>
      </w:r>
    </w:p>
    <w:p w14:paraId="4CB6A510" w14:textId="3F64D643" w:rsidR="003F7B6A" w:rsidRPr="00400D0C" w:rsidRDefault="00237938">
      <w:pPr>
        <w:spacing w:before="120" w:after="120"/>
        <w:jc w:val="both"/>
        <w:rPr>
          <w:b/>
        </w:rPr>
      </w:pPr>
      <w:r>
        <w:rPr>
          <w:szCs w:val="20"/>
        </w:rPr>
        <w:t>W</w:t>
      </w:r>
      <w:r w:rsidRPr="00400D0C">
        <w:t xml:space="preserve">e believe that this is a valuable step </w:t>
      </w:r>
      <w:r w:rsidR="000C3DC7">
        <w:t>toward</w:t>
      </w:r>
      <w:r w:rsidRPr="00400D0C">
        <w:t xml:space="preserve"> making the work of treaty bodies more accessible to all </w:t>
      </w:r>
      <w:r w:rsidRPr="00237938">
        <w:t>stakeholders</w:t>
      </w:r>
      <w:r>
        <w:t xml:space="preserve"> and would </w:t>
      </w:r>
      <w:r w:rsidR="00400D0C">
        <w:rPr>
          <w:szCs w:val="20"/>
        </w:rPr>
        <w:t>therefore</w:t>
      </w:r>
      <w:r>
        <w:rPr>
          <w:szCs w:val="20"/>
        </w:rPr>
        <w:t xml:space="preserve"> </w:t>
      </w:r>
      <w:r w:rsidR="00400D0C">
        <w:rPr>
          <w:szCs w:val="20"/>
        </w:rPr>
        <w:t xml:space="preserve">encourage the Chairs to hold discussions </w:t>
      </w:r>
      <w:r w:rsidR="008E1C39">
        <w:rPr>
          <w:szCs w:val="20"/>
        </w:rPr>
        <w:t xml:space="preserve">in that regard </w:t>
      </w:r>
      <w:r w:rsidR="00400D0C">
        <w:rPr>
          <w:szCs w:val="20"/>
        </w:rPr>
        <w:t>with the</w:t>
      </w:r>
      <w:r w:rsidR="008E1C39">
        <w:rPr>
          <w:szCs w:val="20"/>
        </w:rPr>
        <w:t>ir</w:t>
      </w:r>
      <w:r w:rsidR="00400D0C">
        <w:rPr>
          <w:szCs w:val="20"/>
        </w:rPr>
        <w:t xml:space="preserve"> respective Treaty Bodies, bearing in mind the endorsed methodology, to ensure the following:</w:t>
      </w:r>
    </w:p>
    <w:p w14:paraId="15E744E3" w14:textId="77777777" w:rsidR="003F7B6A" w:rsidRPr="00400D0C" w:rsidRDefault="00006F52">
      <w:pPr>
        <w:pStyle w:val="ListParagraph"/>
        <w:numPr>
          <w:ilvl w:val="0"/>
          <w:numId w:val="5"/>
        </w:numPr>
        <w:spacing w:before="120" w:after="120"/>
        <w:jc w:val="both"/>
        <w:rPr>
          <w:szCs w:val="20"/>
        </w:rPr>
      </w:pPr>
      <w:r>
        <w:rPr>
          <w:szCs w:val="20"/>
        </w:rPr>
        <w:t>A</w:t>
      </w:r>
      <w:r w:rsidR="00C36CC3" w:rsidRPr="00400D0C">
        <w:rPr>
          <w:szCs w:val="20"/>
        </w:rPr>
        <w:t xml:space="preserve">ll Treaty Bodies should post and regularly update information about </w:t>
      </w:r>
      <w:r w:rsidR="003F7B6A" w:rsidRPr="00400D0C">
        <w:rPr>
          <w:szCs w:val="20"/>
        </w:rPr>
        <w:t>draft general comments on the OHCHR website</w:t>
      </w:r>
      <w:r w:rsidR="00C36CC3" w:rsidRPr="00400D0C">
        <w:rPr>
          <w:szCs w:val="20"/>
        </w:rPr>
        <w:t>;</w:t>
      </w:r>
    </w:p>
    <w:p w14:paraId="644A656C" w14:textId="251F667C" w:rsidR="003F7B6A" w:rsidRPr="00400D0C" w:rsidRDefault="00006F52">
      <w:pPr>
        <w:pStyle w:val="ListParagraph"/>
        <w:numPr>
          <w:ilvl w:val="0"/>
          <w:numId w:val="5"/>
        </w:numPr>
        <w:spacing w:before="120" w:after="120"/>
        <w:jc w:val="both"/>
        <w:rPr>
          <w:szCs w:val="20"/>
        </w:rPr>
      </w:pPr>
      <w:r>
        <w:rPr>
          <w:szCs w:val="20"/>
        </w:rPr>
        <w:lastRenderedPageBreak/>
        <w:t>A</w:t>
      </w:r>
      <w:r w:rsidR="002D01B2">
        <w:rPr>
          <w:szCs w:val="20"/>
        </w:rPr>
        <w:t>ll</w:t>
      </w:r>
      <w:r w:rsidR="00C36CC3" w:rsidRPr="00400D0C">
        <w:rPr>
          <w:szCs w:val="20"/>
        </w:rPr>
        <w:t xml:space="preserve"> Treaty Bodies should create </w:t>
      </w:r>
      <w:r w:rsidR="000070BC">
        <w:rPr>
          <w:szCs w:val="20"/>
        </w:rPr>
        <w:t xml:space="preserve">and update </w:t>
      </w:r>
      <w:r w:rsidR="00C36CC3" w:rsidRPr="00400D0C">
        <w:rPr>
          <w:szCs w:val="20"/>
        </w:rPr>
        <w:t xml:space="preserve">a separate page for </w:t>
      </w:r>
      <w:r w:rsidR="008E1C39">
        <w:rPr>
          <w:szCs w:val="20"/>
        </w:rPr>
        <w:t xml:space="preserve">previously </w:t>
      </w:r>
      <w:r w:rsidR="00400D0C">
        <w:rPr>
          <w:szCs w:val="20"/>
        </w:rPr>
        <w:t xml:space="preserve">adopted general comments where information and contributions to the </w:t>
      </w:r>
      <w:r w:rsidR="00C36CC3" w:rsidRPr="00400D0C">
        <w:rPr>
          <w:szCs w:val="20"/>
        </w:rPr>
        <w:t xml:space="preserve">concluded </w:t>
      </w:r>
      <w:r w:rsidR="003F7B6A" w:rsidRPr="00400D0C">
        <w:rPr>
          <w:szCs w:val="20"/>
        </w:rPr>
        <w:t xml:space="preserve">consultation </w:t>
      </w:r>
      <w:r w:rsidR="00C36CC3" w:rsidRPr="00400D0C">
        <w:rPr>
          <w:szCs w:val="20"/>
        </w:rPr>
        <w:t xml:space="preserve">processes </w:t>
      </w:r>
      <w:r w:rsidR="008E1C39">
        <w:rPr>
          <w:szCs w:val="20"/>
        </w:rPr>
        <w:t>are</w:t>
      </w:r>
      <w:r w:rsidR="00400D0C">
        <w:rPr>
          <w:szCs w:val="20"/>
        </w:rPr>
        <w:t xml:space="preserve"> available</w:t>
      </w:r>
      <w:r w:rsidR="00931317">
        <w:rPr>
          <w:szCs w:val="20"/>
        </w:rPr>
        <w:t xml:space="preserve">, as per </w:t>
      </w:r>
      <w:r w:rsidR="008E1C39">
        <w:rPr>
          <w:szCs w:val="20"/>
        </w:rPr>
        <w:t xml:space="preserve">the </w:t>
      </w:r>
      <w:r w:rsidR="00931317">
        <w:rPr>
          <w:szCs w:val="20"/>
        </w:rPr>
        <w:t xml:space="preserve">good practices </w:t>
      </w:r>
      <w:r w:rsidR="008E1C39">
        <w:rPr>
          <w:szCs w:val="20"/>
        </w:rPr>
        <w:t xml:space="preserve">of </w:t>
      </w:r>
      <w:r w:rsidR="00931317">
        <w:rPr>
          <w:szCs w:val="20"/>
        </w:rPr>
        <w:t>a number of Treaty Bodies</w:t>
      </w:r>
      <w:r w:rsidR="00C36CC3" w:rsidRPr="00400D0C">
        <w:rPr>
          <w:szCs w:val="20"/>
        </w:rPr>
        <w:t>;</w:t>
      </w:r>
      <w:r w:rsidR="003F7B6A" w:rsidRPr="00400D0C">
        <w:rPr>
          <w:szCs w:val="20"/>
        </w:rPr>
        <w:t xml:space="preserve"> </w:t>
      </w:r>
    </w:p>
    <w:p w14:paraId="1521B97A" w14:textId="40AB7C49" w:rsidR="00400D0C" w:rsidRPr="00400D0C" w:rsidRDefault="00006F52">
      <w:pPr>
        <w:pStyle w:val="ListParagraph"/>
        <w:numPr>
          <w:ilvl w:val="0"/>
          <w:numId w:val="5"/>
        </w:numPr>
        <w:spacing w:before="120" w:after="120"/>
        <w:jc w:val="both"/>
        <w:rPr>
          <w:i/>
          <w:u w:val="single"/>
        </w:rPr>
      </w:pPr>
      <w:r>
        <w:rPr>
          <w:szCs w:val="20"/>
        </w:rPr>
        <w:t>A</w:t>
      </w:r>
      <w:r w:rsidR="000070BC">
        <w:rPr>
          <w:szCs w:val="20"/>
        </w:rPr>
        <w:t>ll</w:t>
      </w:r>
      <w:r w:rsidR="00C36CC3" w:rsidRPr="00400D0C">
        <w:rPr>
          <w:szCs w:val="20"/>
        </w:rPr>
        <w:t xml:space="preserve"> Treaty Bodies should clearly </w:t>
      </w:r>
      <w:r w:rsidR="003F7B6A" w:rsidRPr="00400D0C">
        <w:rPr>
          <w:szCs w:val="20"/>
        </w:rPr>
        <w:t>set out the consultation</w:t>
      </w:r>
      <w:r w:rsidR="00400D0C">
        <w:rPr>
          <w:szCs w:val="20"/>
        </w:rPr>
        <w:t xml:space="preserve"> process</w:t>
      </w:r>
      <w:r w:rsidR="003F7B6A" w:rsidRPr="00400D0C">
        <w:rPr>
          <w:szCs w:val="20"/>
        </w:rPr>
        <w:t xml:space="preserve"> the</w:t>
      </w:r>
      <w:r w:rsidR="00C36CC3" w:rsidRPr="00400D0C">
        <w:rPr>
          <w:szCs w:val="20"/>
        </w:rPr>
        <w:t xml:space="preserve"> specific</w:t>
      </w:r>
      <w:r w:rsidR="003F7B6A" w:rsidRPr="00400D0C">
        <w:rPr>
          <w:szCs w:val="20"/>
        </w:rPr>
        <w:t xml:space="preserve"> </w:t>
      </w:r>
      <w:r w:rsidR="00C36CC3" w:rsidRPr="00400D0C">
        <w:rPr>
          <w:szCs w:val="20"/>
        </w:rPr>
        <w:t xml:space="preserve">Treaty </w:t>
      </w:r>
      <w:r w:rsidR="003F7B6A" w:rsidRPr="00400D0C">
        <w:rPr>
          <w:szCs w:val="20"/>
        </w:rPr>
        <w:t>Body will follow for a</w:t>
      </w:r>
      <w:r w:rsidR="00931317">
        <w:rPr>
          <w:szCs w:val="20"/>
        </w:rPr>
        <w:t xml:space="preserve"> specific draft general comment</w:t>
      </w:r>
      <w:r w:rsidR="003F7B6A" w:rsidRPr="00400D0C">
        <w:rPr>
          <w:szCs w:val="20"/>
        </w:rPr>
        <w:t xml:space="preserve"> in order to ensure an open and transparent consultation process, i.e</w:t>
      </w:r>
      <w:r w:rsidR="008E1C39">
        <w:rPr>
          <w:szCs w:val="20"/>
        </w:rPr>
        <w:t>.</w:t>
      </w:r>
      <w:r w:rsidR="003F7B6A" w:rsidRPr="00400D0C">
        <w:rPr>
          <w:szCs w:val="20"/>
        </w:rPr>
        <w:t xml:space="preserve"> by publishing a note on the OHCHR website</w:t>
      </w:r>
      <w:r w:rsidR="000070BC">
        <w:rPr>
          <w:szCs w:val="20"/>
        </w:rPr>
        <w:t xml:space="preserve"> as per </w:t>
      </w:r>
      <w:r w:rsidR="008E1C39">
        <w:rPr>
          <w:szCs w:val="20"/>
        </w:rPr>
        <w:t xml:space="preserve">the </w:t>
      </w:r>
      <w:r w:rsidR="00931317">
        <w:rPr>
          <w:szCs w:val="20"/>
        </w:rPr>
        <w:t>good practices</w:t>
      </w:r>
      <w:r w:rsidR="000070BC">
        <w:rPr>
          <w:szCs w:val="20"/>
        </w:rPr>
        <w:t xml:space="preserve"> </w:t>
      </w:r>
      <w:r w:rsidR="008E1C39">
        <w:rPr>
          <w:szCs w:val="20"/>
        </w:rPr>
        <w:t xml:space="preserve">of </w:t>
      </w:r>
      <w:r w:rsidR="000070BC">
        <w:rPr>
          <w:szCs w:val="20"/>
        </w:rPr>
        <w:t>a number of Treaty Bodies</w:t>
      </w:r>
      <w:r w:rsidR="003F7B6A" w:rsidRPr="00400D0C">
        <w:rPr>
          <w:szCs w:val="20"/>
        </w:rPr>
        <w:t xml:space="preserve">. </w:t>
      </w:r>
    </w:p>
    <w:p w14:paraId="49D53D9C" w14:textId="0DCBE32D" w:rsidR="00ED0F8E" w:rsidRPr="000070BC" w:rsidRDefault="00006F52">
      <w:pPr>
        <w:pStyle w:val="ListParagraph"/>
        <w:numPr>
          <w:ilvl w:val="0"/>
          <w:numId w:val="5"/>
        </w:numPr>
        <w:spacing w:before="120" w:after="120"/>
        <w:jc w:val="both"/>
        <w:rPr>
          <w:i/>
          <w:u w:val="single"/>
        </w:rPr>
      </w:pPr>
      <w:r>
        <w:rPr>
          <w:szCs w:val="20"/>
        </w:rPr>
        <w:t>A</w:t>
      </w:r>
      <w:r w:rsidR="005A7BB0">
        <w:rPr>
          <w:szCs w:val="20"/>
        </w:rPr>
        <w:t>ll</w:t>
      </w:r>
      <w:r w:rsidR="00400D0C" w:rsidRPr="00400D0C">
        <w:rPr>
          <w:szCs w:val="20"/>
        </w:rPr>
        <w:t xml:space="preserve"> </w:t>
      </w:r>
      <w:r w:rsidR="00C36CC3" w:rsidRPr="00400D0C">
        <w:rPr>
          <w:szCs w:val="20"/>
        </w:rPr>
        <w:t xml:space="preserve">Treaty Bodies should </w:t>
      </w:r>
      <w:r w:rsidR="00400D0C">
        <w:rPr>
          <w:szCs w:val="20"/>
        </w:rPr>
        <w:t xml:space="preserve">consider holding a half-day of discussion early on in the process and </w:t>
      </w:r>
      <w:r w:rsidR="00C36CC3" w:rsidRPr="00400D0C">
        <w:rPr>
          <w:bCs/>
          <w:szCs w:val="20"/>
        </w:rPr>
        <w:t xml:space="preserve">post </w:t>
      </w:r>
      <w:r w:rsidR="003F7B6A" w:rsidRPr="00400D0C">
        <w:rPr>
          <w:bCs/>
          <w:szCs w:val="20"/>
        </w:rPr>
        <w:t>draft versions on the OHCHR website inviting input, comments or feedback from independent experts and other interested stakeholders</w:t>
      </w:r>
      <w:r w:rsidR="000070BC">
        <w:rPr>
          <w:bCs/>
          <w:szCs w:val="20"/>
        </w:rPr>
        <w:t xml:space="preserve">, </w:t>
      </w:r>
      <w:r w:rsidR="005A7BB0">
        <w:rPr>
          <w:bCs/>
          <w:szCs w:val="20"/>
        </w:rPr>
        <w:t xml:space="preserve">as </w:t>
      </w:r>
      <w:r w:rsidR="000070BC">
        <w:rPr>
          <w:szCs w:val="20"/>
        </w:rPr>
        <w:t xml:space="preserve">per </w:t>
      </w:r>
      <w:r w:rsidR="008E1C39">
        <w:rPr>
          <w:szCs w:val="20"/>
        </w:rPr>
        <w:t xml:space="preserve">the </w:t>
      </w:r>
      <w:r w:rsidR="005A7BB0">
        <w:rPr>
          <w:szCs w:val="20"/>
        </w:rPr>
        <w:t>good practices</w:t>
      </w:r>
      <w:r w:rsidR="000070BC">
        <w:rPr>
          <w:szCs w:val="20"/>
        </w:rPr>
        <w:t xml:space="preserve"> </w:t>
      </w:r>
      <w:r w:rsidR="008E1C39">
        <w:rPr>
          <w:szCs w:val="20"/>
        </w:rPr>
        <w:t xml:space="preserve">of </w:t>
      </w:r>
      <w:r w:rsidR="000070BC">
        <w:rPr>
          <w:szCs w:val="20"/>
        </w:rPr>
        <w:t>a number of Treaty Bodies</w:t>
      </w:r>
      <w:r w:rsidR="003F7B6A" w:rsidRPr="00400D0C">
        <w:rPr>
          <w:bCs/>
          <w:szCs w:val="20"/>
        </w:rPr>
        <w:t xml:space="preserve">. </w:t>
      </w:r>
    </w:p>
    <w:p w14:paraId="14A95DAB" w14:textId="77777777" w:rsidR="004B1F8E" w:rsidRPr="00400D0C" w:rsidRDefault="00006F52">
      <w:pPr>
        <w:pStyle w:val="ListParagraph"/>
        <w:numPr>
          <w:ilvl w:val="0"/>
          <w:numId w:val="5"/>
        </w:numPr>
        <w:spacing w:before="120" w:after="120"/>
        <w:jc w:val="both"/>
        <w:rPr>
          <w:i/>
          <w:u w:val="single"/>
        </w:rPr>
      </w:pPr>
      <w:r>
        <w:rPr>
          <w:bCs/>
          <w:szCs w:val="20"/>
        </w:rPr>
        <w:t>T</w:t>
      </w:r>
      <w:r w:rsidR="004B1F8E">
        <w:rPr>
          <w:bCs/>
          <w:szCs w:val="20"/>
        </w:rPr>
        <w:t>he Treaty Bodies should consider adopting joint General Comments on issues of cross cutting relevance</w:t>
      </w:r>
      <w:r w:rsidR="00045FAC">
        <w:rPr>
          <w:bCs/>
          <w:szCs w:val="20"/>
        </w:rPr>
        <w:t>, such as the CRC-CEDAW joint comment of 2014 (</w:t>
      </w:r>
      <w:r w:rsidR="00045FAC">
        <w:rPr>
          <w:rStyle w:val="sessionsubtitle"/>
        </w:rPr>
        <w:t>CRC/C/GC/18)</w:t>
      </w:r>
    </w:p>
    <w:p w14:paraId="407B3459" w14:textId="77777777" w:rsidR="00ED0F8E" w:rsidRPr="00400D0C" w:rsidRDefault="00ED0F8E">
      <w:pPr>
        <w:spacing w:before="120" w:after="120"/>
        <w:jc w:val="both"/>
        <w:rPr>
          <w:i/>
          <w:u w:val="single"/>
        </w:rPr>
      </w:pPr>
    </w:p>
    <w:p w14:paraId="51942242" w14:textId="77777777" w:rsidR="00CF73D4" w:rsidRPr="00237938" w:rsidRDefault="00ED0F8E">
      <w:pPr>
        <w:pStyle w:val="ListParagraph"/>
        <w:numPr>
          <w:ilvl w:val="0"/>
          <w:numId w:val="1"/>
        </w:numPr>
        <w:spacing w:before="120" w:after="120"/>
        <w:jc w:val="both"/>
        <w:rPr>
          <w:i/>
        </w:rPr>
      </w:pPr>
      <w:r w:rsidRPr="00237938">
        <w:rPr>
          <w:i/>
        </w:rPr>
        <w:t>Improved implementation and coordination at the national level</w:t>
      </w:r>
      <w:r w:rsidR="00C75FA0" w:rsidRPr="00237938">
        <w:rPr>
          <w:i/>
        </w:rPr>
        <w:t xml:space="preserve"> </w:t>
      </w:r>
      <w:r w:rsidRPr="00237938">
        <w:rPr>
          <w:i/>
        </w:rPr>
        <w:t>(</w:t>
      </w:r>
      <w:r w:rsidR="00C75FA0" w:rsidRPr="00237938">
        <w:rPr>
          <w:i/>
        </w:rPr>
        <w:t>para.</w:t>
      </w:r>
      <w:r w:rsidR="00CF73D4" w:rsidRPr="00237938">
        <w:rPr>
          <w:i/>
        </w:rPr>
        <w:t xml:space="preserve"> 19 &amp; 20</w:t>
      </w:r>
      <w:r w:rsidRPr="00237938">
        <w:rPr>
          <w:i/>
        </w:rPr>
        <w:t>)</w:t>
      </w:r>
    </w:p>
    <w:p w14:paraId="3AF31558" w14:textId="77777777" w:rsidR="00CF73D4" w:rsidRPr="00237938" w:rsidRDefault="00CF73D4">
      <w:pPr>
        <w:spacing w:before="120" w:after="120"/>
        <w:jc w:val="both"/>
      </w:pPr>
    </w:p>
    <w:p w14:paraId="1A86A2DE" w14:textId="77777777" w:rsidR="00372956" w:rsidRPr="00237938" w:rsidRDefault="00372956">
      <w:pPr>
        <w:spacing w:before="120" w:after="120"/>
        <w:jc w:val="both"/>
        <w:rPr>
          <w:b/>
          <w:i/>
        </w:rPr>
      </w:pPr>
      <w:r w:rsidRPr="00237938">
        <w:rPr>
          <w:b/>
          <w:i/>
        </w:rPr>
        <w:t>Positive developments</w:t>
      </w:r>
    </w:p>
    <w:p w14:paraId="3A22E695" w14:textId="77777777" w:rsidR="003C5E27" w:rsidRPr="00C36CC3" w:rsidRDefault="008579F8">
      <w:pPr>
        <w:spacing w:before="120" w:after="120"/>
        <w:jc w:val="both"/>
      </w:pPr>
      <w:r w:rsidRPr="00237938">
        <w:t xml:space="preserve">The initiation of the OHCHR’s capacity building programme for States on reporting to </w:t>
      </w:r>
      <w:r w:rsidR="002D7848" w:rsidRPr="00C36CC3">
        <w:t>Treaty Bodies</w:t>
      </w:r>
      <w:r w:rsidRPr="00C36CC3">
        <w:t xml:space="preserve"> and following up on recommendations con</w:t>
      </w:r>
      <w:r w:rsidR="00AC33D3" w:rsidRPr="00C36CC3">
        <w:t xml:space="preserve">stitutes a welcome development. The programme directly contributes to fulfilling §19 of </w:t>
      </w:r>
      <w:r w:rsidR="003C5E27" w:rsidRPr="00C36CC3">
        <w:t>the resolution, especially 19.a</w:t>
      </w:r>
      <w:r w:rsidR="002B72E2" w:rsidRPr="00C36CC3">
        <w:t xml:space="preserve"> and b.</w:t>
      </w:r>
      <w:r w:rsidR="003C5E27" w:rsidRPr="00C36CC3">
        <w:t xml:space="preserve"> </w:t>
      </w:r>
    </w:p>
    <w:p w14:paraId="67F4A3FD" w14:textId="77777777" w:rsidR="001E7702" w:rsidRPr="00C36CC3" w:rsidRDefault="003C5E27">
      <w:pPr>
        <w:spacing w:before="120" w:after="120"/>
        <w:jc w:val="both"/>
      </w:pPr>
      <w:r w:rsidRPr="00C36CC3">
        <w:t xml:space="preserve">Likewise, the upcoming publication of an OHCHR manual for States on National Mechanisms for Reporting and Follow-up (NMRF) is expected to boost the establishment and functioning of </w:t>
      </w:r>
      <w:r w:rsidR="00A01A27" w:rsidRPr="00C36CC3">
        <w:t>these important bodies, in compliance with § 19 &amp; 20 of the resolution.</w:t>
      </w:r>
    </w:p>
    <w:p w14:paraId="2F441427" w14:textId="77777777" w:rsidR="006B79A8" w:rsidRPr="00C36CC3" w:rsidRDefault="006B79A8">
      <w:pPr>
        <w:spacing w:before="120" w:after="120"/>
        <w:jc w:val="both"/>
      </w:pPr>
    </w:p>
    <w:p w14:paraId="61C5DD94" w14:textId="77777777" w:rsidR="006B79A8" w:rsidRPr="00C36CC3" w:rsidRDefault="00096B8D">
      <w:pPr>
        <w:spacing w:before="120" w:after="120"/>
        <w:jc w:val="both"/>
        <w:rPr>
          <w:b/>
        </w:rPr>
      </w:pPr>
      <w:r w:rsidRPr="00C36CC3">
        <w:rPr>
          <w:b/>
        </w:rPr>
        <w:t>Key recommendations</w:t>
      </w:r>
      <w:r w:rsidR="006B79A8" w:rsidRPr="00C36CC3">
        <w:rPr>
          <w:b/>
        </w:rPr>
        <w:t>,</w:t>
      </w:r>
    </w:p>
    <w:p w14:paraId="7ED2668E" w14:textId="77777777" w:rsidR="00E61E24" w:rsidRPr="00400D0C" w:rsidRDefault="00372956">
      <w:pPr>
        <w:spacing w:before="120" w:after="120"/>
        <w:jc w:val="both"/>
      </w:pPr>
      <w:r w:rsidRPr="00C36CC3">
        <w:t xml:space="preserve">Treaty Bodies should </w:t>
      </w:r>
      <w:r w:rsidR="00AB497C" w:rsidRPr="00C36CC3">
        <w:t xml:space="preserve">consider and/or expand </w:t>
      </w:r>
      <w:r w:rsidR="00E61E24" w:rsidRPr="00C36CC3">
        <w:t>some of the recommendations which have been made in recent years</w:t>
      </w:r>
      <w:r w:rsidR="002A4326" w:rsidRPr="00400D0C">
        <w:rPr>
          <w:rStyle w:val="FootnoteReference"/>
        </w:rPr>
        <w:footnoteReference w:id="1"/>
      </w:r>
      <w:r w:rsidR="00E61E24" w:rsidRPr="00400D0C">
        <w:t xml:space="preserve"> </w:t>
      </w:r>
      <w:r w:rsidR="00E61E24" w:rsidRPr="00B930C3">
        <w:t>“to support” State “compliance with treaty obligations”</w:t>
      </w:r>
      <w:r w:rsidR="00B3560A" w:rsidRPr="00B930C3">
        <w:t xml:space="preserve"> </w:t>
      </w:r>
      <w:r w:rsidR="00B3560A" w:rsidRPr="00400D0C">
        <w:t>(para. 19.b)</w:t>
      </w:r>
      <w:r w:rsidR="00E61E24" w:rsidRPr="00400D0C">
        <w:t>, notably the implementation of concluding observa</w:t>
      </w:r>
      <w:r w:rsidR="000F6801" w:rsidRPr="00400D0C">
        <w:t>tions. These include inter alia:</w:t>
      </w:r>
    </w:p>
    <w:p w14:paraId="68B55616" w14:textId="77777777" w:rsidR="002A4326" w:rsidRPr="00C36CC3" w:rsidRDefault="0090141A">
      <w:pPr>
        <w:pStyle w:val="ListParagraph"/>
        <w:numPr>
          <w:ilvl w:val="0"/>
          <w:numId w:val="2"/>
        </w:numPr>
        <w:spacing w:before="120" w:after="120"/>
        <w:jc w:val="both"/>
      </w:pPr>
      <w:r>
        <w:t>T</w:t>
      </w:r>
      <w:r w:rsidR="002B72E2" w:rsidRPr="00237938">
        <w:t>he Chair</w:t>
      </w:r>
      <w:r w:rsidR="003F7B6A" w:rsidRPr="00237938">
        <w:t>s</w:t>
      </w:r>
      <w:r w:rsidR="0055068E" w:rsidRPr="00237938">
        <w:t xml:space="preserve"> should integrate the issue of implementation as a standing agenda item</w:t>
      </w:r>
      <w:r w:rsidR="002B72E2" w:rsidRPr="00237938">
        <w:t xml:space="preserve"> at the Chairpersons meetings</w:t>
      </w:r>
      <w:r w:rsidR="0055068E" w:rsidRPr="00237938">
        <w:t xml:space="preserve"> and  encourage </w:t>
      </w:r>
      <w:r w:rsidR="003F7B6A" w:rsidRPr="00237938">
        <w:t>all</w:t>
      </w:r>
      <w:r w:rsidR="002B72E2" w:rsidRPr="00237938">
        <w:t xml:space="preserve"> Treaty Bodies </w:t>
      </w:r>
      <w:r w:rsidR="002A4326" w:rsidRPr="00237938">
        <w:t>to do so as well</w:t>
      </w:r>
      <w:r w:rsidR="002B72E2" w:rsidRPr="00237938">
        <w:t xml:space="preserve"> during their sessions;</w:t>
      </w:r>
    </w:p>
    <w:p w14:paraId="0FB4779E" w14:textId="77777777" w:rsidR="00C063D4" w:rsidRPr="00C36CC3" w:rsidRDefault="0090141A">
      <w:pPr>
        <w:pStyle w:val="ListParagraph"/>
        <w:numPr>
          <w:ilvl w:val="0"/>
          <w:numId w:val="2"/>
        </w:numPr>
        <w:spacing w:before="120" w:after="120"/>
        <w:jc w:val="both"/>
      </w:pPr>
      <w:r>
        <w:t>T</w:t>
      </w:r>
      <w:r w:rsidR="002B72E2" w:rsidRPr="00C36CC3">
        <w:t>he Chair</w:t>
      </w:r>
      <w:r w:rsidR="003F7B6A" w:rsidRPr="00C36CC3">
        <w:t>s</w:t>
      </w:r>
      <w:r w:rsidR="00C93679" w:rsidRPr="00C36CC3">
        <w:t xml:space="preserve"> should adopt a coordinated </w:t>
      </w:r>
      <w:r w:rsidR="008248A7" w:rsidRPr="00C36CC3">
        <w:t>strategy</w:t>
      </w:r>
      <w:r w:rsidR="00C93679" w:rsidRPr="00C36CC3">
        <w:t xml:space="preserve"> on the establishment of NMRFs, and they should encourage </w:t>
      </w:r>
      <w:r w:rsidR="002B72E2" w:rsidRPr="00C36CC3">
        <w:t>the Treaty Bodies</w:t>
      </w:r>
      <w:r w:rsidR="00C93679" w:rsidRPr="00C36CC3">
        <w:t xml:space="preserve"> to recommend the establishment of such bodies in places where they are not established yet</w:t>
      </w:r>
      <w:r w:rsidR="002B72E2" w:rsidRPr="00C36CC3">
        <w:t>;</w:t>
      </w:r>
    </w:p>
    <w:p w14:paraId="195D91E9" w14:textId="0BCE826A" w:rsidR="000F6801" w:rsidRPr="00C36CC3" w:rsidRDefault="0090141A">
      <w:pPr>
        <w:pStyle w:val="ListParagraph"/>
        <w:numPr>
          <w:ilvl w:val="0"/>
          <w:numId w:val="2"/>
        </w:numPr>
        <w:spacing w:before="120" w:after="120"/>
        <w:jc w:val="both"/>
      </w:pPr>
      <w:r>
        <w:t>T</w:t>
      </w:r>
      <w:r w:rsidR="002B72E2" w:rsidRPr="00C36CC3">
        <w:t>he Chairs</w:t>
      </w:r>
      <w:r w:rsidR="00DF6589" w:rsidRPr="00C36CC3">
        <w:t xml:space="preserve"> should encourage </w:t>
      </w:r>
      <w:r w:rsidR="002B72E2" w:rsidRPr="00C36CC3">
        <w:t>Treaty Bodies</w:t>
      </w:r>
      <w:r w:rsidR="00DF6589" w:rsidRPr="00C36CC3">
        <w:t xml:space="preserve"> to </w:t>
      </w:r>
      <w:r w:rsidR="00C063D4" w:rsidRPr="00C36CC3">
        <w:t>take steps to increase their visibility towards rights holders and victims</w:t>
      </w:r>
      <w:r w:rsidR="003B6953" w:rsidRPr="00C36CC3">
        <w:t xml:space="preserve"> at the national level</w:t>
      </w:r>
      <w:r w:rsidR="00C063D4" w:rsidRPr="00C36CC3">
        <w:t xml:space="preserve">, </w:t>
      </w:r>
      <w:r w:rsidR="003B6953" w:rsidRPr="00C36CC3">
        <w:t>including</w:t>
      </w:r>
      <w:r w:rsidR="00C063D4" w:rsidRPr="00C36CC3">
        <w:t xml:space="preserve"> through  social media</w:t>
      </w:r>
      <w:r w:rsidR="002B72E2" w:rsidRPr="00C36CC3">
        <w:t xml:space="preserve">; </w:t>
      </w:r>
    </w:p>
    <w:p w14:paraId="35B36340" w14:textId="6DED2FE7" w:rsidR="00517EEF" w:rsidRPr="00C36CC3" w:rsidRDefault="0090141A">
      <w:pPr>
        <w:pStyle w:val="ListParagraph"/>
        <w:numPr>
          <w:ilvl w:val="0"/>
          <w:numId w:val="2"/>
        </w:numPr>
        <w:spacing w:before="120" w:after="120"/>
        <w:jc w:val="both"/>
      </w:pPr>
      <w:r>
        <w:t>T</w:t>
      </w:r>
      <w:r w:rsidR="002B72E2" w:rsidRPr="00C36CC3">
        <w:t>he Chairs</w:t>
      </w:r>
      <w:r w:rsidR="00517EEF" w:rsidRPr="00C36CC3">
        <w:t xml:space="preserve"> should call on the UN system to </w:t>
      </w:r>
      <w:r w:rsidR="00237951" w:rsidRPr="00C36CC3">
        <w:t xml:space="preserve">integrate </w:t>
      </w:r>
      <w:r w:rsidR="002335E5">
        <w:t>Treaty B</w:t>
      </w:r>
      <w:r w:rsidR="00517EEF" w:rsidRPr="00C36CC3">
        <w:t xml:space="preserve">ody recommendations </w:t>
      </w:r>
      <w:r w:rsidR="008E1C39" w:rsidRPr="00C36CC3">
        <w:t xml:space="preserve">more systematically </w:t>
      </w:r>
      <w:r w:rsidR="00517EEF" w:rsidRPr="00C36CC3">
        <w:t>in their</w:t>
      </w:r>
      <w:r w:rsidR="00237951" w:rsidRPr="00C36CC3">
        <w:t xml:space="preserve"> national</w:t>
      </w:r>
      <w:r w:rsidR="00517EEF" w:rsidRPr="00C36CC3">
        <w:t xml:space="preserve"> work plans</w:t>
      </w:r>
      <w:r w:rsidR="002B72E2" w:rsidRPr="00C36CC3">
        <w:t>;</w:t>
      </w:r>
    </w:p>
    <w:p w14:paraId="3DF34C4B" w14:textId="3F53A92E" w:rsidR="007A5D54" w:rsidRDefault="0090141A" w:rsidP="006A04C1">
      <w:pPr>
        <w:pStyle w:val="ListParagraph"/>
        <w:numPr>
          <w:ilvl w:val="0"/>
          <w:numId w:val="2"/>
        </w:numPr>
        <w:spacing w:before="120" w:after="120"/>
        <w:jc w:val="both"/>
      </w:pPr>
      <w:r>
        <w:t>T</w:t>
      </w:r>
      <w:r w:rsidR="002B72E2" w:rsidRPr="00400D0C">
        <w:t>he Chairs</w:t>
      </w:r>
      <w:r w:rsidR="004B78DF" w:rsidRPr="00400D0C">
        <w:t xml:space="preserve"> should reiterate the need for </w:t>
      </w:r>
      <w:r w:rsidR="002B72E2" w:rsidRPr="00400D0C">
        <w:t>Treaty Bodies</w:t>
      </w:r>
      <w:r w:rsidR="004B78DF" w:rsidRPr="00400D0C">
        <w:t xml:space="preserve"> to increase and improve cross referencing between </w:t>
      </w:r>
      <w:r w:rsidR="00464289" w:rsidRPr="00400D0C">
        <w:t>each other</w:t>
      </w:r>
      <w:r w:rsidR="004B78DF" w:rsidRPr="00400D0C">
        <w:t xml:space="preserve">, as well as references to other international and regional human rights bodies, such </w:t>
      </w:r>
      <w:r w:rsidR="00464289" w:rsidRPr="00237938">
        <w:t>as</w:t>
      </w:r>
      <w:r w:rsidR="002B72E2" w:rsidRPr="00237938">
        <w:t xml:space="preserve"> recommendations by the</w:t>
      </w:r>
      <w:r w:rsidR="00464289" w:rsidRPr="00237938">
        <w:t xml:space="preserve"> Special Procedures</w:t>
      </w:r>
      <w:r w:rsidR="002B72E2" w:rsidRPr="00237938">
        <w:t xml:space="preserve">, the Universal Periodic Review or regional monitoring mechanisms. </w:t>
      </w:r>
    </w:p>
    <w:p w14:paraId="753C64FA" w14:textId="77777777" w:rsidR="00801C6B" w:rsidRDefault="00801C6B" w:rsidP="00801C6B">
      <w:pPr>
        <w:spacing w:before="120" w:after="120"/>
        <w:jc w:val="both"/>
      </w:pPr>
    </w:p>
    <w:p w14:paraId="3EC6065C" w14:textId="782D199C" w:rsidR="00801C6B" w:rsidRPr="00237938" w:rsidRDefault="00801C6B" w:rsidP="00801C6B">
      <w:pPr>
        <w:spacing w:before="120" w:after="120"/>
        <w:jc w:val="both"/>
      </w:pPr>
      <w:r>
        <w:t>27 May 2016</w:t>
      </w:r>
    </w:p>
    <w:sectPr w:rsidR="00801C6B" w:rsidRPr="00237938" w:rsidSect="00801C6B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43671" w14:textId="77777777" w:rsidR="000868F9" w:rsidRDefault="000868F9" w:rsidP="002A4326">
      <w:r>
        <w:separator/>
      </w:r>
    </w:p>
  </w:endnote>
  <w:endnote w:type="continuationSeparator" w:id="0">
    <w:p w14:paraId="2E55CB39" w14:textId="77777777" w:rsidR="000868F9" w:rsidRDefault="000868F9" w:rsidP="002A4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0094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7E5DE9" w14:textId="77777777" w:rsidR="0092045F" w:rsidRDefault="009204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2B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E564CB" w14:textId="77777777" w:rsidR="0092045F" w:rsidRDefault="009204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F7E7B2" w14:textId="77777777" w:rsidR="000868F9" w:rsidRDefault="000868F9" w:rsidP="002A4326">
      <w:r>
        <w:separator/>
      </w:r>
    </w:p>
  </w:footnote>
  <w:footnote w:type="continuationSeparator" w:id="0">
    <w:p w14:paraId="6D9CB956" w14:textId="77777777" w:rsidR="000868F9" w:rsidRDefault="000868F9" w:rsidP="002A4326">
      <w:r>
        <w:continuationSeparator/>
      </w:r>
    </w:p>
  </w:footnote>
  <w:footnote w:id="1">
    <w:p w14:paraId="0B8AA0CB" w14:textId="77777777" w:rsidR="0092045F" w:rsidRPr="00D6423A" w:rsidRDefault="0092045F" w:rsidP="008E6DEE">
      <w:pPr>
        <w:pStyle w:val="FootnoteText"/>
        <w:jc w:val="both"/>
        <w:rPr>
          <w:sz w:val="16"/>
          <w:szCs w:val="16"/>
        </w:rPr>
      </w:pPr>
      <w:r w:rsidRPr="00ED6DAE">
        <w:rPr>
          <w:rStyle w:val="FootnoteReference"/>
          <w:sz w:val="16"/>
          <w:szCs w:val="16"/>
        </w:rPr>
        <w:footnoteRef/>
      </w:r>
      <w:r w:rsidRPr="00ED6DAE">
        <w:rPr>
          <w:sz w:val="16"/>
          <w:szCs w:val="16"/>
        </w:rPr>
        <w:t xml:space="preserve"> Including the January 2015 Wilton Park report “Strengthening the UN human rights treaty monitoring system. What are the next steps?” </w:t>
      </w:r>
      <w:hyperlink r:id="rId1" w:history="1">
        <w:r w:rsidRPr="00D6423A">
          <w:rPr>
            <w:rStyle w:val="Hyperlink"/>
            <w:sz w:val="16"/>
            <w:szCs w:val="16"/>
          </w:rPr>
          <w:t>https://goo.gl/Xcfa9z</w:t>
        </w:r>
      </w:hyperlink>
      <w:r w:rsidRPr="00D6423A">
        <w:rPr>
          <w:sz w:val="16"/>
          <w:szCs w:val="16"/>
        </w:rPr>
        <w:t xml:space="preserve"> and the joint NGO statement to the 2015 meeting of Chairs </w:t>
      </w:r>
      <w:hyperlink r:id="rId2" w:history="1">
        <w:r w:rsidRPr="00D6423A">
          <w:rPr>
            <w:rStyle w:val="Hyperlink"/>
            <w:sz w:val="16"/>
            <w:szCs w:val="16"/>
          </w:rPr>
          <w:t>https://goo.gl/XrHRtc</w:t>
        </w:r>
      </w:hyperlink>
      <w:r w:rsidRPr="00D6423A">
        <w:rPr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A00EE"/>
    <w:multiLevelType w:val="hybridMultilevel"/>
    <w:tmpl w:val="B86A4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E291B"/>
    <w:multiLevelType w:val="hybridMultilevel"/>
    <w:tmpl w:val="E0B881A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A111E"/>
    <w:multiLevelType w:val="hybridMultilevel"/>
    <w:tmpl w:val="912CB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5704B"/>
    <w:multiLevelType w:val="hybridMultilevel"/>
    <w:tmpl w:val="E8B4D9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07EB6"/>
    <w:multiLevelType w:val="hybridMultilevel"/>
    <w:tmpl w:val="E0B881A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226E1D"/>
    <w:multiLevelType w:val="hybridMultilevel"/>
    <w:tmpl w:val="4BB0012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6370D"/>
    <w:multiLevelType w:val="hybridMultilevel"/>
    <w:tmpl w:val="5112A70C"/>
    <w:lvl w:ilvl="0" w:tplc="100C000F">
      <w:start w:val="1"/>
      <w:numFmt w:val="decimal"/>
      <w:lvlText w:val="%1."/>
      <w:lvlJc w:val="left"/>
      <w:pPr>
        <w:ind w:left="360" w:hanging="360"/>
      </w:pPr>
    </w:lvl>
    <w:lvl w:ilvl="1" w:tplc="100C0019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603"/>
    <w:rsid w:val="0000114F"/>
    <w:rsid w:val="00003F9C"/>
    <w:rsid w:val="0000413D"/>
    <w:rsid w:val="00005A4F"/>
    <w:rsid w:val="00006F52"/>
    <w:rsid w:val="000070BC"/>
    <w:rsid w:val="000076C7"/>
    <w:rsid w:val="000153AE"/>
    <w:rsid w:val="00025C70"/>
    <w:rsid w:val="00027F4F"/>
    <w:rsid w:val="00030B20"/>
    <w:rsid w:val="000355AA"/>
    <w:rsid w:val="00036473"/>
    <w:rsid w:val="00045FAC"/>
    <w:rsid w:val="00047FF5"/>
    <w:rsid w:val="00055A08"/>
    <w:rsid w:val="00062551"/>
    <w:rsid w:val="000625B9"/>
    <w:rsid w:val="000642DA"/>
    <w:rsid w:val="000657F4"/>
    <w:rsid w:val="0006621F"/>
    <w:rsid w:val="0006717A"/>
    <w:rsid w:val="000868F9"/>
    <w:rsid w:val="00086C1E"/>
    <w:rsid w:val="00090D61"/>
    <w:rsid w:val="000937D2"/>
    <w:rsid w:val="00095098"/>
    <w:rsid w:val="00096B8D"/>
    <w:rsid w:val="000A1EC6"/>
    <w:rsid w:val="000A3787"/>
    <w:rsid w:val="000C3DC7"/>
    <w:rsid w:val="000D026E"/>
    <w:rsid w:val="000D2960"/>
    <w:rsid w:val="000D3DD7"/>
    <w:rsid w:val="000D509C"/>
    <w:rsid w:val="000D5E76"/>
    <w:rsid w:val="000E26CC"/>
    <w:rsid w:val="000E4476"/>
    <w:rsid w:val="000E6C71"/>
    <w:rsid w:val="000F022A"/>
    <w:rsid w:val="000F5FFC"/>
    <w:rsid w:val="000F6801"/>
    <w:rsid w:val="000F68CC"/>
    <w:rsid w:val="00104DAB"/>
    <w:rsid w:val="001124B0"/>
    <w:rsid w:val="001141C4"/>
    <w:rsid w:val="001146E1"/>
    <w:rsid w:val="00117031"/>
    <w:rsid w:val="00121C35"/>
    <w:rsid w:val="00124E2D"/>
    <w:rsid w:val="0013436A"/>
    <w:rsid w:val="00141C00"/>
    <w:rsid w:val="0015477D"/>
    <w:rsid w:val="00162027"/>
    <w:rsid w:val="00162603"/>
    <w:rsid w:val="00165870"/>
    <w:rsid w:val="001672F1"/>
    <w:rsid w:val="001741D3"/>
    <w:rsid w:val="001762EB"/>
    <w:rsid w:val="001855F5"/>
    <w:rsid w:val="00193670"/>
    <w:rsid w:val="0019790D"/>
    <w:rsid w:val="001A0449"/>
    <w:rsid w:val="001A19BB"/>
    <w:rsid w:val="001B08D5"/>
    <w:rsid w:val="001B4ACC"/>
    <w:rsid w:val="001B792B"/>
    <w:rsid w:val="001C0A3E"/>
    <w:rsid w:val="001C3DBD"/>
    <w:rsid w:val="001D1461"/>
    <w:rsid w:val="001E33E3"/>
    <w:rsid w:val="001E7702"/>
    <w:rsid w:val="001F0830"/>
    <w:rsid w:val="001F7375"/>
    <w:rsid w:val="00202D02"/>
    <w:rsid w:val="00216D69"/>
    <w:rsid w:val="00230D49"/>
    <w:rsid w:val="002335E5"/>
    <w:rsid w:val="00234784"/>
    <w:rsid w:val="00237938"/>
    <w:rsid w:val="00237951"/>
    <w:rsid w:val="00242788"/>
    <w:rsid w:val="00243767"/>
    <w:rsid w:val="00252F87"/>
    <w:rsid w:val="00254F1D"/>
    <w:rsid w:val="00254FA4"/>
    <w:rsid w:val="002623F8"/>
    <w:rsid w:val="002629E8"/>
    <w:rsid w:val="00263B8A"/>
    <w:rsid w:val="00275EE2"/>
    <w:rsid w:val="002769CD"/>
    <w:rsid w:val="00281047"/>
    <w:rsid w:val="00282A6D"/>
    <w:rsid w:val="00284615"/>
    <w:rsid w:val="00286967"/>
    <w:rsid w:val="002909B4"/>
    <w:rsid w:val="00294681"/>
    <w:rsid w:val="002A04E8"/>
    <w:rsid w:val="002A4326"/>
    <w:rsid w:val="002A6A24"/>
    <w:rsid w:val="002A6B79"/>
    <w:rsid w:val="002B1B4B"/>
    <w:rsid w:val="002B72E2"/>
    <w:rsid w:val="002C1F9C"/>
    <w:rsid w:val="002C3117"/>
    <w:rsid w:val="002C3449"/>
    <w:rsid w:val="002D01B2"/>
    <w:rsid w:val="002D5EC5"/>
    <w:rsid w:val="002D7848"/>
    <w:rsid w:val="002E666E"/>
    <w:rsid w:val="002F5B64"/>
    <w:rsid w:val="00301091"/>
    <w:rsid w:val="00307C3C"/>
    <w:rsid w:val="00312F35"/>
    <w:rsid w:val="00314400"/>
    <w:rsid w:val="003147CA"/>
    <w:rsid w:val="003160D5"/>
    <w:rsid w:val="00323496"/>
    <w:rsid w:val="003248CD"/>
    <w:rsid w:val="00325399"/>
    <w:rsid w:val="00325E19"/>
    <w:rsid w:val="00326AD6"/>
    <w:rsid w:val="00330A74"/>
    <w:rsid w:val="00332EEB"/>
    <w:rsid w:val="0033711B"/>
    <w:rsid w:val="00341D5E"/>
    <w:rsid w:val="00343210"/>
    <w:rsid w:val="003448DD"/>
    <w:rsid w:val="0036121C"/>
    <w:rsid w:val="00363C32"/>
    <w:rsid w:val="003648C7"/>
    <w:rsid w:val="00372956"/>
    <w:rsid w:val="0037393D"/>
    <w:rsid w:val="0037582A"/>
    <w:rsid w:val="00382F27"/>
    <w:rsid w:val="003837CB"/>
    <w:rsid w:val="003852A4"/>
    <w:rsid w:val="003937D6"/>
    <w:rsid w:val="00397ECF"/>
    <w:rsid w:val="003A1940"/>
    <w:rsid w:val="003A1F26"/>
    <w:rsid w:val="003A2AD3"/>
    <w:rsid w:val="003A58C7"/>
    <w:rsid w:val="003B6667"/>
    <w:rsid w:val="003B6953"/>
    <w:rsid w:val="003C5801"/>
    <w:rsid w:val="003C5E27"/>
    <w:rsid w:val="003E0064"/>
    <w:rsid w:val="003E4F91"/>
    <w:rsid w:val="003E680C"/>
    <w:rsid w:val="003E79BC"/>
    <w:rsid w:val="003F4385"/>
    <w:rsid w:val="003F4A6F"/>
    <w:rsid w:val="003F7B6A"/>
    <w:rsid w:val="00400D0C"/>
    <w:rsid w:val="00403A1E"/>
    <w:rsid w:val="004054BD"/>
    <w:rsid w:val="0040681C"/>
    <w:rsid w:val="004076FD"/>
    <w:rsid w:val="00412513"/>
    <w:rsid w:val="00412942"/>
    <w:rsid w:val="00415611"/>
    <w:rsid w:val="00416977"/>
    <w:rsid w:val="004218E5"/>
    <w:rsid w:val="00427540"/>
    <w:rsid w:val="00432E30"/>
    <w:rsid w:val="00434A95"/>
    <w:rsid w:val="00455512"/>
    <w:rsid w:val="00456ACF"/>
    <w:rsid w:val="00457C39"/>
    <w:rsid w:val="00461534"/>
    <w:rsid w:val="0046264A"/>
    <w:rsid w:val="004629B2"/>
    <w:rsid w:val="00464289"/>
    <w:rsid w:val="004659D7"/>
    <w:rsid w:val="00470316"/>
    <w:rsid w:val="0047541A"/>
    <w:rsid w:val="00475B65"/>
    <w:rsid w:val="00477BF6"/>
    <w:rsid w:val="004A5E4E"/>
    <w:rsid w:val="004B1F8E"/>
    <w:rsid w:val="004B5A11"/>
    <w:rsid w:val="004B78DF"/>
    <w:rsid w:val="004C3A73"/>
    <w:rsid w:val="004C685E"/>
    <w:rsid w:val="004E21E8"/>
    <w:rsid w:val="004E5C7A"/>
    <w:rsid w:val="004F0350"/>
    <w:rsid w:val="004F4544"/>
    <w:rsid w:val="004F6902"/>
    <w:rsid w:val="004F7A52"/>
    <w:rsid w:val="00506517"/>
    <w:rsid w:val="005129A9"/>
    <w:rsid w:val="00512A0B"/>
    <w:rsid w:val="00512EB7"/>
    <w:rsid w:val="00514337"/>
    <w:rsid w:val="00516172"/>
    <w:rsid w:val="00517EEF"/>
    <w:rsid w:val="00521343"/>
    <w:rsid w:val="00526350"/>
    <w:rsid w:val="00526B46"/>
    <w:rsid w:val="0053217F"/>
    <w:rsid w:val="005357DA"/>
    <w:rsid w:val="00536760"/>
    <w:rsid w:val="005368A9"/>
    <w:rsid w:val="00541CD4"/>
    <w:rsid w:val="005446FF"/>
    <w:rsid w:val="0054588C"/>
    <w:rsid w:val="00545920"/>
    <w:rsid w:val="0055068E"/>
    <w:rsid w:val="00553E48"/>
    <w:rsid w:val="00557237"/>
    <w:rsid w:val="005578DD"/>
    <w:rsid w:val="005641AF"/>
    <w:rsid w:val="00564631"/>
    <w:rsid w:val="005810C0"/>
    <w:rsid w:val="00586B4C"/>
    <w:rsid w:val="005929DD"/>
    <w:rsid w:val="0059668B"/>
    <w:rsid w:val="005A26F9"/>
    <w:rsid w:val="005A7BB0"/>
    <w:rsid w:val="005B07FC"/>
    <w:rsid w:val="005C707C"/>
    <w:rsid w:val="005E4DE0"/>
    <w:rsid w:val="005F09CD"/>
    <w:rsid w:val="00603133"/>
    <w:rsid w:val="00604700"/>
    <w:rsid w:val="00622C61"/>
    <w:rsid w:val="0064159A"/>
    <w:rsid w:val="0064309B"/>
    <w:rsid w:val="00644F80"/>
    <w:rsid w:val="00645AEB"/>
    <w:rsid w:val="00646516"/>
    <w:rsid w:val="00654402"/>
    <w:rsid w:val="00661AF2"/>
    <w:rsid w:val="006633D2"/>
    <w:rsid w:val="00663790"/>
    <w:rsid w:val="00667BF0"/>
    <w:rsid w:val="00671813"/>
    <w:rsid w:val="00677DA3"/>
    <w:rsid w:val="00681970"/>
    <w:rsid w:val="006922FD"/>
    <w:rsid w:val="00697342"/>
    <w:rsid w:val="006A7C18"/>
    <w:rsid w:val="006B15B7"/>
    <w:rsid w:val="006B3D94"/>
    <w:rsid w:val="006B45DC"/>
    <w:rsid w:val="006B49CA"/>
    <w:rsid w:val="006B5116"/>
    <w:rsid w:val="006B79A8"/>
    <w:rsid w:val="006C2CCA"/>
    <w:rsid w:val="006C35B4"/>
    <w:rsid w:val="006C61BD"/>
    <w:rsid w:val="006D5267"/>
    <w:rsid w:val="006E5E30"/>
    <w:rsid w:val="006E6121"/>
    <w:rsid w:val="006F2B1B"/>
    <w:rsid w:val="006F77B3"/>
    <w:rsid w:val="007039F2"/>
    <w:rsid w:val="0070544E"/>
    <w:rsid w:val="00707380"/>
    <w:rsid w:val="00711D79"/>
    <w:rsid w:val="00711DA2"/>
    <w:rsid w:val="0074269F"/>
    <w:rsid w:val="00752592"/>
    <w:rsid w:val="00753553"/>
    <w:rsid w:val="00754512"/>
    <w:rsid w:val="0075561E"/>
    <w:rsid w:val="00755E1B"/>
    <w:rsid w:val="00766A36"/>
    <w:rsid w:val="00770AAF"/>
    <w:rsid w:val="00775280"/>
    <w:rsid w:val="00777B72"/>
    <w:rsid w:val="00781D51"/>
    <w:rsid w:val="00782DA9"/>
    <w:rsid w:val="007851C9"/>
    <w:rsid w:val="00790664"/>
    <w:rsid w:val="00790732"/>
    <w:rsid w:val="00795B6D"/>
    <w:rsid w:val="0079632F"/>
    <w:rsid w:val="007A28D8"/>
    <w:rsid w:val="007A5D54"/>
    <w:rsid w:val="007B1C40"/>
    <w:rsid w:val="007C354E"/>
    <w:rsid w:val="007D470C"/>
    <w:rsid w:val="007D485D"/>
    <w:rsid w:val="007E315D"/>
    <w:rsid w:val="007E52BF"/>
    <w:rsid w:val="007E69A8"/>
    <w:rsid w:val="007F2CBB"/>
    <w:rsid w:val="0080005B"/>
    <w:rsid w:val="00801C6B"/>
    <w:rsid w:val="00801CF8"/>
    <w:rsid w:val="00803EC2"/>
    <w:rsid w:val="00804F63"/>
    <w:rsid w:val="00804FEE"/>
    <w:rsid w:val="00810691"/>
    <w:rsid w:val="00812AFD"/>
    <w:rsid w:val="00814112"/>
    <w:rsid w:val="008150D4"/>
    <w:rsid w:val="00815FDA"/>
    <w:rsid w:val="00820986"/>
    <w:rsid w:val="008219D5"/>
    <w:rsid w:val="008248A7"/>
    <w:rsid w:val="00827385"/>
    <w:rsid w:val="00827B94"/>
    <w:rsid w:val="008302C5"/>
    <w:rsid w:val="008304A9"/>
    <w:rsid w:val="008323BA"/>
    <w:rsid w:val="00832FFD"/>
    <w:rsid w:val="008338E6"/>
    <w:rsid w:val="008348C5"/>
    <w:rsid w:val="00836419"/>
    <w:rsid w:val="00840A76"/>
    <w:rsid w:val="008418B5"/>
    <w:rsid w:val="00841F6C"/>
    <w:rsid w:val="00845CC5"/>
    <w:rsid w:val="00847F1B"/>
    <w:rsid w:val="00855E7B"/>
    <w:rsid w:val="008579F8"/>
    <w:rsid w:val="00864EDF"/>
    <w:rsid w:val="008725FE"/>
    <w:rsid w:val="008937E7"/>
    <w:rsid w:val="00893E4D"/>
    <w:rsid w:val="008A0E59"/>
    <w:rsid w:val="008A2216"/>
    <w:rsid w:val="008A4E38"/>
    <w:rsid w:val="008A5DC5"/>
    <w:rsid w:val="008C06D6"/>
    <w:rsid w:val="008C365D"/>
    <w:rsid w:val="008C3FAE"/>
    <w:rsid w:val="008C61FB"/>
    <w:rsid w:val="008C655F"/>
    <w:rsid w:val="008D6D88"/>
    <w:rsid w:val="008E172E"/>
    <w:rsid w:val="008E1C39"/>
    <w:rsid w:val="008E1E72"/>
    <w:rsid w:val="008E3118"/>
    <w:rsid w:val="008E6DEE"/>
    <w:rsid w:val="008F24EF"/>
    <w:rsid w:val="008F5285"/>
    <w:rsid w:val="0090141A"/>
    <w:rsid w:val="00915602"/>
    <w:rsid w:val="009165C2"/>
    <w:rsid w:val="0092045F"/>
    <w:rsid w:val="00921A5C"/>
    <w:rsid w:val="0092384C"/>
    <w:rsid w:val="0092536E"/>
    <w:rsid w:val="00925BCE"/>
    <w:rsid w:val="00931317"/>
    <w:rsid w:val="00934D8D"/>
    <w:rsid w:val="00946925"/>
    <w:rsid w:val="009501A1"/>
    <w:rsid w:val="00950B02"/>
    <w:rsid w:val="00950E6C"/>
    <w:rsid w:val="00956B8D"/>
    <w:rsid w:val="00961ABB"/>
    <w:rsid w:val="00970C95"/>
    <w:rsid w:val="00971008"/>
    <w:rsid w:val="00986FC8"/>
    <w:rsid w:val="00992B54"/>
    <w:rsid w:val="00993CBD"/>
    <w:rsid w:val="009A2118"/>
    <w:rsid w:val="009A3E23"/>
    <w:rsid w:val="009B0EE5"/>
    <w:rsid w:val="009C38D4"/>
    <w:rsid w:val="009C392E"/>
    <w:rsid w:val="009C6BA6"/>
    <w:rsid w:val="009C6C07"/>
    <w:rsid w:val="009C6CF2"/>
    <w:rsid w:val="009D7195"/>
    <w:rsid w:val="009E3D02"/>
    <w:rsid w:val="009F1855"/>
    <w:rsid w:val="00A01A27"/>
    <w:rsid w:val="00A1128D"/>
    <w:rsid w:val="00A1380B"/>
    <w:rsid w:val="00A13A5A"/>
    <w:rsid w:val="00A163F4"/>
    <w:rsid w:val="00A227DC"/>
    <w:rsid w:val="00A26D7B"/>
    <w:rsid w:val="00A3419A"/>
    <w:rsid w:val="00A36AC7"/>
    <w:rsid w:val="00A43A06"/>
    <w:rsid w:val="00A55733"/>
    <w:rsid w:val="00A62A89"/>
    <w:rsid w:val="00A7031B"/>
    <w:rsid w:val="00A7424C"/>
    <w:rsid w:val="00A80B0E"/>
    <w:rsid w:val="00AA0C9E"/>
    <w:rsid w:val="00AA2248"/>
    <w:rsid w:val="00AA3116"/>
    <w:rsid w:val="00AB3603"/>
    <w:rsid w:val="00AB3770"/>
    <w:rsid w:val="00AB497C"/>
    <w:rsid w:val="00AB5E65"/>
    <w:rsid w:val="00AC132D"/>
    <w:rsid w:val="00AC33D3"/>
    <w:rsid w:val="00AC437B"/>
    <w:rsid w:val="00AC5CC0"/>
    <w:rsid w:val="00AE74AF"/>
    <w:rsid w:val="00AF0C81"/>
    <w:rsid w:val="00B03537"/>
    <w:rsid w:val="00B10EE7"/>
    <w:rsid w:val="00B12ADE"/>
    <w:rsid w:val="00B12E1F"/>
    <w:rsid w:val="00B2596E"/>
    <w:rsid w:val="00B32967"/>
    <w:rsid w:val="00B34541"/>
    <w:rsid w:val="00B3560A"/>
    <w:rsid w:val="00B4082E"/>
    <w:rsid w:val="00B44903"/>
    <w:rsid w:val="00B51A7C"/>
    <w:rsid w:val="00B51DB7"/>
    <w:rsid w:val="00B55E65"/>
    <w:rsid w:val="00B614E9"/>
    <w:rsid w:val="00B620AF"/>
    <w:rsid w:val="00B7107A"/>
    <w:rsid w:val="00B74C2D"/>
    <w:rsid w:val="00B755C2"/>
    <w:rsid w:val="00B831C0"/>
    <w:rsid w:val="00B930C3"/>
    <w:rsid w:val="00B9330F"/>
    <w:rsid w:val="00BA0160"/>
    <w:rsid w:val="00BA5092"/>
    <w:rsid w:val="00BA7D4B"/>
    <w:rsid w:val="00BB29FF"/>
    <w:rsid w:val="00BC15A2"/>
    <w:rsid w:val="00BC19DD"/>
    <w:rsid w:val="00BC2300"/>
    <w:rsid w:val="00BC4F54"/>
    <w:rsid w:val="00BC59B1"/>
    <w:rsid w:val="00BC71C2"/>
    <w:rsid w:val="00BD1905"/>
    <w:rsid w:val="00BD213D"/>
    <w:rsid w:val="00BD29BC"/>
    <w:rsid w:val="00BD410F"/>
    <w:rsid w:val="00BD7C0E"/>
    <w:rsid w:val="00BE1235"/>
    <w:rsid w:val="00BF15B1"/>
    <w:rsid w:val="00BF5404"/>
    <w:rsid w:val="00C0282E"/>
    <w:rsid w:val="00C0283A"/>
    <w:rsid w:val="00C02B12"/>
    <w:rsid w:val="00C0317A"/>
    <w:rsid w:val="00C049EA"/>
    <w:rsid w:val="00C063D4"/>
    <w:rsid w:val="00C07D3F"/>
    <w:rsid w:val="00C159B0"/>
    <w:rsid w:val="00C2029B"/>
    <w:rsid w:val="00C22188"/>
    <w:rsid w:val="00C30EB7"/>
    <w:rsid w:val="00C36CC3"/>
    <w:rsid w:val="00C46206"/>
    <w:rsid w:val="00C50E65"/>
    <w:rsid w:val="00C53B3B"/>
    <w:rsid w:val="00C56586"/>
    <w:rsid w:val="00C57539"/>
    <w:rsid w:val="00C63D34"/>
    <w:rsid w:val="00C668E5"/>
    <w:rsid w:val="00C66A94"/>
    <w:rsid w:val="00C75FA0"/>
    <w:rsid w:val="00C85038"/>
    <w:rsid w:val="00C93679"/>
    <w:rsid w:val="00CA7F49"/>
    <w:rsid w:val="00CB148C"/>
    <w:rsid w:val="00CB3039"/>
    <w:rsid w:val="00CD79CB"/>
    <w:rsid w:val="00CE4BF4"/>
    <w:rsid w:val="00CF2D5C"/>
    <w:rsid w:val="00CF38BB"/>
    <w:rsid w:val="00CF73D4"/>
    <w:rsid w:val="00CF744B"/>
    <w:rsid w:val="00D12BB4"/>
    <w:rsid w:val="00D13263"/>
    <w:rsid w:val="00D16A95"/>
    <w:rsid w:val="00D17F26"/>
    <w:rsid w:val="00D202DE"/>
    <w:rsid w:val="00D22C0D"/>
    <w:rsid w:val="00D32CFE"/>
    <w:rsid w:val="00D35A7B"/>
    <w:rsid w:val="00D54E12"/>
    <w:rsid w:val="00D55E9D"/>
    <w:rsid w:val="00D56050"/>
    <w:rsid w:val="00D608C0"/>
    <w:rsid w:val="00D63EA9"/>
    <w:rsid w:val="00D6423A"/>
    <w:rsid w:val="00D65A77"/>
    <w:rsid w:val="00D67B8C"/>
    <w:rsid w:val="00D753BC"/>
    <w:rsid w:val="00D80FBE"/>
    <w:rsid w:val="00D92999"/>
    <w:rsid w:val="00D92DA9"/>
    <w:rsid w:val="00DA1502"/>
    <w:rsid w:val="00DA3ED7"/>
    <w:rsid w:val="00DC117D"/>
    <w:rsid w:val="00DC709E"/>
    <w:rsid w:val="00DD012F"/>
    <w:rsid w:val="00DD5959"/>
    <w:rsid w:val="00DE140C"/>
    <w:rsid w:val="00DE4062"/>
    <w:rsid w:val="00DE4E65"/>
    <w:rsid w:val="00DE6038"/>
    <w:rsid w:val="00DE69B1"/>
    <w:rsid w:val="00DF2D81"/>
    <w:rsid w:val="00DF6589"/>
    <w:rsid w:val="00DF747C"/>
    <w:rsid w:val="00E05D40"/>
    <w:rsid w:val="00E1070D"/>
    <w:rsid w:val="00E10AA5"/>
    <w:rsid w:val="00E140E2"/>
    <w:rsid w:val="00E141E6"/>
    <w:rsid w:val="00E14C3C"/>
    <w:rsid w:val="00E166DB"/>
    <w:rsid w:val="00E25718"/>
    <w:rsid w:val="00E26D98"/>
    <w:rsid w:val="00E30DB9"/>
    <w:rsid w:val="00E47191"/>
    <w:rsid w:val="00E61E24"/>
    <w:rsid w:val="00E6690E"/>
    <w:rsid w:val="00E66DA1"/>
    <w:rsid w:val="00E831C7"/>
    <w:rsid w:val="00E92051"/>
    <w:rsid w:val="00E92615"/>
    <w:rsid w:val="00E9405D"/>
    <w:rsid w:val="00E94D23"/>
    <w:rsid w:val="00EC2EF4"/>
    <w:rsid w:val="00EC48DC"/>
    <w:rsid w:val="00EC4BD5"/>
    <w:rsid w:val="00ED07AF"/>
    <w:rsid w:val="00ED0F8E"/>
    <w:rsid w:val="00ED6DAE"/>
    <w:rsid w:val="00EE0D07"/>
    <w:rsid w:val="00EF2A1F"/>
    <w:rsid w:val="00EF640F"/>
    <w:rsid w:val="00EF6C78"/>
    <w:rsid w:val="00EF7798"/>
    <w:rsid w:val="00F127B6"/>
    <w:rsid w:val="00F12F49"/>
    <w:rsid w:val="00F13526"/>
    <w:rsid w:val="00F1599C"/>
    <w:rsid w:val="00F228BA"/>
    <w:rsid w:val="00F30B49"/>
    <w:rsid w:val="00F44134"/>
    <w:rsid w:val="00F46C41"/>
    <w:rsid w:val="00F51C1B"/>
    <w:rsid w:val="00F53BDE"/>
    <w:rsid w:val="00F60268"/>
    <w:rsid w:val="00F60C12"/>
    <w:rsid w:val="00F8128F"/>
    <w:rsid w:val="00F8176E"/>
    <w:rsid w:val="00F9252C"/>
    <w:rsid w:val="00F95A69"/>
    <w:rsid w:val="00F96063"/>
    <w:rsid w:val="00F9736E"/>
    <w:rsid w:val="00F97E90"/>
    <w:rsid w:val="00FA5CB8"/>
    <w:rsid w:val="00FB1C5B"/>
    <w:rsid w:val="00FB3E1E"/>
    <w:rsid w:val="00FB4FF3"/>
    <w:rsid w:val="00FB7EC6"/>
    <w:rsid w:val="00FC2473"/>
    <w:rsid w:val="00FC55FB"/>
    <w:rsid w:val="00FC7964"/>
    <w:rsid w:val="00FC7E71"/>
    <w:rsid w:val="00FD04A3"/>
    <w:rsid w:val="00FD3005"/>
    <w:rsid w:val="00FF5298"/>
    <w:rsid w:val="00FF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04C8B0A4"/>
  <w15:docId w15:val="{A250F9B7-1F84-4AAC-BA7E-E482987F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="Times New Roman" w:hAnsi="Century Gothic" w:cstheme="minorBidi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E6C"/>
    <w:pPr>
      <w:suppressAutoHyphens/>
      <w:spacing w:after="0" w:line="240" w:lineRule="auto"/>
    </w:pPr>
    <w:rPr>
      <w:rFonts w:cs="Arial"/>
      <w:szCs w:val="18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3D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2A4326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A4326"/>
    <w:rPr>
      <w:rFonts w:cs="Arial"/>
      <w:lang w:val="en-GB" w:eastAsia="ar-SA"/>
    </w:rPr>
  </w:style>
  <w:style w:type="character" w:styleId="FootnoteReference">
    <w:name w:val="footnote reference"/>
    <w:basedOn w:val="DefaultParagraphFont"/>
    <w:uiPriority w:val="99"/>
    <w:unhideWhenUsed/>
    <w:rsid w:val="002A432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A432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432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68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85E"/>
    <w:rPr>
      <w:rFonts w:cs="Arial"/>
      <w:szCs w:val="18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4C68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5E"/>
    <w:rPr>
      <w:rFonts w:cs="Arial"/>
      <w:szCs w:val="18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A3E"/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A3E"/>
    <w:rPr>
      <w:rFonts w:ascii="Segoe UI" w:hAnsi="Segoe UI" w:cs="Segoe UI"/>
      <w:sz w:val="18"/>
      <w:szCs w:val="18"/>
      <w:lang w:val="en-GB"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434A9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A9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A95"/>
    <w:rPr>
      <w:rFonts w:cs="Arial"/>
      <w:sz w:val="24"/>
      <w:szCs w:val="24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A9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A95"/>
    <w:rPr>
      <w:rFonts w:cs="Arial"/>
      <w:b/>
      <w:bCs/>
      <w:sz w:val="24"/>
      <w:szCs w:val="24"/>
      <w:lang w:val="en-GB" w:eastAsia="ar-SA"/>
    </w:rPr>
  </w:style>
  <w:style w:type="paragraph" w:customStyle="1" w:styleId="SingleTxtG">
    <w:name w:val="_ Single Txt_G"/>
    <w:basedOn w:val="Normal"/>
    <w:qFormat/>
    <w:rsid w:val="00434A95"/>
    <w:pPr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eastAsia="SimSun" w:hAnsi="Times New Roman" w:cs="Times New Roman"/>
      <w:szCs w:val="20"/>
      <w:lang w:val="en-US" w:eastAsia="zh-CN"/>
    </w:rPr>
  </w:style>
  <w:style w:type="paragraph" w:customStyle="1" w:styleId="H23G">
    <w:name w:val="_ H_2/3_G"/>
    <w:basedOn w:val="Normal"/>
    <w:next w:val="Normal"/>
    <w:rsid w:val="00434A9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ascii="Times New Roman" w:hAnsi="Times New Roman" w:cs="Times New Roman"/>
      <w:b/>
      <w:szCs w:val="20"/>
      <w:lang w:val="fr-CH" w:eastAsia="en-US"/>
    </w:rPr>
  </w:style>
  <w:style w:type="paragraph" w:styleId="NormalWeb">
    <w:name w:val="Normal (Web)"/>
    <w:basedOn w:val="Normal"/>
    <w:uiPriority w:val="99"/>
    <w:unhideWhenUsed/>
    <w:rsid w:val="00ED0F8E"/>
    <w:pPr>
      <w:suppressAutoHyphens w:val="0"/>
      <w:spacing w:before="100" w:beforeAutospacing="1" w:after="100" w:afterAutospacing="1"/>
    </w:pPr>
    <w:rPr>
      <w:rFonts w:ascii="Times" w:hAnsi="Times" w:cs="Times New Roman"/>
      <w:szCs w:val="20"/>
      <w:lang w:val="en-US" w:eastAsia="en-US"/>
    </w:rPr>
  </w:style>
  <w:style w:type="paragraph" w:customStyle="1" w:styleId="Default">
    <w:name w:val="Default"/>
    <w:rsid w:val="002D78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C30EB7"/>
    <w:pPr>
      <w:spacing w:after="0" w:line="240" w:lineRule="auto"/>
    </w:pPr>
    <w:rPr>
      <w:rFonts w:cs="Arial"/>
      <w:szCs w:val="18"/>
      <w:lang w:val="en-GB" w:eastAsia="ar-SA"/>
    </w:rPr>
  </w:style>
  <w:style w:type="character" w:customStyle="1" w:styleId="sessionsubtitle">
    <w:name w:val="sessionsubtitle"/>
    <w:basedOn w:val="DefaultParagraphFont"/>
    <w:rsid w:val="00045F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7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goo.gl/XrHRtc" TargetMode="External"/><Relationship Id="rId1" Type="http://schemas.openxmlformats.org/officeDocument/2006/relationships/hyperlink" Target="https://goo.gl/Xcfa9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033B28-DFDC-4556-AA71-16CF7C9D6010}"/>
</file>

<file path=customXml/itemProps2.xml><?xml version="1.0" encoding="utf-8"?>
<ds:datastoreItem xmlns:ds="http://schemas.openxmlformats.org/officeDocument/2006/customXml" ds:itemID="{67059196-A934-44FE-BEBD-399ADB04F5F9}"/>
</file>

<file path=customXml/itemProps3.xml><?xml version="1.0" encoding="utf-8"?>
<ds:datastoreItem xmlns:ds="http://schemas.openxmlformats.org/officeDocument/2006/customXml" ds:itemID="{382F6016-D189-4ED4-866A-33E2099F4456}"/>
</file>

<file path=customXml/itemProps4.xml><?xml version="1.0" encoding="utf-8"?>
<ds:datastoreItem xmlns:ds="http://schemas.openxmlformats.org/officeDocument/2006/customXml" ds:itemID="{26BA6BCF-7F3F-4655-82CE-C330F31CD22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1420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Ploton</dc:creator>
  <cp:keywords/>
  <dc:description/>
  <cp:lastModifiedBy>Vincent Ploton</cp:lastModifiedBy>
  <cp:revision>3</cp:revision>
  <cp:lastPrinted>2016-05-26T14:46:00Z</cp:lastPrinted>
  <dcterms:created xsi:type="dcterms:W3CDTF">2016-05-31T09:11:00Z</dcterms:created>
  <dcterms:modified xsi:type="dcterms:W3CDTF">2016-05-31T15:52:00Z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3539800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