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bookmarkStart w:id="0" w:name="_GoBack"/>
            <w:bookmarkEnd w:id="0"/>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C72823" w:rsidP="00C72823">
            <w:pPr>
              <w:suppressAutoHyphens w:val="0"/>
              <w:spacing w:after="20"/>
              <w:jc w:val="right"/>
            </w:pPr>
            <w:r w:rsidRPr="00C72823">
              <w:rPr>
                <w:sz w:val="40"/>
              </w:rPr>
              <w:t>HRI</w:t>
            </w:r>
            <w:r>
              <w:t>/MC/2017/2</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en-GB"/>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C72823" w:rsidP="00C72823">
            <w:pPr>
              <w:suppressAutoHyphens w:val="0"/>
              <w:spacing w:before="240" w:line="240" w:lineRule="exact"/>
            </w:pPr>
            <w:r>
              <w:t>Distr.: General</w:t>
            </w:r>
          </w:p>
          <w:p w:rsidR="00C72823" w:rsidRDefault="008F7606" w:rsidP="00C72823">
            <w:pPr>
              <w:suppressAutoHyphens w:val="0"/>
            </w:pPr>
            <w:r>
              <w:t>2</w:t>
            </w:r>
            <w:r w:rsidR="00C72823">
              <w:t xml:space="preserve"> May 2017</w:t>
            </w:r>
          </w:p>
          <w:p w:rsidR="00C72823" w:rsidRDefault="00C72823" w:rsidP="00C72823">
            <w:pPr>
              <w:suppressAutoHyphens w:val="0"/>
            </w:pPr>
          </w:p>
          <w:p w:rsidR="00780993" w:rsidRDefault="00780993" w:rsidP="00C72823">
            <w:pPr>
              <w:suppressAutoHyphens w:val="0"/>
            </w:pPr>
            <w:r>
              <w:t>Original : English</w:t>
            </w:r>
          </w:p>
          <w:p w:rsidR="00C72823" w:rsidRDefault="00C72823" w:rsidP="00C72823">
            <w:pPr>
              <w:suppressAutoHyphens w:val="0"/>
            </w:pPr>
            <w:r>
              <w:t>English, French and Spanish only</w:t>
            </w:r>
          </w:p>
        </w:tc>
      </w:tr>
    </w:tbl>
    <w:p w:rsidR="00B66B18" w:rsidRPr="009873DB" w:rsidRDefault="00B66B18" w:rsidP="00B66B18">
      <w:pPr>
        <w:spacing w:before="120"/>
      </w:pPr>
      <w:r w:rsidRPr="00B66B18">
        <w:rPr>
          <w:b/>
          <w:sz w:val="24"/>
          <w:szCs w:val="24"/>
        </w:rPr>
        <w:t>Twenty-ninth meeting of Chairs</w:t>
      </w:r>
      <w:r w:rsidRPr="00B66B18">
        <w:rPr>
          <w:b/>
          <w:sz w:val="24"/>
          <w:szCs w:val="24"/>
        </w:rPr>
        <w:br/>
      </w:r>
      <w:r w:rsidRPr="005C430E">
        <w:rPr>
          <w:b/>
        </w:rPr>
        <w:t>of the human rights treaty bodies</w:t>
      </w:r>
    </w:p>
    <w:p w:rsidR="00B66B18" w:rsidRPr="009873DB" w:rsidRDefault="00B66B18" w:rsidP="00B66B18">
      <w:r w:rsidRPr="009873DB">
        <w:t>New York, 27-30 June 2017</w:t>
      </w:r>
    </w:p>
    <w:p w:rsidR="00B66B18" w:rsidRPr="009873DB" w:rsidRDefault="00B66B18" w:rsidP="00B66B18">
      <w:r w:rsidRPr="009873DB">
        <w:t>Item 4 of the provisional agenda</w:t>
      </w:r>
    </w:p>
    <w:p w:rsidR="00B66B18" w:rsidRPr="00E60DF5" w:rsidRDefault="00B66B18" w:rsidP="00B66B18">
      <w:pPr>
        <w:rPr>
          <w:b/>
        </w:rPr>
      </w:pPr>
      <w:r w:rsidRPr="00E60DF5">
        <w:rPr>
          <w:b/>
        </w:rPr>
        <w:t>Reporting compliance by States parties to the treaty bodies</w:t>
      </w:r>
    </w:p>
    <w:p w:rsidR="00B66B18" w:rsidRPr="009873DB" w:rsidRDefault="00B66B18" w:rsidP="00E60DF5">
      <w:pPr>
        <w:pStyle w:val="HChG"/>
      </w:pPr>
      <w:r w:rsidRPr="009873DB">
        <w:tab/>
      </w:r>
      <w:r w:rsidRPr="009873DB">
        <w:tab/>
        <w:t>Compliance by States parties with their reporting obligations to international human rights treaty bodies</w:t>
      </w:r>
    </w:p>
    <w:p w:rsidR="00831FBB" w:rsidRPr="009873DB" w:rsidRDefault="00B66B18" w:rsidP="00831FBB">
      <w:pPr>
        <w:pStyle w:val="HChG"/>
      </w:pPr>
      <w:r w:rsidRPr="009873DB">
        <w:tab/>
      </w:r>
      <w:r w:rsidRPr="009873DB">
        <w:tab/>
        <w:t>Note by the Secretariat</w:t>
      </w:r>
      <w:r w:rsidR="00831FBB" w:rsidRPr="004967B2">
        <w:rPr>
          <w:rStyle w:val="FootnoteReference"/>
          <w:b w:val="0"/>
          <w:sz w:val="20"/>
          <w:vertAlign w:val="baseline"/>
        </w:rPr>
        <w:footnoteReference w:customMarkFollows="1" w:id="2"/>
        <w:t>*</w:t>
      </w:r>
    </w:p>
    <w:p w:rsidR="00B66B18" w:rsidRDefault="00B66B18" w:rsidP="00E60DF5">
      <w:pPr>
        <w:pStyle w:val="H1G"/>
      </w:pPr>
    </w:p>
    <w:tbl>
      <w:tblPr>
        <w:tblStyle w:val="TableGrid"/>
        <w:tblW w:w="0" w:type="auto"/>
        <w:jc w:val="center"/>
        <w:tblCellMar>
          <w:left w:w="0" w:type="dxa"/>
          <w:right w:w="0" w:type="dxa"/>
        </w:tblCellMar>
        <w:tblLook w:val="05E0" w:firstRow="1" w:lastRow="1" w:firstColumn="1" w:lastColumn="1" w:noHBand="0" w:noVBand="1"/>
      </w:tblPr>
      <w:tblGrid>
        <w:gridCol w:w="9637"/>
      </w:tblGrid>
      <w:tr w:rsidR="00D77DC6" w:rsidTr="00D77DC6">
        <w:trPr>
          <w:jc w:val="center"/>
        </w:trPr>
        <w:tc>
          <w:tcPr>
            <w:tcW w:w="9637" w:type="dxa"/>
            <w:tcBorders>
              <w:bottom w:val="nil"/>
            </w:tcBorders>
          </w:tcPr>
          <w:p w:rsidR="00D77DC6" w:rsidRPr="00D77DC6" w:rsidRDefault="00D77DC6" w:rsidP="00D77DC6">
            <w:pPr>
              <w:tabs>
                <w:tab w:val="left" w:pos="255"/>
              </w:tabs>
              <w:suppressAutoHyphens w:val="0"/>
              <w:spacing w:before="240" w:after="120"/>
              <w:rPr>
                <w:sz w:val="24"/>
              </w:rPr>
            </w:pPr>
            <w:r>
              <w:tab/>
            </w:r>
            <w:r>
              <w:rPr>
                <w:i/>
                <w:sz w:val="24"/>
              </w:rPr>
              <w:t>Summary</w:t>
            </w:r>
          </w:p>
        </w:tc>
      </w:tr>
      <w:tr w:rsidR="00D77DC6" w:rsidTr="00D77DC6">
        <w:trPr>
          <w:jc w:val="center"/>
        </w:trPr>
        <w:tc>
          <w:tcPr>
            <w:tcW w:w="9637" w:type="dxa"/>
            <w:tcBorders>
              <w:top w:val="nil"/>
              <w:bottom w:val="nil"/>
            </w:tcBorders>
            <w:shd w:val="clear" w:color="auto" w:fill="auto"/>
          </w:tcPr>
          <w:p w:rsidR="00D77DC6" w:rsidRDefault="00D77DC6" w:rsidP="00D77DC6">
            <w:pPr>
              <w:pStyle w:val="SingleTxtG"/>
            </w:pPr>
            <w:r>
              <w:tab/>
            </w:r>
            <w:r w:rsidRPr="009873DB">
              <w:t>At their twenty-fifth meeting, the Chairs of the human rights treaty bodies decided to include the issue of reporting compliance by States parties to the treaty bodies as a standing item on the agenda of their annual meeting. The present note contains an overview of the reporting compliance by States parties as at 1 March 2017. Reporting is a dynamic process and the data included in the present note is regularly updated on the website of the Office of the United Nations High Commissioner for Human Rights (www.ohchr.org).</w:t>
            </w:r>
          </w:p>
        </w:tc>
      </w:tr>
      <w:tr w:rsidR="00D77DC6" w:rsidTr="00D77DC6">
        <w:trPr>
          <w:jc w:val="center"/>
        </w:trPr>
        <w:tc>
          <w:tcPr>
            <w:tcW w:w="9637" w:type="dxa"/>
            <w:tcBorders>
              <w:top w:val="nil"/>
            </w:tcBorders>
          </w:tcPr>
          <w:p w:rsidR="00D77DC6" w:rsidRDefault="00D77DC6" w:rsidP="00D77DC6">
            <w:pPr>
              <w:suppressAutoHyphens w:val="0"/>
            </w:pPr>
          </w:p>
        </w:tc>
      </w:tr>
    </w:tbl>
    <w:p w:rsidR="00B66B18" w:rsidRPr="009873DB" w:rsidRDefault="00B66B18" w:rsidP="00987561">
      <w:pPr>
        <w:pStyle w:val="HChG"/>
      </w:pPr>
      <w:r w:rsidRPr="009873DB">
        <w:br w:type="page"/>
      </w:r>
      <w:r w:rsidRPr="009873DB">
        <w:lastRenderedPageBreak/>
        <w:tab/>
        <w:t>I.</w:t>
      </w:r>
      <w:r w:rsidRPr="009873DB">
        <w:tab/>
        <w:t>Background</w:t>
      </w:r>
    </w:p>
    <w:p w:rsidR="00B66B18" w:rsidRPr="009873DB" w:rsidRDefault="00B66B18" w:rsidP="00987561">
      <w:pPr>
        <w:pStyle w:val="SingleTxtG"/>
      </w:pPr>
      <w:r w:rsidRPr="009873DB">
        <w:t>1.</w:t>
      </w:r>
      <w:r w:rsidRPr="009873DB">
        <w:tab/>
        <w:t xml:space="preserve">States parties have an obligation to report periodically under the nine core international human rights treaties and two optional protocols: </w:t>
      </w:r>
    </w:p>
    <w:p w:rsidR="00B66B18" w:rsidRPr="009873DB" w:rsidRDefault="00B66B18" w:rsidP="00950AA4">
      <w:pPr>
        <w:pStyle w:val="Bullet1G"/>
      </w:pPr>
      <w:r w:rsidRPr="009873DB">
        <w:t>International Convention on the Elimination of All Forms of Racial Discrimination (1965)</w:t>
      </w:r>
      <w:r w:rsidR="001A5780">
        <w:t>;</w:t>
      </w:r>
    </w:p>
    <w:p w:rsidR="00B66B18" w:rsidRPr="009873DB" w:rsidRDefault="00B66B18" w:rsidP="00950AA4">
      <w:pPr>
        <w:pStyle w:val="Bullet1G"/>
      </w:pPr>
      <w:r w:rsidRPr="009873DB">
        <w:t>International Covenant on Civil and Political Rights (1966)</w:t>
      </w:r>
      <w:r w:rsidR="001A5780">
        <w:t>;</w:t>
      </w:r>
    </w:p>
    <w:p w:rsidR="00B66B18" w:rsidRPr="009873DB" w:rsidRDefault="00B66B18" w:rsidP="00950AA4">
      <w:pPr>
        <w:pStyle w:val="Bullet1G"/>
      </w:pPr>
      <w:r w:rsidRPr="009873DB">
        <w:t>International Covenant on Economic, Social and Cultural Rights (1966)</w:t>
      </w:r>
      <w:r w:rsidR="001A5780">
        <w:t>;</w:t>
      </w:r>
    </w:p>
    <w:p w:rsidR="00B66B18" w:rsidRPr="009873DB" w:rsidRDefault="00B66B18" w:rsidP="00950AA4">
      <w:pPr>
        <w:pStyle w:val="Bullet1G"/>
      </w:pPr>
      <w:r w:rsidRPr="009873DB">
        <w:t>Convention on the Elimination of All Forms of Discrimination against Women (1979)</w:t>
      </w:r>
      <w:r w:rsidR="001A5780">
        <w:t>;</w:t>
      </w:r>
    </w:p>
    <w:p w:rsidR="00B66B18" w:rsidRPr="009873DB" w:rsidRDefault="00B66B18" w:rsidP="00950AA4">
      <w:pPr>
        <w:pStyle w:val="Bullet1G"/>
      </w:pPr>
      <w:r w:rsidRPr="009873DB">
        <w:t>Convention against Torture and Other Cruel, Inhuman or Degrading Treatment or Punishment (1984)</w:t>
      </w:r>
      <w:r w:rsidR="001A5780">
        <w:t>;</w:t>
      </w:r>
    </w:p>
    <w:p w:rsidR="00B66B18" w:rsidRPr="009873DB" w:rsidRDefault="00B66B18" w:rsidP="00950AA4">
      <w:pPr>
        <w:pStyle w:val="Bullet1G"/>
      </w:pPr>
      <w:r w:rsidRPr="009873DB">
        <w:t>Convention on</w:t>
      </w:r>
      <w:r w:rsidR="001A5780">
        <w:t xml:space="preserve"> the Rights of the Child (1989);</w:t>
      </w:r>
    </w:p>
    <w:p w:rsidR="00B66B18" w:rsidRPr="009873DB" w:rsidRDefault="00B66B18" w:rsidP="00950AA4">
      <w:pPr>
        <w:pStyle w:val="Bullet1G"/>
      </w:pPr>
      <w:r w:rsidRPr="009873DB">
        <w:t>Optional Protocol to the Convention on the Rights of the Child on the involvement of children in armed conflict (2000)</w:t>
      </w:r>
      <w:r w:rsidR="001A5780">
        <w:t>;</w:t>
      </w:r>
    </w:p>
    <w:p w:rsidR="00B66B18" w:rsidRPr="009873DB" w:rsidRDefault="00B66B18" w:rsidP="00950AA4">
      <w:pPr>
        <w:pStyle w:val="Bullet1G"/>
      </w:pPr>
      <w:r w:rsidRPr="009873DB">
        <w:t>Optional Protocol to the Convention on the Rights of the Child on the sale of children, child prostitution and child pornography (2000)</w:t>
      </w:r>
      <w:r w:rsidR="001A5780">
        <w:t>;</w:t>
      </w:r>
    </w:p>
    <w:p w:rsidR="00B66B18" w:rsidRPr="009873DB" w:rsidRDefault="00B66B18" w:rsidP="00950AA4">
      <w:pPr>
        <w:pStyle w:val="Bullet1G"/>
      </w:pPr>
      <w:r w:rsidRPr="009873DB">
        <w:t>International Convention on the Protection of the Rights of All Migrant Workers and Members of Their Families (1990)</w:t>
      </w:r>
      <w:r w:rsidR="001A5780">
        <w:t>;</w:t>
      </w:r>
    </w:p>
    <w:p w:rsidR="00B66B18" w:rsidRPr="009873DB" w:rsidRDefault="00B66B18" w:rsidP="00950AA4">
      <w:pPr>
        <w:pStyle w:val="Bullet1G"/>
      </w:pPr>
      <w:r w:rsidRPr="009873DB">
        <w:t>Convention on the Rights of Persons with Disabilities (2006)</w:t>
      </w:r>
      <w:r w:rsidR="001A5780">
        <w:t>;</w:t>
      </w:r>
    </w:p>
    <w:p w:rsidR="00B66B18" w:rsidRPr="009873DB" w:rsidRDefault="00B66B18" w:rsidP="00950AA4">
      <w:pPr>
        <w:pStyle w:val="Bullet1G"/>
      </w:pPr>
      <w:r w:rsidRPr="009873DB">
        <w:t>International Convention for the Protection of All Persons from Enforced Disappearance (2006).</w:t>
      </w:r>
    </w:p>
    <w:p w:rsidR="00B66B18" w:rsidRPr="009873DB" w:rsidRDefault="00B66B18" w:rsidP="00987561">
      <w:pPr>
        <w:pStyle w:val="SingleTxtG"/>
      </w:pPr>
      <w:r w:rsidRPr="009873DB">
        <w:t>2.</w:t>
      </w:r>
      <w:r w:rsidRPr="009873DB">
        <w:tab/>
        <w:t>The Chairs of the human rights treaty bodies, at their twenty-fifth annual meeting, in May 2013, expressed deep concern over late reporting and non-reporting by a number of States parties to the international human rights treaties. The Chairs decided to include the issue as a standing item on the agenda of the meeting (see A/68/334, para. 47). At their twenty-seventh meeting, in 2015, the Chairs requested the Office of the United Nations High Commissioner for Human Rights (OHCHR) to continue to make updated information on reporting compliance by States available on its website (see A/70/302, para. 93).</w:t>
      </w:r>
    </w:p>
    <w:p w:rsidR="00B66B18" w:rsidRPr="009873DB" w:rsidRDefault="00B66B18" w:rsidP="00987561">
      <w:pPr>
        <w:pStyle w:val="SingleTxtG"/>
      </w:pPr>
      <w:r w:rsidRPr="009873DB">
        <w:t>3.</w:t>
      </w:r>
      <w:r w:rsidRPr="009873DB">
        <w:tab/>
        <w:t>The present note contains an overview of the reporting compliance by States parties as at 1 March 2017. Reporting is a dynamic process; the data included in the note are regularly updated on the OHCHR website.</w:t>
      </w:r>
    </w:p>
    <w:p w:rsidR="00B66B18" w:rsidRPr="009873DB" w:rsidRDefault="00B66B18" w:rsidP="00707AF6">
      <w:pPr>
        <w:pStyle w:val="HChG"/>
      </w:pPr>
      <w:r w:rsidRPr="009873DB">
        <w:tab/>
        <w:t>II.</w:t>
      </w:r>
      <w:r w:rsidRPr="009873DB">
        <w:tab/>
        <w:t xml:space="preserve">Reporting obligations of States parties under international human rights treaties </w:t>
      </w:r>
    </w:p>
    <w:p w:rsidR="00B66B18" w:rsidRPr="009873DB" w:rsidRDefault="00B66B18" w:rsidP="00987561">
      <w:pPr>
        <w:pStyle w:val="SingleTxtG"/>
      </w:pPr>
      <w:r w:rsidRPr="009873DB">
        <w:t>4.</w:t>
      </w:r>
      <w:r w:rsidRPr="009873DB">
        <w:tab/>
        <w:t xml:space="preserve">Once a State has acceded to or ratified a human rights treaty, it is required to submit an initial report within one or two years after the entry into force of the treaty and, thereafter, periodic reports at intervals specified in the relevant treaty or by the treaty body. In most cases, the treaty explicitly sets out a timetable for the submission of initial and periodic reports — commonly referred to as the </w:t>
      </w:r>
      <w:r w:rsidR="00A41919">
        <w:t>“</w:t>
      </w:r>
      <w:r w:rsidRPr="009873DB">
        <w:t>reporting periodicity</w:t>
      </w:r>
      <w:r w:rsidR="00A41919">
        <w:t>”</w:t>
      </w:r>
      <w:r w:rsidRPr="009873DB">
        <w:t xml:space="preserve"> — on the basis of the date of entry into force of the treaty for the specific State party. The reporting periodicity, by treaty, is presented in table 1 below.</w:t>
      </w:r>
      <w:r w:rsidRPr="00F47C41">
        <w:rPr>
          <w:rStyle w:val="FootnoteReference"/>
        </w:rPr>
        <w:footnoteReference w:id="3"/>
      </w:r>
    </w:p>
    <w:p w:rsidR="00C37F32" w:rsidRDefault="00B66B18" w:rsidP="00C37F32">
      <w:pPr>
        <w:pStyle w:val="Heading1"/>
      </w:pPr>
      <w:r w:rsidRPr="009873DB">
        <w:lastRenderedPageBreak/>
        <w:t>Table 1</w:t>
      </w:r>
    </w:p>
    <w:p w:rsidR="00B66B18" w:rsidRPr="00C37F32" w:rsidRDefault="00B66B18" w:rsidP="00987561">
      <w:pPr>
        <w:pStyle w:val="SingleTxtG"/>
        <w:rPr>
          <w:b/>
        </w:rPr>
      </w:pPr>
      <w:r w:rsidRPr="00C37F32">
        <w:rPr>
          <w:b/>
        </w:rPr>
        <w:t xml:space="preserve">Reporting periodicity, by treaty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983"/>
        <w:gridCol w:w="3402"/>
      </w:tblGrid>
      <w:tr w:rsidR="00B66B18" w:rsidRPr="00B166D6" w:rsidTr="0000168E">
        <w:trPr>
          <w:cantSplit/>
          <w:tblHeader/>
        </w:trPr>
        <w:tc>
          <w:tcPr>
            <w:tcW w:w="1985" w:type="dxa"/>
            <w:tcBorders>
              <w:top w:val="single" w:sz="4" w:space="0" w:color="auto"/>
              <w:bottom w:val="single" w:sz="12" w:space="0" w:color="auto"/>
            </w:tcBorders>
            <w:shd w:val="clear" w:color="auto" w:fill="auto"/>
            <w:vAlign w:val="bottom"/>
          </w:tcPr>
          <w:p w:rsidR="00B66B18" w:rsidRPr="00B166D6" w:rsidRDefault="00B66B18" w:rsidP="00B166D6">
            <w:pPr>
              <w:suppressAutoHyphens w:val="0"/>
              <w:spacing w:before="80" w:after="80" w:line="200" w:lineRule="exact"/>
              <w:ind w:right="113"/>
              <w:rPr>
                <w:i/>
                <w:sz w:val="16"/>
              </w:rPr>
            </w:pPr>
            <w:r w:rsidRPr="00B166D6">
              <w:rPr>
                <w:i/>
                <w:sz w:val="16"/>
              </w:rPr>
              <w:t>Treaty</w:t>
            </w:r>
          </w:p>
        </w:tc>
        <w:tc>
          <w:tcPr>
            <w:tcW w:w="1983" w:type="dxa"/>
            <w:tcBorders>
              <w:top w:val="single" w:sz="4" w:space="0" w:color="auto"/>
              <w:bottom w:val="single" w:sz="12" w:space="0" w:color="auto"/>
            </w:tcBorders>
            <w:shd w:val="clear" w:color="auto" w:fill="auto"/>
            <w:vAlign w:val="bottom"/>
          </w:tcPr>
          <w:p w:rsidR="00B66B18" w:rsidRPr="00B166D6" w:rsidRDefault="00B66B18" w:rsidP="00B166D6">
            <w:pPr>
              <w:suppressAutoHyphens w:val="0"/>
              <w:spacing w:before="80" w:after="80" w:line="200" w:lineRule="exact"/>
              <w:ind w:right="113"/>
              <w:rPr>
                <w:i/>
                <w:sz w:val="16"/>
              </w:rPr>
            </w:pPr>
            <w:r w:rsidRPr="00B166D6">
              <w:rPr>
                <w:i/>
                <w:sz w:val="16"/>
              </w:rPr>
              <w:t>Initial report due (following ratification) within</w:t>
            </w:r>
          </w:p>
        </w:tc>
        <w:tc>
          <w:tcPr>
            <w:tcW w:w="3402" w:type="dxa"/>
            <w:tcBorders>
              <w:top w:val="single" w:sz="4" w:space="0" w:color="auto"/>
              <w:bottom w:val="single" w:sz="12" w:space="0" w:color="auto"/>
            </w:tcBorders>
            <w:shd w:val="clear" w:color="auto" w:fill="auto"/>
            <w:vAlign w:val="bottom"/>
          </w:tcPr>
          <w:p w:rsidR="00B66B18" w:rsidRPr="00B166D6" w:rsidRDefault="00B66B18" w:rsidP="00B166D6">
            <w:pPr>
              <w:suppressAutoHyphens w:val="0"/>
              <w:spacing w:before="80" w:after="80" w:line="200" w:lineRule="exact"/>
              <w:ind w:right="113"/>
              <w:rPr>
                <w:i/>
                <w:sz w:val="16"/>
              </w:rPr>
            </w:pPr>
            <w:r w:rsidRPr="00B166D6">
              <w:rPr>
                <w:i/>
                <w:sz w:val="16"/>
              </w:rPr>
              <w:t>Periodic reports due thereafter</w:t>
            </w:r>
            <w:r w:rsidR="00712AA1">
              <w:rPr>
                <w:i/>
                <w:sz w:val="16"/>
              </w:rPr>
              <w:t xml:space="preserve"> </w:t>
            </w:r>
            <w:r w:rsidRPr="00B166D6">
              <w:rPr>
                <w:i/>
                <w:sz w:val="16"/>
              </w:rPr>
              <w:t>(every)</w:t>
            </w:r>
          </w:p>
        </w:tc>
      </w:tr>
      <w:tr w:rsidR="00B66B18" w:rsidRPr="00B166D6" w:rsidTr="0000168E">
        <w:trPr>
          <w:cantSplit/>
          <w:trHeight w:hRule="exact" w:val="113"/>
          <w:tblHeader/>
        </w:trPr>
        <w:tc>
          <w:tcPr>
            <w:tcW w:w="1985" w:type="dxa"/>
            <w:tcBorders>
              <w:top w:val="single" w:sz="12" w:space="0" w:color="auto"/>
            </w:tcBorders>
            <w:shd w:val="clear" w:color="auto" w:fill="auto"/>
          </w:tcPr>
          <w:p w:rsidR="00B66B18" w:rsidRPr="00B166D6" w:rsidRDefault="00B66B18" w:rsidP="00B166D6">
            <w:pPr>
              <w:suppressAutoHyphens w:val="0"/>
              <w:spacing w:before="40" w:after="120" w:line="220" w:lineRule="exact"/>
              <w:ind w:right="113"/>
            </w:pPr>
          </w:p>
        </w:tc>
        <w:tc>
          <w:tcPr>
            <w:tcW w:w="1983" w:type="dxa"/>
            <w:tcBorders>
              <w:top w:val="single" w:sz="12" w:space="0" w:color="auto"/>
            </w:tcBorders>
            <w:shd w:val="clear" w:color="auto" w:fill="auto"/>
          </w:tcPr>
          <w:p w:rsidR="00B66B18" w:rsidRPr="00B166D6" w:rsidRDefault="00B66B18" w:rsidP="00B166D6">
            <w:pPr>
              <w:suppressAutoHyphens w:val="0"/>
              <w:spacing w:before="40" w:after="120" w:line="220" w:lineRule="exact"/>
              <w:ind w:right="113"/>
            </w:pPr>
          </w:p>
        </w:tc>
        <w:tc>
          <w:tcPr>
            <w:tcW w:w="3402" w:type="dxa"/>
            <w:tcBorders>
              <w:top w:val="single" w:sz="12" w:space="0" w:color="auto"/>
            </w:tcBorders>
            <w:shd w:val="clear" w:color="auto" w:fill="auto"/>
          </w:tcPr>
          <w:p w:rsidR="00B66B18" w:rsidRPr="00B166D6" w:rsidRDefault="00B66B18" w:rsidP="00B166D6">
            <w:pPr>
              <w:suppressAutoHyphens w:val="0"/>
              <w:spacing w:before="40" w:after="120" w:line="220" w:lineRule="exact"/>
              <w:ind w:right="113"/>
            </w:pP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ICERD</w:t>
            </w:r>
          </w:p>
        </w:tc>
        <w:tc>
          <w:tcPr>
            <w:tcW w:w="1983" w:type="dxa"/>
            <w:shd w:val="clear" w:color="auto" w:fill="auto"/>
          </w:tcPr>
          <w:p w:rsidR="00B66B18" w:rsidRPr="00B166D6" w:rsidRDefault="00B66B18" w:rsidP="00883C4A">
            <w:pPr>
              <w:suppressAutoHyphens w:val="0"/>
              <w:spacing w:before="40" w:after="120"/>
              <w:ind w:right="113"/>
            </w:pPr>
            <w:r w:rsidRPr="00B166D6">
              <w:t>1 year</w:t>
            </w:r>
          </w:p>
        </w:tc>
        <w:tc>
          <w:tcPr>
            <w:tcW w:w="3402" w:type="dxa"/>
            <w:shd w:val="clear" w:color="auto" w:fill="auto"/>
          </w:tcPr>
          <w:p w:rsidR="00B66B18" w:rsidRPr="00B166D6" w:rsidRDefault="00B66B18" w:rsidP="00883C4A">
            <w:pPr>
              <w:suppressAutoHyphens w:val="0"/>
              <w:spacing w:before="40" w:after="120"/>
              <w:ind w:right="113"/>
            </w:pPr>
            <w:r w:rsidRPr="00B166D6">
              <w:t>2 years</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ICESCR</w:t>
            </w:r>
          </w:p>
        </w:tc>
        <w:tc>
          <w:tcPr>
            <w:tcW w:w="1983" w:type="dxa"/>
            <w:shd w:val="clear" w:color="auto" w:fill="auto"/>
          </w:tcPr>
          <w:p w:rsidR="00B66B18" w:rsidRPr="00B166D6" w:rsidRDefault="00B66B18" w:rsidP="00883C4A">
            <w:pPr>
              <w:suppressAutoHyphens w:val="0"/>
              <w:spacing w:before="40" w:after="120"/>
              <w:ind w:right="113"/>
            </w:pPr>
            <w:r w:rsidRPr="00B166D6">
              <w:t>2 years</w:t>
            </w:r>
          </w:p>
        </w:tc>
        <w:tc>
          <w:tcPr>
            <w:tcW w:w="3402" w:type="dxa"/>
            <w:shd w:val="clear" w:color="auto" w:fill="auto"/>
          </w:tcPr>
          <w:p w:rsidR="00B66B18" w:rsidRPr="00B166D6" w:rsidRDefault="00B66B18" w:rsidP="00883C4A">
            <w:pPr>
              <w:suppressAutoHyphens w:val="0"/>
              <w:spacing w:before="40" w:after="120"/>
              <w:ind w:right="113"/>
            </w:pPr>
            <w:r w:rsidRPr="00B166D6">
              <w:t>5 years</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ICCPR</w:t>
            </w:r>
          </w:p>
        </w:tc>
        <w:tc>
          <w:tcPr>
            <w:tcW w:w="1983" w:type="dxa"/>
            <w:shd w:val="clear" w:color="auto" w:fill="auto"/>
          </w:tcPr>
          <w:p w:rsidR="00B66B18" w:rsidRPr="00B166D6" w:rsidRDefault="00B66B18" w:rsidP="00883C4A">
            <w:pPr>
              <w:suppressAutoHyphens w:val="0"/>
              <w:spacing w:before="40" w:after="120"/>
              <w:ind w:right="113"/>
            </w:pPr>
            <w:r w:rsidRPr="00B166D6">
              <w:t>1 year</w:t>
            </w:r>
          </w:p>
        </w:tc>
        <w:tc>
          <w:tcPr>
            <w:tcW w:w="3402" w:type="dxa"/>
            <w:shd w:val="clear" w:color="auto" w:fill="auto"/>
          </w:tcPr>
          <w:p w:rsidR="00B66B18" w:rsidRPr="00B166D6" w:rsidRDefault="00B66B18" w:rsidP="00883C4A">
            <w:pPr>
              <w:suppressAutoHyphens w:val="0"/>
              <w:spacing w:before="40" w:after="120"/>
              <w:ind w:right="113"/>
            </w:pPr>
            <w:r w:rsidRPr="00B166D6">
              <w:t>3,</w:t>
            </w:r>
            <w:r w:rsidRPr="00B166D6">
              <w:rPr>
                <w:rFonts w:hint="eastAsia"/>
              </w:rPr>
              <w:t xml:space="preserve"> </w:t>
            </w:r>
            <w:r w:rsidRPr="00B166D6">
              <w:t>4,</w:t>
            </w:r>
            <w:r w:rsidRPr="00B166D6">
              <w:rPr>
                <w:rFonts w:hint="eastAsia"/>
              </w:rPr>
              <w:t xml:space="preserve"> </w:t>
            </w:r>
            <w:r w:rsidRPr="00B166D6">
              <w:t>5,</w:t>
            </w:r>
            <w:r w:rsidRPr="00B166D6">
              <w:rPr>
                <w:rFonts w:hint="eastAsia"/>
              </w:rPr>
              <w:t xml:space="preserve"> </w:t>
            </w:r>
            <w:r w:rsidRPr="00B166D6">
              <w:t>6 or 7 years</w:t>
            </w:r>
            <w:r w:rsidRPr="0041753B">
              <w:rPr>
                <w:i/>
                <w:vertAlign w:val="superscript"/>
              </w:rPr>
              <w:t>a</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CEDAW</w:t>
            </w:r>
          </w:p>
        </w:tc>
        <w:tc>
          <w:tcPr>
            <w:tcW w:w="1983" w:type="dxa"/>
            <w:shd w:val="clear" w:color="auto" w:fill="auto"/>
          </w:tcPr>
          <w:p w:rsidR="00B66B18" w:rsidRPr="00B166D6" w:rsidRDefault="00B66B18" w:rsidP="00883C4A">
            <w:pPr>
              <w:suppressAutoHyphens w:val="0"/>
              <w:spacing w:before="40" w:after="120"/>
              <w:ind w:right="113"/>
            </w:pPr>
            <w:r w:rsidRPr="00B166D6">
              <w:t>1 year</w:t>
            </w:r>
          </w:p>
        </w:tc>
        <w:tc>
          <w:tcPr>
            <w:tcW w:w="3402" w:type="dxa"/>
            <w:shd w:val="clear" w:color="auto" w:fill="auto"/>
          </w:tcPr>
          <w:p w:rsidR="00B66B18" w:rsidRPr="00B166D6" w:rsidRDefault="00B66B18" w:rsidP="00883C4A">
            <w:pPr>
              <w:suppressAutoHyphens w:val="0"/>
              <w:spacing w:before="40" w:after="120"/>
              <w:ind w:right="113"/>
            </w:pPr>
            <w:r w:rsidRPr="00B166D6">
              <w:t>4 years</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CAT</w:t>
            </w:r>
          </w:p>
        </w:tc>
        <w:tc>
          <w:tcPr>
            <w:tcW w:w="1983" w:type="dxa"/>
            <w:shd w:val="clear" w:color="auto" w:fill="auto"/>
          </w:tcPr>
          <w:p w:rsidR="00B66B18" w:rsidRPr="00B166D6" w:rsidRDefault="00B66B18" w:rsidP="00883C4A">
            <w:pPr>
              <w:suppressAutoHyphens w:val="0"/>
              <w:spacing w:before="40" w:after="120"/>
              <w:ind w:right="113"/>
            </w:pPr>
            <w:r w:rsidRPr="00B166D6">
              <w:t>1 year</w:t>
            </w:r>
          </w:p>
        </w:tc>
        <w:tc>
          <w:tcPr>
            <w:tcW w:w="3402" w:type="dxa"/>
            <w:shd w:val="clear" w:color="auto" w:fill="auto"/>
          </w:tcPr>
          <w:p w:rsidR="00B66B18" w:rsidRPr="00B166D6" w:rsidRDefault="00B66B18" w:rsidP="00883C4A">
            <w:pPr>
              <w:suppressAutoHyphens w:val="0"/>
              <w:spacing w:before="40" w:after="120"/>
              <w:ind w:right="113"/>
            </w:pPr>
            <w:r w:rsidRPr="00B166D6">
              <w:t>4 years</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CRC</w:t>
            </w:r>
          </w:p>
        </w:tc>
        <w:tc>
          <w:tcPr>
            <w:tcW w:w="1983" w:type="dxa"/>
            <w:shd w:val="clear" w:color="auto" w:fill="auto"/>
          </w:tcPr>
          <w:p w:rsidR="00B66B18" w:rsidRPr="00B166D6" w:rsidRDefault="00B66B18" w:rsidP="00883C4A">
            <w:pPr>
              <w:suppressAutoHyphens w:val="0"/>
              <w:spacing w:before="40" w:after="120"/>
              <w:ind w:right="113"/>
            </w:pPr>
            <w:r w:rsidRPr="00B166D6">
              <w:t>2 years</w:t>
            </w:r>
          </w:p>
        </w:tc>
        <w:tc>
          <w:tcPr>
            <w:tcW w:w="3402" w:type="dxa"/>
            <w:shd w:val="clear" w:color="auto" w:fill="auto"/>
          </w:tcPr>
          <w:p w:rsidR="00B66B18" w:rsidRPr="00B166D6" w:rsidRDefault="00B66B18" w:rsidP="00883C4A">
            <w:pPr>
              <w:suppressAutoHyphens w:val="0"/>
              <w:spacing w:before="40" w:after="120"/>
              <w:ind w:right="113"/>
            </w:pPr>
            <w:r w:rsidRPr="00B166D6">
              <w:t>5 years</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ICRMW</w:t>
            </w:r>
          </w:p>
        </w:tc>
        <w:tc>
          <w:tcPr>
            <w:tcW w:w="1983" w:type="dxa"/>
            <w:shd w:val="clear" w:color="auto" w:fill="auto"/>
          </w:tcPr>
          <w:p w:rsidR="00B66B18" w:rsidRPr="00B166D6" w:rsidRDefault="00B66B18" w:rsidP="00883C4A">
            <w:pPr>
              <w:suppressAutoHyphens w:val="0"/>
              <w:spacing w:before="40" w:after="120"/>
              <w:ind w:right="113"/>
            </w:pPr>
            <w:r w:rsidRPr="00B166D6">
              <w:t>1 year</w:t>
            </w:r>
          </w:p>
        </w:tc>
        <w:tc>
          <w:tcPr>
            <w:tcW w:w="3402" w:type="dxa"/>
            <w:shd w:val="clear" w:color="auto" w:fill="auto"/>
          </w:tcPr>
          <w:p w:rsidR="00B66B18" w:rsidRPr="00B166D6" w:rsidRDefault="00B66B18" w:rsidP="00883C4A">
            <w:pPr>
              <w:suppressAutoHyphens w:val="0"/>
              <w:spacing w:before="40" w:after="120"/>
              <w:ind w:right="113"/>
            </w:pPr>
            <w:r w:rsidRPr="00B166D6">
              <w:t>5 years</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OP-CRC-SC</w:t>
            </w:r>
          </w:p>
        </w:tc>
        <w:tc>
          <w:tcPr>
            <w:tcW w:w="1983" w:type="dxa"/>
            <w:shd w:val="clear" w:color="auto" w:fill="auto"/>
          </w:tcPr>
          <w:p w:rsidR="00B66B18" w:rsidRPr="00B166D6" w:rsidRDefault="00B66B18" w:rsidP="00883C4A">
            <w:pPr>
              <w:suppressAutoHyphens w:val="0"/>
              <w:spacing w:before="40" w:after="120"/>
              <w:ind w:right="113"/>
            </w:pPr>
            <w:r w:rsidRPr="00B166D6">
              <w:t>2 years</w:t>
            </w:r>
          </w:p>
        </w:tc>
        <w:tc>
          <w:tcPr>
            <w:tcW w:w="3402" w:type="dxa"/>
            <w:shd w:val="clear" w:color="auto" w:fill="auto"/>
          </w:tcPr>
          <w:p w:rsidR="00B66B18" w:rsidRPr="00B166D6" w:rsidRDefault="00B66B18" w:rsidP="00883C4A">
            <w:pPr>
              <w:suppressAutoHyphens w:val="0"/>
              <w:spacing w:before="40" w:after="120"/>
              <w:ind w:right="113"/>
            </w:pPr>
            <w:r w:rsidRPr="00B166D6">
              <w:t xml:space="preserve">With next report under the Convention on the Rights of the Child or 5 years, if the State party has ratified the Optional Protocol only </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OP-CRC-AC</w:t>
            </w:r>
          </w:p>
        </w:tc>
        <w:tc>
          <w:tcPr>
            <w:tcW w:w="1983" w:type="dxa"/>
            <w:shd w:val="clear" w:color="auto" w:fill="auto"/>
          </w:tcPr>
          <w:p w:rsidR="00B66B18" w:rsidRPr="00B166D6" w:rsidRDefault="00B66B18" w:rsidP="00883C4A">
            <w:pPr>
              <w:suppressAutoHyphens w:val="0"/>
              <w:spacing w:before="40" w:after="120"/>
              <w:ind w:right="113"/>
            </w:pPr>
            <w:r w:rsidRPr="00B166D6">
              <w:t>2 years</w:t>
            </w:r>
          </w:p>
        </w:tc>
        <w:tc>
          <w:tcPr>
            <w:tcW w:w="3402" w:type="dxa"/>
            <w:shd w:val="clear" w:color="auto" w:fill="auto"/>
          </w:tcPr>
          <w:p w:rsidR="00B66B18" w:rsidRPr="00B166D6" w:rsidRDefault="00B66B18" w:rsidP="00883C4A">
            <w:pPr>
              <w:suppressAutoHyphens w:val="0"/>
              <w:spacing w:before="40" w:after="120"/>
              <w:ind w:right="113"/>
            </w:pPr>
            <w:r w:rsidRPr="00B166D6">
              <w:t>With next report under the Convention on the Rights of the Child or</w:t>
            </w:r>
            <w:r w:rsidR="00FB26C5">
              <w:t xml:space="preserve"> </w:t>
            </w:r>
            <w:r w:rsidRPr="00B166D6">
              <w:t>5 years, if the State party has ratified the Optional Protocol only</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CRPD</w:t>
            </w:r>
          </w:p>
        </w:tc>
        <w:tc>
          <w:tcPr>
            <w:tcW w:w="1983" w:type="dxa"/>
            <w:shd w:val="clear" w:color="auto" w:fill="auto"/>
          </w:tcPr>
          <w:p w:rsidR="00B66B18" w:rsidRPr="00B166D6" w:rsidRDefault="00B66B18" w:rsidP="00883C4A">
            <w:pPr>
              <w:suppressAutoHyphens w:val="0"/>
              <w:spacing w:before="40" w:after="120"/>
              <w:ind w:right="113"/>
            </w:pPr>
            <w:r w:rsidRPr="00B166D6">
              <w:t>2 years</w:t>
            </w:r>
          </w:p>
        </w:tc>
        <w:tc>
          <w:tcPr>
            <w:tcW w:w="3402" w:type="dxa"/>
            <w:shd w:val="clear" w:color="auto" w:fill="auto"/>
          </w:tcPr>
          <w:p w:rsidR="00B66B18" w:rsidRPr="00B166D6" w:rsidRDefault="00B66B18" w:rsidP="00883C4A">
            <w:pPr>
              <w:suppressAutoHyphens w:val="0"/>
              <w:spacing w:before="40" w:after="120"/>
              <w:ind w:right="113"/>
            </w:pPr>
            <w:r w:rsidRPr="00B166D6">
              <w:t>4 years</w:t>
            </w:r>
          </w:p>
        </w:tc>
      </w:tr>
      <w:tr w:rsidR="00B66B18" w:rsidRPr="00B166D6" w:rsidTr="0000168E">
        <w:trPr>
          <w:cantSplit/>
        </w:trPr>
        <w:tc>
          <w:tcPr>
            <w:tcW w:w="1985" w:type="dxa"/>
            <w:shd w:val="clear" w:color="auto" w:fill="auto"/>
          </w:tcPr>
          <w:p w:rsidR="00B66B18" w:rsidRPr="00B166D6" w:rsidRDefault="00B66B18" w:rsidP="00883C4A">
            <w:pPr>
              <w:suppressAutoHyphens w:val="0"/>
              <w:spacing w:before="40" w:after="120"/>
              <w:ind w:right="113"/>
            </w:pPr>
            <w:r w:rsidRPr="00B166D6">
              <w:t>ICPPED</w:t>
            </w:r>
          </w:p>
        </w:tc>
        <w:tc>
          <w:tcPr>
            <w:tcW w:w="1983" w:type="dxa"/>
            <w:shd w:val="clear" w:color="auto" w:fill="auto"/>
          </w:tcPr>
          <w:p w:rsidR="00B66B18" w:rsidRPr="00B166D6" w:rsidRDefault="00B66B18" w:rsidP="00883C4A">
            <w:pPr>
              <w:suppressAutoHyphens w:val="0"/>
              <w:spacing w:before="40" w:after="120"/>
              <w:ind w:right="113"/>
            </w:pPr>
            <w:r w:rsidRPr="00B166D6">
              <w:t>2 years</w:t>
            </w:r>
          </w:p>
        </w:tc>
        <w:tc>
          <w:tcPr>
            <w:tcW w:w="3402" w:type="dxa"/>
            <w:shd w:val="clear" w:color="auto" w:fill="auto"/>
          </w:tcPr>
          <w:p w:rsidR="00B66B18" w:rsidRPr="00B166D6" w:rsidRDefault="00B66B18" w:rsidP="00883C4A">
            <w:pPr>
              <w:suppressAutoHyphens w:val="0"/>
              <w:spacing w:before="40" w:after="120"/>
              <w:ind w:right="113"/>
            </w:pPr>
            <w:r w:rsidRPr="00B166D6">
              <w:t>As requested by the Committee on Enforced Disappearances (art. 29 (4))</w:t>
            </w:r>
          </w:p>
        </w:tc>
      </w:tr>
    </w:tbl>
    <w:p w:rsidR="00B66B18" w:rsidRPr="0000168E" w:rsidRDefault="00B66B18" w:rsidP="0000168E">
      <w:pPr>
        <w:pStyle w:val="SingleTxtG"/>
        <w:spacing w:before="120" w:after="240"/>
        <w:ind w:firstLine="170"/>
        <w:jc w:val="left"/>
        <w:rPr>
          <w:sz w:val="18"/>
        </w:rPr>
      </w:pPr>
      <w:r w:rsidRPr="0000168E">
        <w:rPr>
          <w:sz w:val="18"/>
        </w:rPr>
        <w:tab/>
      </w:r>
      <w:r w:rsidRPr="00B022B2">
        <w:rPr>
          <w:i/>
          <w:sz w:val="18"/>
          <w:vertAlign w:val="superscript"/>
        </w:rPr>
        <w:t>a</w:t>
      </w:r>
      <w:r w:rsidRPr="0000168E">
        <w:rPr>
          <w:sz w:val="18"/>
        </w:rPr>
        <w:t xml:space="preserve"> At its 114th session (2015), the Human Rights Committee decided, when determining the periodicity for future reports, that States submitting reports under the simplified reporting procedure would be given an extra year to do so compared to those submitting reports under the standard reporting procedure, with a view to ensuring fairness between States parties using the different procedures. Accordingly, the Committee may now ask States parties submitting reports under the simplified reporting procedure to submit their periodic reports at intervals of no more than seven years (i.e., the maximum six years allowed under the standard reporting procedure plus an extra year).</w:t>
      </w:r>
    </w:p>
    <w:p w:rsidR="00B66B18" w:rsidRPr="009873DB" w:rsidRDefault="00B66B18" w:rsidP="00987561">
      <w:pPr>
        <w:pStyle w:val="SingleTxtG"/>
      </w:pPr>
      <w:r w:rsidRPr="009873DB">
        <w:t>5.</w:t>
      </w:r>
      <w:r w:rsidRPr="009873DB">
        <w:tab/>
        <w:t>No specific periodicity is envisaged in the International Covenant on Economic, Social and Cultural Rights</w:t>
      </w:r>
      <w:r w:rsidRPr="009873DB" w:rsidDel="00345902">
        <w:t xml:space="preserve"> </w:t>
      </w:r>
      <w:r w:rsidRPr="009873DB">
        <w:t>nor the International Covenant on Civil and Political Rights. Article 40 of the International Covenant on Civil and Political</w:t>
      </w:r>
      <w:r w:rsidR="003F11A5">
        <w:t xml:space="preserve"> </w:t>
      </w:r>
      <w:r w:rsidRPr="009873DB">
        <w:t>Rights, however,</w:t>
      </w:r>
      <w:r w:rsidRPr="009873DB" w:rsidDel="004A6BEB">
        <w:t xml:space="preserve"> </w:t>
      </w:r>
      <w:r w:rsidRPr="009873DB">
        <w:t xml:space="preserve">gives the Human Rights Committee discretion to decide when periodic reports shall be submitted. </w:t>
      </w:r>
      <w:r w:rsidRPr="009873DB">
        <w:lastRenderedPageBreak/>
        <w:t>The Committee requests that periodic reports be submitted every three to six years following consideration of the State party</w:t>
      </w:r>
      <w:r w:rsidR="00A41919">
        <w:t>’</w:t>
      </w:r>
      <w:r w:rsidRPr="009873DB">
        <w:t>s last report, depending on the situation. Article 17 of the International Covenant on Economic, Social and Cultural Rights</w:t>
      </w:r>
      <w:r w:rsidRPr="009873DB" w:rsidDel="004A6BEB">
        <w:t xml:space="preserve"> </w:t>
      </w:r>
      <w:r w:rsidRPr="009873DB">
        <w:t>gives the Economic and Social Council discretion to establish the reporting frequency. Pursuant to the International Convention on the Elimination of All Forms of Racial Discrimination, States parties must report every two years, but are allowed to merge two reports into one, which creates a de facto periodicity of four years. Although the International Convention for the Protection of All Persons from Enforced Disappearance does not provide for periodic reports, the Committee on Enforced Disappearances may, pursuant to article</w:t>
      </w:r>
      <w:r w:rsidR="003F11A5">
        <w:t xml:space="preserve"> </w:t>
      </w:r>
      <w:r w:rsidRPr="009873DB">
        <w:t>29</w:t>
      </w:r>
      <w:r w:rsidR="003F11A5">
        <w:t xml:space="preserve"> </w:t>
      </w:r>
      <w:r w:rsidRPr="009873DB">
        <w:t>(4) of the Convention, request States parties to provide additional information on the implementation of the Convention.</w:t>
      </w:r>
    </w:p>
    <w:p w:rsidR="00B66B18" w:rsidRPr="009873DB" w:rsidRDefault="00B66B18" w:rsidP="00632328">
      <w:pPr>
        <w:pStyle w:val="HChG"/>
      </w:pPr>
      <w:r w:rsidRPr="009873DB">
        <w:tab/>
        <w:t>III.</w:t>
      </w:r>
      <w:r w:rsidRPr="009873DB">
        <w:tab/>
        <w:t>Reporting compliance by States parties as at 1 March 2017</w:t>
      </w:r>
    </w:p>
    <w:p w:rsidR="00B66B18" w:rsidRPr="009873DB" w:rsidRDefault="00B66B18" w:rsidP="00632328">
      <w:pPr>
        <w:pStyle w:val="H1G"/>
      </w:pPr>
      <w:r w:rsidRPr="009873DB">
        <w:tab/>
        <w:t>A.</w:t>
      </w:r>
      <w:r w:rsidRPr="009873DB">
        <w:tab/>
        <w:t xml:space="preserve">Fully compliant States parties </w:t>
      </w:r>
    </w:p>
    <w:p w:rsidR="00B66B18" w:rsidRPr="009873DB" w:rsidRDefault="00B66B18" w:rsidP="00987561">
      <w:pPr>
        <w:pStyle w:val="SingleTxtG"/>
      </w:pPr>
      <w:r w:rsidRPr="009873DB">
        <w:t>6.</w:t>
      </w:r>
      <w:r w:rsidRPr="009873DB">
        <w:tab/>
        <w:t>As at 1 March 2017, 36 of the 196 States parties were fully compliant with their reporting obligations under the relevant international human rights treaties and protocols. That was equivalent to 18 per cent of States parties. Five of those States parties had ratified five or fewer human rights instruments (see table</w:t>
      </w:r>
      <w:r w:rsidR="003F11A5">
        <w:t xml:space="preserve"> </w:t>
      </w:r>
      <w:r w:rsidRPr="009873DB">
        <w:t>2).</w:t>
      </w:r>
    </w:p>
    <w:p w:rsidR="00AF59E9" w:rsidRDefault="00B66B18" w:rsidP="00AF59E9">
      <w:pPr>
        <w:pStyle w:val="Heading1"/>
      </w:pPr>
      <w:r w:rsidRPr="009873DB">
        <w:t xml:space="preserve">Table 2 </w:t>
      </w:r>
    </w:p>
    <w:p w:rsidR="00B66B18" w:rsidRPr="00AF59E9" w:rsidRDefault="00B66B18" w:rsidP="00987561">
      <w:pPr>
        <w:pStyle w:val="SingleTxtG"/>
        <w:rPr>
          <w:b/>
        </w:rPr>
      </w:pPr>
      <w:r w:rsidRPr="00AF59E9">
        <w:rPr>
          <w:b/>
        </w:rPr>
        <w:t>States parties that were fully compliant as at 1 March 2017</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2268"/>
        <w:gridCol w:w="2410"/>
        <w:gridCol w:w="1417"/>
        <w:gridCol w:w="425"/>
        <w:gridCol w:w="567"/>
      </w:tblGrid>
      <w:tr w:rsidR="00E07185" w:rsidRPr="0001529F" w:rsidTr="00E07185">
        <w:trPr>
          <w:tblHeader/>
        </w:trPr>
        <w:tc>
          <w:tcPr>
            <w:tcW w:w="1418" w:type="dxa"/>
            <w:tcBorders>
              <w:top w:val="single" w:sz="4" w:space="0" w:color="auto"/>
              <w:bottom w:val="single" w:sz="12" w:space="0" w:color="auto"/>
            </w:tcBorders>
            <w:shd w:val="clear" w:color="auto" w:fill="auto"/>
            <w:vAlign w:val="bottom"/>
          </w:tcPr>
          <w:p w:rsidR="00B66B18" w:rsidRPr="0001529F" w:rsidRDefault="00B66B18" w:rsidP="0001529F">
            <w:pPr>
              <w:suppressAutoHyphens w:val="0"/>
              <w:spacing w:before="80" w:after="80" w:line="200" w:lineRule="exact"/>
              <w:ind w:right="113"/>
              <w:rPr>
                <w:i/>
                <w:sz w:val="16"/>
              </w:rPr>
            </w:pPr>
            <w:r w:rsidRPr="0001529F">
              <w:rPr>
                <w:i/>
                <w:sz w:val="16"/>
              </w:rPr>
              <w:t>State party</w:t>
            </w:r>
          </w:p>
        </w:tc>
        <w:tc>
          <w:tcPr>
            <w:tcW w:w="2268" w:type="dxa"/>
            <w:tcBorders>
              <w:top w:val="single" w:sz="4" w:space="0" w:color="auto"/>
              <w:bottom w:val="single" w:sz="12" w:space="0" w:color="auto"/>
            </w:tcBorders>
            <w:shd w:val="clear" w:color="auto" w:fill="auto"/>
            <w:vAlign w:val="bottom"/>
          </w:tcPr>
          <w:p w:rsidR="00B66B18" w:rsidRPr="0001529F" w:rsidRDefault="00B66B18" w:rsidP="0001529F">
            <w:pPr>
              <w:suppressAutoHyphens w:val="0"/>
              <w:spacing w:before="80" w:after="80" w:line="200" w:lineRule="exact"/>
              <w:ind w:right="113"/>
              <w:jc w:val="right"/>
              <w:rPr>
                <w:i/>
                <w:sz w:val="16"/>
              </w:rPr>
            </w:pPr>
            <w:r w:rsidRPr="0001529F">
              <w:rPr>
                <w:i/>
                <w:sz w:val="16"/>
              </w:rPr>
              <w:t>Number of international human rights treaties and optional protocols with</w:t>
            </w:r>
            <w:r w:rsidR="00A41919" w:rsidRPr="0001529F">
              <w:rPr>
                <w:i/>
                <w:sz w:val="16"/>
              </w:rPr>
              <w:t xml:space="preserve"> </w:t>
            </w:r>
            <w:r w:rsidRPr="0001529F">
              <w:rPr>
                <w:i/>
                <w:sz w:val="16"/>
              </w:rPr>
              <w:t>reporting procedures ratified or acceded to</w:t>
            </w:r>
          </w:p>
        </w:tc>
        <w:tc>
          <w:tcPr>
            <w:tcW w:w="2410" w:type="dxa"/>
            <w:tcBorders>
              <w:top w:val="single" w:sz="4" w:space="0" w:color="auto"/>
              <w:bottom w:val="single" w:sz="12" w:space="0" w:color="auto"/>
            </w:tcBorders>
            <w:shd w:val="clear" w:color="auto" w:fill="auto"/>
            <w:vAlign w:val="bottom"/>
          </w:tcPr>
          <w:p w:rsidR="00B66B18" w:rsidRPr="0001529F" w:rsidRDefault="00B66B18" w:rsidP="00867CBB">
            <w:pPr>
              <w:suppressAutoHyphens w:val="0"/>
              <w:spacing w:before="80" w:after="80" w:line="200" w:lineRule="exact"/>
              <w:ind w:left="113" w:right="113"/>
              <w:rPr>
                <w:i/>
                <w:sz w:val="16"/>
              </w:rPr>
            </w:pPr>
            <w:r w:rsidRPr="0001529F">
              <w:rPr>
                <w:i/>
                <w:sz w:val="16"/>
              </w:rPr>
              <w:t>State party</w:t>
            </w:r>
          </w:p>
        </w:tc>
        <w:tc>
          <w:tcPr>
            <w:tcW w:w="2409" w:type="dxa"/>
            <w:gridSpan w:val="3"/>
            <w:tcBorders>
              <w:top w:val="single" w:sz="4" w:space="0" w:color="auto"/>
              <w:bottom w:val="single" w:sz="12" w:space="0" w:color="auto"/>
            </w:tcBorders>
            <w:shd w:val="clear" w:color="auto" w:fill="auto"/>
            <w:vAlign w:val="bottom"/>
          </w:tcPr>
          <w:p w:rsidR="00B66B18" w:rsidRPr="0001529F" w:rsidRDefault="00B66B18" w:rsidP="0001529F">
            <w:pPr>
              <w:suppressAutoHyphens w:val="0"/>
              <w:spacing w:before="80" w:after="80" w:line="200" w:lineRule="exact"/>
              <w:ind w:right="113"/>
              <w:jc w:val="right"/>
              <w:rPr>
                <w:i/>
                <w:sz w:val="16"/>
              </w:rPr>
            </w:pPr>
            <w:r w:rsidRPr="0001529F">
              <w:rPr>
                <w:i/>
                <w:sz w:val="16"/>
              </w:rPr>
              <w:t>Number of international human rights treaties and optional protocols with reporting procedures ratified or acceded to</w:t>
            </w:r>
          </w:p>
        </w:tc>
      </w:tr>
      <w:tr w:rsidR="00E07185" w:rsidRPr="0001529F" w:rsidTr="00E07185">
        <w:trPr>
          <w:trHeight w:hRule="exact" w:val="113"/>
        </w:trPr>
        <w:tc>
          <w:tcPr>
            <w:tcW w:w="1418" w:type="dxa"/>
            <w:tcBorders>
              <w:top w:val="single" w:sz="12" w:space="0" w:color="auto"/>
            </w:tcBorders>
            <w:shd w:val="clear" w:color="auto" w:fill="auto"/>
          </w:tcPr>
          <w:p w:rsidR="00B66B18" w:rsidRPr="0001529F" w:rsidRDefault="00B66B18" w:rsidP="0001529F">
            <w:pPr>
              <w:suppressAutoHyphens w:val="0"/>
              <w:spacing w:before="40" w:after="40" w:line="220" w:lineRule="exact"/>
              <w:ind w:right="113"/>
              <w:rPr>
                <w:sz w:val="18"/>
              </w:rPr>
            </w:pPr>
          </w:p>
        </w:tc>
        <w:tc>
          <w:tcPr>
            <w:tcW w:w="2268" w:type="dxa"/>
            <w:tcBorders>
              <w:top w:val="single" w:sz="12" w:space="0" w:color="auto"/>
            </w:tcBorders>
            <w:shd w:val="clear" w:color="auto" w:fill="auto"/>
            <w:vAlign w:val="bottom"/>
          </w:tcPr>
          <w:p w:rsidR="00B66B18" w:rsidRPr="0001529F" w:rsidRDefault="00B66B18" w:rsidP="0001529F">
            <w:pPr>
              <w:suppressAutoHyphens w:val="0"/>
              <w:spacing w:before="40" w:after="40" w:line="220" w:lineRule="exact"/>
              <w:ind w:right="113"/>
              <w:jc w:val="right"/>
              <w:rPr>
                <w:sz w:val="18"/>
              </w:rPr>
            </w:pPr>
          </w:p>
        </w:tc>
        <w:tc>
          <w:tcPr>
            <w:tcW w:w="2410" w:type="dxa"/>
            <w:tcBorders>
              <w:top w:val="single" w:sz="12" w:space="0" w:color="auto"/>
            </w:tcBorders>
            <w:shd w:val="clear" w:color="auto" w:fill="auto"/>
            <w:vAlign w:val="bottom"/>
          </w:tcPr>
          <w:p w:rsidR="00B66B18" w:rsidRPr="0001529F" w:rsidRDefault="00B66B18" w:rsidP="00867CBB">
            <w:pPr>
              <w:suppressAutoHyphens w:val="0"/>
              <w:spacing w:before="40" w:after="40" w:line="220" w:lineRule="exact"/>
              <w:ind w:left="113" w:right="113"/>
              <w:jc w:val="right"/>
              <w:rPr>
                <w:sz w:val="18"/>
              </w:rPr>
            </w:pPr>
          </w:p>
        </w:tc>
        <w:tc>
          <w:tcPr>
            <w:tcW w:w="2409" w:type="dxa"/>
            <w:gridSpan w:val="3"/>
            <w:tcBorders>
              <w:top w:val="single" w:sz="12" w:space="0" w:color="auto"/>
            </w:tcBorders>
            <w:shd w:val="clear" w:color="auto" w:fill="auto"/>
            <w:vAlign w:val="bottom"/>
          </w:tcPr>
          <w:p w:rsidR="00B66B18" w:rsidRPr="0001529F" w:rsidRDefault="00B66B18" w:rsidP="0001529F">
            <w:pPr>
              <w:suppressAutoHyphens w:val="0"/>
              <w:spacing w:before="40" w:after="40" w:line="220" w:lineRule="exact"/>
              <w:ind w:right="113"/>
              <w:jc w:val="right"/>
              <w:rPr>
                <w:sz w:val="18"/>
              </w:rPr>
            </w:pP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Angola</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7</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Niue</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Australia</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Oman</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6</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Azerbaijan</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Paraguay</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11</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Belgium</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Poland</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Bhutan</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4</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Republic of Moldova</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Canada</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Russian Federation</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Denmark</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Rwanda</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France</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Singapore</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4</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Holy See</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5</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Spain</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Honduras</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11</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Sweden</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r>
      <w:tr w:rsidR="00B66B18" w:rsidRPr="0001529F" w:rsidTr="000C461C">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Italy</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c>
          <w:tcPr>
            <w:tcW w:w="3827" w:type="dxa"/>
            <w:gridSpan w:val="2"/>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The former Yugoslav Republic of Macedonia</w:t>
            </w:r>
          </w:p>
        </w:tc>
        <w:tc>
          <w:tcPr>
            <w:tcW w:w="992" w:type="dxa"/>
            <w:gridSpan w:val="2"/>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Kuwait</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Turkmenistan</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Kyrgyzstan</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Ukraine</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r>
      <w:tr w:rsidR="00B66B18" w:rsidRPr="0001529F" w:rsidTr="000C461C">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Lithuania</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c>
          <w:tcPr>
            <w:tcW w:w="4252" w:type="dxa"/>
            <w:gridSpan w:val="3"/>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United Kingdom of Great Britain and Northern Ireland</w:t>
            </w:r>
          </w:p>
        </w:tc>
        <w:tc>
          <w:tcPr>
            <w:tcW w:w="567"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Marshall Islands</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3</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United States of America</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5</w:t>
            </w:r>
          </w:p>
        </w:tc>
      </w:tr>
      <w:tr w:rsidR="00B66B18" w:rsidRPr="0001529F" w:rsidTr="00E07185">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Mongolia</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Uruguay</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11</w:t>
            </w:r>
          </w:p>
        </w:tc>
      </w:tr>
      <w:tr w:rsidR="00B66B18" w:rsidRPr="0001529F" w:rsidTr="00E07185">
        <w:trPr>
          <w:trHeight w:val="318"/>
        </w:trPr>
        <w:tc>
          <w:tcPr>
            <w:tcW w:w="1418" w:type="dxa"/>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Montenegro</w:t>
            </w:r>
          </w:p>
        </w:tc>
        <w:tc>
          <w:tcPr>
            <w:tcW w:w="2268" w:type="dxa"/>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10</w:t>
            </w:r>
          </w:p>
        </w:tc>
        <w:tc>
          <w:tcPr>
            <w:tcW w:w="2410" w:type="dxa"/>
            <w:shd w:val="clear" w:color="auto" w:fill="auto"/>
            <w:vAlign w:val="bottom"/>
          </w:tcPr>
          <w:p w:rsidR="00B66B18" w:rsidRPr="0001529F" w:rsidRDefault="00B66B18" w:rsidP="006A4BD3">
            <w:pPr>
              <w:suppressAutoHyphens w:val="0"/>
              <w:spacing w:before="40" w:after="40" w:line="240" w:lineRule="exact"/>
              <w:ind w:left="113" w:right="113"/>
              <w:rPr>
                <w:sz w:val="18"/>
              </w:rPr>
            </w:pPr>
            <w:r w:rsidRPr="0001529F">
              <w:rPr>
                <w:sz w:val="18"/>
              </w:rPr>
              <w:t>Uzbekistan</w:t>
            </w:r>
          </w:p>
        </w:tc>
        <w:tc>
          <w:tcPr>
            <w:tcW w:w="2409" w:type="dxa"/>
            <w:gridSpan w:val="3"/>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8</w:t>
            </w:r>
          </w:p>
        </w:tc>
      </w:tr>
      <w:tr w:rsidR="00AB0D18" w:rsidRPr="0001529F" w:rsidTr="00AB0D18">
        <w:tc>
          <w:tcPr>
            <w:tcW w:w="1418" w:type="dxa"/>
            <w:tcBorders>
              <w:bottom w:val="single" w:sz="4" w:space="0" w:color="auto"/>
            </w:tcBorders>
            <w:shd w:val="clear" w:color="auto" w:fill="auto"/>
          </w:tcPr>
          <w:p w:rsidR="00B66B18" w:rsidRPr="0001529F" w:rsidRDefault="00B66B18" w:rsidP="006A4BD3">
            <w:pPr>
              <w:suppressAutoHyphens w:val="0"/>
              <w:spacing w:before="40" w:after="40" w:line="240" w:lineRule="exact"/>
              <w:ind w:right="113"/>
              <w:rPr>
                <w:sz w:val="18"/>
              </w:rPr>
            </w:pPr>
            <w:r w:rsidRPr="0001529F">
              <w:rPr>
                <w:sz w:val="18"/>
              </w:rPr>
              <w:t>New Zealand</w:t>
            </w:r>
          </w:p>
        </w:tc>
        <w:tc>
          <w:tcPr>
            <w:tcW w:w="2268" w:type="dxa"/>
            <w:tcBorders>
              <w:bottom w:val="single" w:sz="4" w:space="0" w:color="auto"/>
            </w:tcBorders>
            <w:shd w:val="clear" w:color="auto" w:fill="auto"/>
            <w:vAlign w:val="bottom"/>
          </w:tcPr>
          <w:p w:rsidR="00B66B18" w:rsidRPr="0001529F" w:rsidRDefault="00B66B18" w:rsidP="006A4BD3">
            <w:pPr>
              <w:suppressAutoHyphens w:val="0"/>
              <w:spacing w:before="40" w:after="40" w:line="240" w:lineRule="exact"/>
              <w:ind w:right="113"/>
              <w:jc w:val="right"/>
              <w:rPr>
                <w:sz w:val="18"/>
              </w:rPr>
            </w:pPr>
            <w:r w:rsidRPr="0001529F">
              <w:rPr>
                <w:sz w:val="18"/>
              </w:rPr>
              <w:t>9</w:t>
            </w:r>
          </w:p>
        </w:tc>
        <w:tc>
          <w:tcPr>
            <w:tcW w:w="2410" w:type="dxa"/>
            <w:tcBorders>
              <w:bottom w:val="single" w:sz="4" w:space="0" w:color="auto"/>
            </w:tcBorders>
            <w:shd w:val="clear" w:color="auto" w:fill="auto"/>
            <w:vAlign w:val="bottom"/>
          </w:tcPr>
          <w:p w:rsidR="00B66B18" w:rsidRPr="0001529F" w:rsidRDefault="00B66B18" w:rsidP="006A4BD3">
            <w:pPr>
              <w:suppressAutoHyphens w:val="0"/>
              <w:spacing w:before="40" w:after="40" w:line="240" w:lineRule="exact"/>
              <w:ind w:right="113"/>
              <w:rPr>
                <w:sz w:val="18"/>
              </w:rPr>
            </w:pPr>
          </w:p>
        </w:tc>
        <w:tc>
          <w:tcPr>
            <w:tcW w:w="2409" w:type="dxa"/>
            <w:gridSpan w:val="3"/>
            <w:tcBorders>
              <w:bottom w:val="single" w:sz="4" w:space="0" w:color="auto"/>
            </w:tcBorders>
            <w:shd w:val="clear" w:color="auto" w:fill="auto"/>
            <w:vAlign w:val="bottom"/>
          </w:tcPr>
          <w:p w:rsidR="00B66B18" w:rsidRPr="0001529F" w:rsidRDefault="00B66B18" w:rsidP="006A4BD3">
            <w:pPr>
              <w:suppressAutoHyphens w:val="0"/>
              <w:spacing w:before="40" w:after="40" w:line="240" w:lineRule="exact"/>
              <w:ind w:right="113"/>
              <w:jc w:val="right"/>
              <w:rPr>
                <w:sz w:val="18"/>
              </w:rPr>
            </w:pPr>
          </w:p>
        </w:tc>
      </w:tr>
      <w:tr w:rsidR="00B66B18" w:rsidRPr="0001529F" w:rsidTr="00AB0D18">
        <w:tc>
          <w:tcPr>
            <w:tcW w:w="8505" w:type="dxa"/>
            <w:gridSpan w:val="6"/>
            <w:tcBorders>
              <w:top w:val="single" w:sz="4" w:space="0" w:color="auto"/>
              <w:bottom w:val="single" w:sz="12" w:space="0" w:color="auto"/>
            </w:tcBorders>
            <w:shd w:val="clear" w:color="auto" w:fill="auto"/>
          </w:tcPr>
          <w:p w:rsidR="00B66B18" w:rsidRPr="00AB0D18" w:rsidRDefault="00B66B18" w:rsidP="006A4BD3">
            <w:pPr>
              <w:suppressAutoHyphens w:val="0"/>
              <w:spacing w:before="80" w:after="80" w:line="240" w:lineRule="exact"/>
              <w:ind w:left="283"/>
              <w:rPr>
                <w:b/>
                <w:sz w:val="18"/>
              </w:rPr>
            </w:pPr>
            <w:r w:rsidRPr="00AB0D18">
              <w:rPr>
                <w:b/>
                <w:sz w:val="18"/>
              </w:rPr>
              <w:t xml:space="preserve">Total: 36 States parties </w:t>
            </w:r>
          </w:p>
        </w:tc>
      </w:tr>
    </w:tbl>
    <w:p w:rsidR="00B66B18" w:rsidRPr="009873DB" w:rsidRDefault="00B66B18" w:rsidP="00047CD9">
      <w:pPr>
        <w:pStyle w:val="H1G"/>
      </w:pPr>
      <w:r w:rsidRPr="009873DB">
        <w:lastRenderedPageBreak/>
        <w:tab/>
        <w:t>B.</w:t>
      </w:r>
      <w:r w:rsidRPr="009873DB">
        <w:tab/>
        <w:t>States parties with overdue reports</w:t>
      </w:r>
    </w:p>
    <w:p w:rsidR="00B66B18" w:rsidRPr="009873DB" w:rsidRDefault="000C26D5" w:rsidP="00987561">
      <w:pPr>
        <w:pStyle w:val="SingleTxtG"/>
      </w:pPr>
      <w:r>
        <w:tab/>
      </w:r>
      <w:r w:rsidR="00B66B18" w:rsidRPr="009873DB">
        <w:t>The number of overdue reports (initial and periodic) ranged from 1 to 10 per State party. One State party had 10 overdue reports; 4 States parties had 9 overdue reports; 6</w:t>
      </w:r>
      <w:r w:rsidR="003F11A5">
        <w:t xml:space="preserve"> </w:t>
      </w:r>
      <w:r w:rsidR="00B66B18" w:rsidRPr="009873DB">
        <w:t>States parties had 8 overdue reports; 15 States parties had 7 overdue reports; 12 States parties had 6 overdue reports; 9 States parties had 5 overdue reports; 27 States parties had 4</w:t>
      </w:r>
      <w:r w:rsidR="003F11A5">
        <w:t xml:space="preserve"> </w:t>
      </w:r>
      <w:r w:rsidR="00B66B18" w:rsidRPr="009873DB">
        <w:t>overdue reports; 22 States parties had 3 overdue reports; 29 States parties had 2 overdue reports; and 36 States parties had 1 overdue report (see table 3).</w:t>
      </w:r>
    </w:p>
    <w:p w:rsidR="00473512" w:rsidRDefault="00B66B18" w:rsidP="00473512">
      <w:pPr>
        <w:pStyle w:val="Heading1"/>
      </w:pPr>
      <w:r w:rsidRPr="009873DB">
        <w:t>Table 3</w:t>
      </w:r>
    </w:p>
    <w:p w:rsidR="00B66B18" w:rsidRPr="00473512" w:rsidRDefault="00B66B18" w:rsidP="00473512">
      <w:pPr>
        <w:pStyle w:val="SingleTxtG"/>
        <w:rPr>
          <w:b/>
        </w:rPr>
      </w:pPr>
      <w:r w:rsidRPr="00473512">
        <w:rPr>
          <w:b/>
        </w:rPr>
        <w:t>States parties with overdue reports as at 1 March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6236"/>
      </w:tblGrid>
      <w:tr w:rsidR="00B66B18" w:rsidRPr="00473512" w:rsidTr="00935479">
        <w:trPr>
          <w:cantSplit/>
          <w:tblHeader/>
        </w:trPr>
        <w:tc>
          <w:tcPr>
            <w:tcW w:w="1134" w:type="dxa"/>
            <w:tcBorders>
              <w:top w:val="single" w:sz="4" w:space="0" w:color="auto"/>
              <w:bottom w:val="single" w:sz="12" w:space="0" w:color="auto"/>
            </w:tcBorders>
            <w:shd w:val="clear" w:color="auto" w:fill="auto"/>
            <w:vAlign w:val="bottom"/>
          </w:tcPr>
          <w:p w:rsidR="00B66B18" w:rsidRPr="00473512" w:rsidRDefault="00B66B18" w:rsidP="00935479">
            <w:pPr>
              <w:suppressAutoHyphens w:val="0"/>
              <w:spacing w:before="80" w:after="80" w:line="200" w:lineRule="exact"/>
              <w:ind w:right="113"/>
              <w:rPr>
                <w:i/>
                <w:sz w:val="16"/>
              </w:rPr>
            </w:pPr>
            <w:r w:rsidRPr="00473512">
              <w:rPr>
                <w:i/>
                <w:sz w:val="16"/>
              </w:rPr>
              <w:t>Number of overdue reports</w:t>
            </w:r>
          </w:p>
        </w:tc>
        <w:tc>
          <w:tcPr>
            <w:tcW w:w="6236" w:type="dxa"/>
            <w:tcBorders>
              <w:top w:val="single" w:sz="4" w:space="0" w:color="auto"/>
              <w:bottom w:val="single" w:sz="12" w:space="0" w:color="auto"/>
            </w:tcBorders>
            <w:shd w:val="clear" w:color="auto" w:fill="auto"/>
            <w:vAlign w:val="bottom"/>
          </w:tcPr>
          <w:p w:rsidR="00B66B18" w:rsidRPr="00473512" w:rsidRDefault="00B66B18" w:rsidP="00473512">
            <w:pPr>
              <w:suppressAutoHyphens w:val="0"/>
              <w:spacing w:before="80" w:after="80" w:line="200" w:lineRule="exact"/>
              <w:ind w:right="113"/>
              <w:rPr>
                <w:i/>
                <w:sz w:val="16"/>
              </w:rPr>
            </w:pPr>
            <w:r w:rsidRPr="00473512">
              <w:rPr>
                <w:i/>
                <w:sz w:val="16"/>
              </w:rPr>
              <w:t>States parties</w:t>
            </w:r>
          </w:p>
        </w:tc>
      </w:tr>
      <w:tr w:rsidR="00B66B18" w:rsidRPr="00473512" w:rsidTr="00935479">
        <w:trPr>
          <w:cantSplit/>
          <w:trHeight w:hRule="exact" w:val="113"/>
          <w:tblHeader/>
        </w:trPr>
        <w:tc>
          <w:tcPr>
            <w:tcW w:w="1134" w:type="dxa"/>
            <w:tcBorders>
              <w:top w:val="single" w:sz="12" w:space="0" w:color="auto"/>
            </w:tcBorders>
            <w:shd w:val="clear" w:color="auto" w:fill="auto"/>
          </w:tcPr>
          <w:p w:rsidR="00B66B18" w:rsidRPr="00473512" w:rsidRDefault="00B66B18" w:rsidP="00473512">
            <w:pPr>
              <w:suppressAutoHyphens w:val="0"/>
              <w:spacing w:before="40" w:after="120" w:line="220" w:lineRule="exact"/>
              <w:ind w:right="113"/>
            </w:pPr>
          </w:p>
        </w:tc>
        <w:tc>
          <w:tcPr>
            <w:tcW w:w="6236" w:type="dxa"/>
            <w:tcBorders>
              <w:top w:val="single" w:sz="12" w:space="0" w:color="auto"/>
            </w:tcBorders>
            <w:shd w:val="clear" w:color="auto" w:fill="auto"/>
          </w:tcPr>
          <w:p w:rsidR="00B66B18" w:rsidRPr="00473512" w:rsidRDefault="00B66B18" w:rsidP="00473512">
            <w:pPr>
              <w:suppressAutoHyphens w:val="0"/>
              <w:spacing w:before="40" w:after="120" w:line="220" w:lineRule="exact"/>
              <w:ind w:right="113"/>
            </w:pP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10</w:t>
            </w:r>
          </w:p>
        </w:tc>
        <w:tc>
          <w:tcPr>
            <w:tcW w:w="6236" w:type="dxa"/>
            <w:shd w:val="clear" w:color="auto" w:fill="auto"/>
          </w:tcPr>
          <w:p w:rsidR="00B66B18" w:rsidRPr="00473512" w:rsidRDefault="00B66B18" w:rsidP="004F7268">
            <w:pPr>
              <w:suppressAutoHyphens w:val="0"/>
              <w:spacing w:before="40" w:after="120"/>
              <w:ind w:right="113"/>
            </w:pPr>
            <w:r w:rsidRPr="00473512">
              <w:t>Nigeria (1 State party)</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9</w:t>
            </w:r>
          </w:p>
        </w:tc>
        <w:tc>
          <w:tcPr>
            <w:tcW w:w="6236" w:type="dxa"/>
            <w:shd w:val="clear" w:color="auto" w:fill="auto"/>
          </w:tcPr>
          <w:p w:rsidR="00B66B18" w:rsidRPr="00473512" w:rsidRDefault="00B66B18" w:rsidP="004F7268">
            <w:pPr>
              <w:suppressAutoHyphens w:val="0"/>
              <w:spacing w:before="40" w:after="120"/>
              <w:ind w:right="113"/>
            </w:pPr>
            <w:r w:rsidRPr="00473512">
              <w:t>Belize, Cabo Verde, Lesotho, Mali (4 States parties)</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8</w:t>
            </w:r>
          </w:p>
        </w:tc>
        <w:tc>
          <w:tcPr>
            <w:tcW w:w="6236" w:type="dxa"/>
            <w:shd w:val="clear" w:color="auto" w:fill="auto"/>
          </w:tcPr>
          <w:p w:rsidR="00B66B18" w:rsidRPr="00473512" w:rsidRDefault="00B66B18" w:rsidP="004F7268">
            <w:pPr>
              <w:suppressAutoHyphens w:val="0"/>
              <w:spacing w:before="40" w:after="120"/>
              <w:ind w:right="113"/>
            </w:pPr>
            <w:r w:rsidRPr="00473512">
              <w:t>Côte d</w:t>
            </w:r>
            <w:r w:rsidR="00A41919" w:rsidRPr="00473512">
              <w:t>’</w:t>
            </w:r>
            <w:r w:rsidRPr="00473512">
              <w:t>Ivoire, Libya, Saint Vincent and the Grenadines, San Marino, Swaziland, State of Palestine (6 States parties)</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7</w:t>
            </w:r>
          </w:p>
        </w:tc>
        <w:tc>
          <w:tcPr>
            <w:tcW w:w="6236" w:type="dxa"/>
            <w:shd w:val="clear" w:color="auto" w:fill="auto"/>
          </w:tcPr>
          <w:p w:rsidR="00B66B18" w:rsidRPr="00473512" w:rsidRDefault="00B66B18" w:rsidP="004F7268">
            <w:pPr>
              <w:suppressAutoHyphens w:val="0"/>
              <w:spacing w:before="40" w:after="120"/>
              <w:ind w:right="113"/>
            </w:pPr>
            <w:r w:rsidRPr="00473512">
              <w:t xml:space="preserve">Afghanistan, Bolivia (Plurinational State of), Botswana, Brazil, Chad, Dominica, Equatorial Guinea, Grenada, Guinea-Bissau, Guyana, Mozambique, Panama, Syrian Arab Republic, Zambia, Zimbabwe </w:t>
            </w:r>
            <w:r w:rsidR="00A958AA">
              <w:br/>
            </w:r>
            <w:r w:rsidRPr="00473512">
              <w:t>(15</w:t>
            </w:r>
            <w:r w:rsidR="003F11A5" w:rsidRPr="00473512">
              <w:t xml:space="preserve"> </w:t>
            </w:r>
            <w:r w:rsidRPr="00473512">
              <w:t xml:space="preserve">States parties) </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6</w:t>
            </w:r>
          </w:p>
        </w:tc>
        <w:tc>
          <w:tcPr>
            <w:tcW w:w="6236" w:type="dxa"/>
            <w:shd w:val="clear" w:color="auto" w:fill="auto"/>
          </w:tcPr>
          <w:p w:rsidR="00B66B18" w:rsidRPr="00473512" w:rsidRDefault="00B66B18" w:rsidP="004F7268">
            <w:pPr>
              <w:suppressAutoHyphens w:val="0"/>
              <w:spacing w:before="40" w:after="120"/>
              <w:ind w:right="113"/>
            </w:pPr>
            <w:r w:rsidRPr="00473512">
              <w:t>Algeria, Bahrain, Congo, Egypt, Eritrea, Indonesia, Jamaica, Lao</w:t>
            </w:r>
            <w:r w:rsidR="003F11A5" w:rsidRPr="00473512">
              <w:t xml:space="preserve"> </w:t>
            </w:r>
            <w:r w:rsidRPr="00473512">
              <w:t>People</w:t>
            </w:r>
            <w:r w:rsidR="00A41919" w:rsidRPr="00473512">
              <w:t>’</w:t>
            </w:r>
            <w:r w:rsidRPr="00473512">
              <w:t>s Democratic Republic, Nicaragua, Papua New Guinea, Seychelles, Togo (12 States parties)</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5</w:t>
            </w:r>
          </w:p>
        </w:tc>
        <w:tc>
          <w:tcPr>
            <w:tcW w:w="6236" w:type="dxa"/>
            <w:shd w:val="clear" w:color="auto" w:fill="auto"/>
          </w:tcPr>
          <w:p w:rsidR="00B66B18" w:rsidRPr="00473512" w:rsidRDefault="00B66B18" w:rsidP="004F7268">
            <w:pPr>
              <w:suppressAutoHyphens w:val="0"/>
              <w:spacing w:before="40" w:after="120"/>
              <w:ind w:right="113"/>
            </w:pPr>
            <w:r w:rsidRPr="00473512">
              <w:t>Bahamas, Cambodia, Democratic Republic of the Congo, Djibouti, Maldives, Malta, Mauritius, Senegal, Uganda (9 States parties)</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4</w:t>
            </w:r>
          </w:p>
        </w:tc>
        <w:tc>
          <w:tcPr>
            <w:tcW w:w="6236" w:type="dxa"/>
            <w:shd w:val="clear" w:color="auto" w:fill="auto"/>
          </w:tcPr>
          <w:p w:rsidR="00B66B18" w:rsidRPr="00473512" w:rsidRDefault="00B66B18" w:rsidP="004F7268">
            <w:pPr>
              <w:suppressAutoHyphens w:val="0"/>
              <w:spacing w:before="40" w:after="120"/>
              <w:ind w:right="113"/>
            </w:pPr>
            <w:r w:rsidRPr="00473512">
              <w:t>Antigua and Barbuda, Bangladesh, Barbados, Benin, Burundi, Central</w:t>
            </w:r>
            <w:r w:rsidR="003F11A5" w:rsidRPr="00473512">
              <w:t xml:space="preserve"> </w:t>
            </w:r>
            <w:r w:rsidRPr="00473512">
              <w:t>African Republic, Comoros, Dominican Republic, Ethiopia, Gabon, Ghana, Guinea, Hungary, Israel, Liberia, Liechtenstein, Malawi, Malaysia, Mexico, Morocco, Niger, Romania, Saint Lucia, Somalia, Trinidad and Tobago, Tunisia, Yemen (27 States parties)</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3</w:t>
            </w:r>
          </w:p>
        </w:tc>
        <w:tc>
          <w:tcPr>
            <w:tcW w:w="6236" w:type="dxa"/>
            <w:shd w:val="clear" w:color="auto" w:fill="auto"/>
          </w:tcPr>
          <w:p w:rsidR="00B66B18" w:rsidRPr="00473512" w:rsidRDefault="00B66B18" w:rsidP="004F7268">
            <w:pPr>
              <w:suppressAutoHyphens w:val="0"/>
              <w:spacing w:before="40" w:after="120"/>
              <w:ind w:right="113"/>
            </w:pPr>
            <w:r w:rsidRPr="00473512">
              <w:t>Chile, Costa Rica, Croatia, Democratic People</w:t>
            </w:r>
            <w:r w:rsidR="00A41919" w:rsidRPr="00473512">
              <w:t>’</w:t>
            </w:r>
            <w:r w:rsidRPr="00473512">
              <w:t>s Republic of Korea, Gambia, Georgia, India, Iran (Islamic Republic of), Japan, Kiribati, Latvia, Luxembourg, Madagascar, Namibia, Saint Kitts and Nevis, Samoa, Sierra Leone, South Africa, Tajikistan,</w:t>
            </w:r>
            <w:r w:rsidR="00A41919" w:rsidRPr="00473512">
              <w:t xml:space="preserve"> </w:t>
            </w:r>
            <w:r w:rsidRPr="00473512">
              <w:t>Timor-Leste, United</w:t>
            </w:r>
            <w:r w:rsidR="003F11A5" w:rsidRPr="00473512">
              <w:t xml:space="preserve"> </w:t>
            </w:r>
            <w:r w:rsidRPr="00473512">
              <w:t>Republic of Tanzania, Viet Nam (22 States parties)</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2</w:t>
            </w:r>
          </w:p>
        </w:tc>
        <w:tc>
          <w:tcPr>
            <w:tcW w:w="6236" w:type="dxa"/>
            <w:shd w:val="clear" w:color="auto" w:fill="auto"/>
          </w:tcPr>
          <w:p w:rsidR="00B66B18" w:rsidRPr="00473512" w:rsidRDefault="00B66B18" w:rsidP="004F7268">
            <w:pPr>
              <w:suppressAutoHyphens w:val="0"/>
              <w:spacing w:before="40" w:after="120"/>
              <w:ind w:right="113"/>
            </w:pPr>
            <w:r w:rsidRPr="00473512">
              <w:t>Albania, Andorra, Argentina, Austria, Cameroon, Cuba, El Salvador, Estonia, Haiti, Iceland, Kenya, Mauritania, Micronesia (Federated</w:t>
            </w:r>
            <w:r w:rsidR="003F11A5" w:rsidRPr="00473512">
              <w:t xml:space="preserve"> </w:t>
            </w:r>
            <w:r w:rsidRPr="00473512">
              <w:t>States</w:t>
            </w:r>
            <w:r w:rsidR="003F11A5" w:rsidRPr="00473512">
              <w:t xml:space="preserve"> </w:t>
            </w:r>
            <w:r w:rsidRPr="00473512">
              <w:t>of), Monaco, Myanmar, Nauru, Nepal, Pakistan, Peru, Philippines, Republic of Korea, Saudi Arabia, Solomon Islands, Sudan, Suriname, Switzerland, Tonga, Turkey, Vanuatu (29 States parties)</w:t>
            </w:r>
          </w:p>
        </w:tc>
      </w:tr>
      <w:tr w:rsidR="00B66B18" w:rsidRPr="00473512" w:rsidTr="00935479">
        <w:trPr>
          <w:cantSplit/>
        </w:trPr>
        <w:tc>
          <w:tcPr>
            <w:tcW w:w="1134" w:type="dxa"/>
            <w:shd w:val="clear" w:color="auto" w:fill="auto"/>
          </w:tcPr>
          <w:p w:rsidR="00B66B18" w:rsidRPr="00473512" w:rsidRDefault="00B66B18" w:rsidP="004F7268">
            <w:pPr>
              <w:suppressAutoHyphens w:val="0"/>
              <w:spacing w:before="40" w:after="120"/>
              <w:ind w:right="113"/>
            </w:pPr>
            <w:r w:rsidRPr="00473512">
              <w:t>1</w:t>
            </w:r>
          </w:p>
        </w:tc>
        <w:tc>
          <w:tcPr>
            <w:tcW w:w="6236" w:type="dxa"/>
            <w:shd w:val="clear" w:color="auto" w:fill="auto"/>
          </w:tcPr>
          <w:p w:rsidR="00B66B18" w:rsidRPr="00473512" w:rsidRDefault="00B66B18" w:rsidP="004F7268">
            <w:pPr>
              <w:suppressAutoHyphens w:val="0"/>
              <w:spacing w:before="40" w:after="120"/>
              <w:ind w:right="113"/>
            </w:pPr>
            <w:r w:rsidRPr="00473512">
              <w:t>Armenia, Belarus, Brunei Darussalam, Bulgaria, Burkina Faso, China, Colombia, Cook Islands, Cyprus, Czechia, Ecuador, Fiji, Finland, Germany, Greece, Guatemala, Iraq, Ireland, Jordan, Kazakhstan, Lebanon, Netherlands, Norway, Palau, Portugal, Qatar, Sao</w:t>
            </w:r>
            <w:r w:rsidR="003F11A5" w:rsidRPr="00473512">
              <w:t xml:space="preserve"> </w:t>
            </w:r>
            <w:r w:rsidRPr="00473512">
              <w:t>Tome</w:t>
            </w:r>
            <w:r w:rsidR="003F11A5" w:rsidRPr="00473512">
              <w:t xml:space="preserve"> </w:t>
            </w:r>
            <w:r w:rsidRPr="00473512">
              <w:t>and</w:t>
            </w:r>
            <w:r w:rsidR="003F11A5" w:rsidRPr="00473512">
              <w:t xml:space="preserve"> </w:t>
            </w:r>
            <w:r w:rsidRPr="00473512">
              <w:t>Principe, Serbia, Slovakia, Slovenia, South Sudan, Sri</w:t>
            </w:r>
            <w:r w:rsidR="003F11A5" w:rsidRPr="00473512">
              <w:t xml:space="preserve"> </w:t>
            </w:r>
            <w:r w:rsidRPr="00473512">
              <w:t xml:space="preserve">Lanka, Thailand, Tuvalu, United Arab Emirates, Venezuela (Bolivarian Republic of) </w:t>
            </w:r>
            <w:r w:rsidR="00F03BAE">
              <w:br/>
            </w:r>
            <w:r w:rsidRPr="00473512">
              <w:t xml:space="preserve">(36 States parties) </w:t>
            </w:r>
          </w:p>
        </w:tc>
      </w:tr>
    </w:tbl>
    <w:p w:rsidR="00B66B18" w:rsidRPr="009873DB" w:rsidRDefault="00B66B18" w:rsidP="006B3CA9">
      <w:pPr>
        <w:pStyle w:val="SingleTxtG"/>
        <w:spacing w:before="240"/>
      </w:pPr>
      <w:r w:rsidRPr="009873DB">
        <w:t>7.</w:t>
      </w:r>
      <w:r w:rsidRPr="009873DB">
        <w:tab/>
        <w:t xml:space="preserve">With regard to overdue initial reports, 1 State party had 8 reports pending; 1 State party had 7 reports pending; 10 States parties had 6 reports pending; 4 States parties had 5 </w:t>
      </w:r>
      <w:r w:rsidRPr="009873DB">
        <w:lastRenderedPageBreak/>
        <w:t>reports pending; 6 States parties had 4 reports pending; 21 States parties had 3 reports pending; 26</w:t>
      </w:r>
      <w:r w:rsidR="003F11A5">
        <w:t xml:space="preserve"> </w:t>
      </w:r>
      <w:r w:rsidRPr="009873DB">
        <w:t>States parties had 2 reports pending; and 48 States parties had 1 report pending (see table</w:t>
      </w:r>
      <w:r w:rsidR="003F11A5">
        <w:t xml:space="preserve"> </w:t>
      </w:r>
      <w:r w:rsidRPr="009873DB">
        <w:t>4).</w:t>
      </w:r>
    </w:p>
    <w:p w:rsidR="00F92F22" w:rsidRDefault="00B66B18" w:rsidP="00F92F22">
      <w:pPr>
        <w:pStyle w:val="Heading1"/>
        <w:keepNext/>
        <w:keepLines/>
      </w:pPr>
      <w:r w:rsidRPr="009873DB">
        <w:t>Table 4</w:t>
      </w:r>
    </w:p>
    <w:p w:rsidR="00B66B18" w:rsidRPr="00F92F22" w:rsidRDefault="00B66B18" w:rsidP="00F92F22">
      <w:pPr>
        <w:pStyle w:val="SingleTxtG"/>
        <w:keepNext/>
        <w:keepLines/>
        <w:rPr>
          <w:b/>
        </w:rPr>
      </w:pPr>
      <w:r w:rsidRPr="00F92F22">
        <w:rPr>
          <w:b/>
        </w:rPr>
        <w:t>States parties with overdue initial reports as at 1 March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7"/>
        <w:gridCol w:w="5953"/>
      </w:tblGrid>
      <w:tr w:rsidR="00B66B18" w:rsidRPr="00AB2F36" w:rsidTr="00AB2F36">
        <w:trPr>
          <w:cantSplit/>
          <w:tblHeader/>
        </w:trPr>
        <w:tc>
          <w:tcPr>
            <w:tcW w:w="1417" w:type="dxa"/>
            <w:tcBorders>
              <w:top w:val="single" w:sz="4" w:space="0" w:color="auto"/>
              <w:bottom w:val="single" w:sz="12" w:space="0" w:color="auto"/>
            </w:tcBorders>
            <w:shd w:val="clear" w:color="auto" w:fill="auto"/>
            <w:vAlign w:val="bottom"/>
          </w:tcPr>
          <w:p w:rsidR="00B66B18" w:rsidRPr="00AB2F36" w:rsidRDefault="00B66B18" w:rsidP="00AB2F36">
            <w:pPr>
              <w:keepNext/>
              <w:keepLines/>
              <w:suppressAutoHyphens w:val="0"/>
              <w:spacing w:before="80" w:after="80" w:line="200" w:lineRule="exact"/>
              <w:ind w:right="113"/>
              <w:rPr>
                <w:i/>
                <w:sz w:val="16"/>
              </w:rPr>
            </w:pPr>
            <w:r w:rsidRPr="00AB2F36">
              <w:rPr>
                <w:i/>
                <w:sz w:val="16"/>
              </w:rPr>
              <w:t>Number of overdue initial reports</w:t>
            </w:r>
          </w:p>
        </w:tc>
        <w:tc>
          <w:tcPr>
            <w:tcW w:w="5953" w:type="dxa"/>
            <w:tcBorders>
              <w:top w:val="single" w:sz="4" w:space="0" w:color="auto"/>
              <w:bottom w:val="single" w:sz="12" w:space="0" w:color="auto"/>
            </w:tcBorders>
            <w:shd w:val="clear" w:color="auto" w:fill="auto"/>
            <w:vAlign w:val="bottom"/>
          </w:tcPr>
          <w:p w:rsidR="00B66B18" w:rsidRPr="00AB2F36" w:rsidRDefault="00B66B18" w:rsidP="00AB2F36">
            <w:pPr>
              <w:keepNext/>
              <w:keepLines/>
              <w:suppressAutoHyphens w:val="0"/>
              <w:spacing w:before="80" w:after="80" w:line="200" w:lineRule="exact"/>
              <w:ind w:right="113"/>
              <w:rPr>
                <w:i/>
                <w:sz w:val="16"/>
              </w:rPr>
            </w:pPr>
            <w:r w:rsidRPr="00AB2F36">
              <w:rPr>
                <w:i/>
                <w:sz w:val="16"/>
              </w:rPr>
              <w:t>States parties</w:t>
            </w:r>
          </w:p>
        </w:tc>
      </w:tr>
      <w:tr w:rsidR="00B66B18" w:rsidRPr="00AB2F36" w:rsidTr="00AB2F36">
        <w:trPr>
          <w:cantSplit/>
          <w:trHeight w:hRule="exact" w:val="113"/>
          <w:tblHeader/>
        </w:trPr>
        <w:tc>
          <w:tcPr>
            <w:tcW w:w="1417" w:type="dxa"/>
            <w:tcBorders>
              <w:top w:val="single" w:sz="12" w:space="0" w:color="auto"/>
            </w:tcBorders>
            <w:shd w:val="clear" w:color="auto" w:fill="auto"/>
          </w:tcPr>
          <w:p w:rsidR="00B66B18" w:rsidRPr="00AB2F36" w:rsidRDefault="00B66B18" w:rsidP="00AB2F36">
            <w:pPr>
              <w:keepNext/>
              <w:keepLines/>
              <w:suppressAutoHyphens w:val="0"/>
              <w:spacing w:before="40" w:after="120" w:line="220" w:lineRule="exact"/>
              <w:ind w:right="113"/>
            </w:pPr>
          </w:p>
        </w:tc>
        <w:tc>
          <w:tcPr>
            <w:tcW w:w="5953" w:type="dxa"/>
            <w:tcBorders>
              <w:top w:val="single" w:sz="12" w:space="0" w:color="auto"/>
            </w:tcBorders>
            <w:shd w:val="clear" w:color="auto" w:fill="auto"/>
          </w:tcPr>
          <w:p w:rsidR="00B66B18" w:rsidRPr="00AB2F36" w:rsidRDefault="00B66B18" w:rsidP="00AB2F36">
            <w:pPr>
              <w:keepNext/>
              <w:keepLines/>
              <w:suppressAutoHyphens w:val="0"/>
              <w:spacing w:before="40" w:after="120" w:line="220" w:lineRule="exact"/>
              <w:ind w:right="113"/>
            </w:pPr>
          </w:p>
        </w:tc>
      </w:tr>
      <w:tr w:rsidR="00B66B18" w:rsidRPr="00AB2F36" w:rsidTr="00AB2F36">
        <w:trPr>
          <w:cantSplit/>
          <w:trHeight w:val="20"/>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8</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State of Palestine (1 State party)</w:t>
            </w:r>
          </w:p>
        </w:tc>
      </w:tr>
      <w:tr w:rsidR="00B66B18" w:rsidRPr="00AB2F36" w:rsidTr="00AB2F36">
        <w:trPr>
          <w:cantSplit/>
          <w:trHeight w:val="422"/>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7</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Cabo Verde (1 State party)</w:t>
            </w:r>
          </w:p>
        </w:tc>
      </w:tr>
      <w:tr w:rsidR="00B66B18" w:rsidRPr="00AB2F36" w:rsidTr="00D11A11">
        <w:trPr>
          <w:cantSplit/>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6</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Belize, Dominica, Eritrea, Guinea-Bissau, Lesotho, Mali, Nigeria, Saint</w:t>
            </w:r>
            <w:r w:rsidR="003F11A5" w:rsidRPr="00AB2F36">
              <w:t xml:space="preserve"> </w:t>
            </w:r>
            <w:r w:rsidRPr="00AB2F36">
              <w:t>Vincent and the Grenadines, San Marino, Swaziland (10 States parties)</w:t>
            </w:r>
          </w:p>
        </w:tc>
      </w:tr>
      <w:tr w:rsidR="00B66B18" w:rsidRPr="00AB2F36" w:rsidTr="00AB2F36">
        <w:trPr>
          <w:cantSplit/>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5</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Bahrain, Côte d</w:t>
            </w:r>
            <w:r w:rsidR="00A41919" w:rsidRPr="00AB2F36">
              <w:t>’</w:t>
            </w:r>
            <w:r w:rsidRPr="00AB2F36">
              <w:t>Ivoire, Equatorial Guinea, Grenada (4 States parties)</w:t>
            </w:r>
          </w:p>
        </w:tc>
      </w:tr>
      <w:tr w:rsidR="00B66B18" w:rsidRPr="00AB2F36" w:rsidTr="00AB2F36">
        <w:trPr>
          <w:cantSplit/>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4</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Bolivia (Plurinational State of), Jamaica, Liberia, Malawi, Mozambique, Seychelles (6 States parties)</w:t>
            </w:r>
          </w:p>
        </w:tc>
      </w:tr>
      <w:tr w:rsidR="00B66B18" w:rsidRPr="00AB2F36" w:rsidTr="00AB2F36">
        <w:trPr>
          <w:cantSplit/>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3</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Afghanistan, Bangladesh, Botswana, Congo, Dominican Republic, Guyana, Indonesia, Lao People</w:t>
            </w:r>
            <w:r w:rsidR="00A41919" w:rsidRPr="00AB2F36">
              <w:t>’</w:t>
            </w:r>
            <w:r w:rsidRPr="00AB2F36">
              <w:t>s Democratic Republic, Libya, Malaysia, Maldives, Namibia, Niger, Panama, Papua New Guinea, Romania, Saint</w:t>
            </w:r>
            <w:r w:rsidR="00A41919" w:rsidRPr="00AB2F36">
              <w:t xml:space="preserve"> </w:t>
            </w:r>
            <w:r w:rsidRPr="00AB2F36">
              <w:t>Lucia, Somalia, Timor-Leste, Togo, Zimbabwe (21 States parties)</w:t>
            </w:r>
          </w:p>
        </w:tc>
      </w:tr>
      <w:tr w:rsidR="00B66B18" w:rsidRPr="00AB2F36" w:rsidTr="00AB2F36">
        <w:trPr>
          <w:cantSplit/>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2</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Algeria, Andorra, Antigua and Barbuda, Bahamas, Benin, Brazil, Burundi, Cambodia, Central African Republic, Chad, Comoros, Djibouti, Ghana, Guinea, Kiribati, Mauritania, Mauritius, Nauru, Pakistan, Samoa, Saudi Arabia, Senegal, Sierra Leone, Tajikistan, Vanuatu, Zambia (26</w:t>
            </w:r>
            <w:r w:rsidR="003F11A5" w:rsidRPr="00AB2F36">
              <w:t xml:space="preserve"> </w:t>
            </w:r>
            <w:r w:rsidRPr="00AB2F36">
              <w:t>States parties)</w:t>
            </w:r>
          </w:p>
        </w:tc>
      </w:tr>
      <w:tr w:rsidR="00B66B18" w:rsidRPr="00AB2F36" w:rsidTr="00AB2F36">
        <w:trPr>
          <w:cantSplit/>
        </w:trPr>
        <w:tc>
          <w:tcPr>
            <w:tcW w:w="1417" w:type="dxa"/>
            <w:shd w:val="clear" w:color="auto" w:fill="auto"/>
          </w:tcPr>
          <w:p w:rsidR="00B66B18" w:rsidRPr="00AB2F36" w:rsidRDefault="00B66B18" w:rsidP="000E4473">
            <w:pPr>
              <w:keepNext/>
              <w:keepLines/>
              <w:suppressAutoHyphens w:val="0"/>
              <w:spacing w:before="40" w:after="120" w:line="240" w:lineRule="exact"/>
              <w:ind w:right="113"/>
            </w:pPr>
            <w:r w:rsidRPr="00AB2F36">
              <w:t>1</w:t>
            </w:r>
          </w:p>
        </w:tc>
        <w:tc>
          <w:tcPr>
            <w:tcW w:w="5953" w:type="dxa"/>
            <w:shd w:val="clear" w:color="auto" w:fill="auto"/>
          </w:tcPr>
          <w:p w:rsidR="00B66B18" w:rsidRPr="00AB2F36" w:rsidRDefault="00B66B18" w:rsidP="000E4473">
            <w:pPr>
              <w:keepNext/>
              <w:keepLines/>
              <w:suppressAutoHyphens w:val="0"/>
              <w:spacing w:before="40" w:after="120" w:line="240" w:lineRule="exact"/>
              <w:ind w:right="113"/>
            </w:pPr>
            <w:r w:rsidRPr="00AB2F36">
              <w:t>Austria, Barbados, Brunei Darussalam, Burkina Faso, Cameroon, Chile, Costa Rica, Croatia, Cuba, Cyprus, Czechia, Democratic People</w:t>
            </w:r>
            <w:r w:rsidR="00A41919" w:rsidRPr="00AB2F36">
              <w:t>’</w:t>
            </w:r>
            <w:r w:rsidRPr="00AB2F36">
              <w:t>s Republic of Korea, Democratic Republic of the Congo, Egypt, Estonia, Finland, Gabon, Gambia, Haiti, Iran (Islamic</w:t>
            </w:r>
            <w:r w:rsidR="003F11A5" w:rsidRPr="00AB2F36">
              <w:t xml:space="preserve"> </w:t>
            </w:r>
            <w:r w:rsidRPr="00AB2F36">
              <w:t>Republic of), Israel, Japan, Kenya, Lebanon, Liechtenstein, Malta, Micronesia (Federated States of), Monaco, Morocco, Myanmar, Palau, Peru, Saint Kitts and Nevis, Sao Tome and Principe, Slovakia, South Africa, South Sudan, Sri Lanka, Sudan, Suriname, Syrian</w:t>
            </w:r>
            <w:r w:rsidR="003F11A5" w:rsidRPr="00AB2F36">
              <w:t xml:space="preserve"> </w:t>
            </w:r>
            <w:r w:rsidRPr="00AB2F36">
              <w:t>Arab</w:t>
            </w:r>
            <w:r w:rsidR="003F11A5" w:rsidRPr="00AB2F36">
              <w:t xml:space="preserve"> </w:t>
            </w:r>
            <w:r w:rsidRPr="00AB2F36">
              <w:t>Republic, Tonga, Tunisia, Tuvalu, United Arab Emirates, United Republic of Tanzania, Viet Nam, Yemen (48 States parties)</w:t>
            </w:r>
          </w:p>
        </w:tc>
      </w:tr>
    </w:tbl>
    <w:p w:rsidR="00B66B18" w:rsidRPr="009873DB" w:rsidRDefault="00B66B18" w:rsidP="0098746E">
      <w:pPr>
        <w:pStyle w:val="SingleTxtG"/>
        <w:spacing w:before="240"/>
      </w:pPr>
      <w:r w:rsidRPr="009873DB">
        <w:t>8.</w:t>
      </w:r>
      <w:r w:rsidRPr="009873DB">
        <w:tab/>
        <w:t>Regarding overdue periodic reports, 2 States parties had 6 reports pending; 6 States parties had 5 reports pending; 13 States parties had 4 reports pending; 28 States parties had 3 reports pending; 37 States parties had 2 reports pending; and 50 States parties had 1</w:t>
      </w:r>
      <w:r w:rsidR="003F11A5">
        <w:t xml:space="preserve"> </w:t>
      </w:r>
      <w:r w:rsidRPr="009873DB">
        <w:t>report pending (see table</w:t>
      </w:r>
      <w:r w:rsidR="003F11A5">
        <w:t xml:space="preserve"> </w:t>
      </w:r>
      <w:r w:rsidRPr="009873DB">
        <w:t>5).</w:t>
      </w:r>
    </w:p>
    <w:p w:rsidR="00C8355C" w:rsidRDefault="00B66B18" w:rsidP="00C8355C">
      <w:pPr>
        <w:pStyle w:val="Heading1"/>
      </w:pPr>
      <w:r w:rsidRPr="009873DB">
        <w:t>Table 5</w:t>
      </w:r>
    </w:p>
    <w:p w:rsidR="00B66B18" w:rsidRPr="00C8355C" w:rsidRDefault="00B66B18" w:rsidP="00987561">
      <w:pPr>
        <w:pStyle w:val="SingleTxtG"/>
        <w:rPr>
          <w:b/>
        </w:rPr>
      </w:pPr>
      <w:r w:rsidRPr="00C8355C">
        <w:rPr>
          <w:b/>
        </w:rPr>
        <w:t>States parties with overdue periodic reports as at 1 March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5952"/>
      </w:tblGrid>
      <w:tr w:rsidR="00B66B18" w:rsidRPr="00CE3A23" w:rsidTr="00CE3A23">
        <w:trPr>
          <w:cantSplit/>
          <w:tblHeader/>
        </w:trPr>
        <w:tc>
          <w:tcPr>
            <w:tcW w:w="1418" w:type="dxa"/>
            <w:tcBorders>
              <w:top w:val="single" w:sz="4" w:space="0" w:color="auto"/>
              <w:bottom w:val="single" w:sz="12" w:space="0" w:color="auto"/>
            </w:tcBorders>
            <w:shd w:val="clear" w:color="auto" w:fill="auto"/>
            <w:vAlign w:val="bottom"/>
          </w:tcPr>
          <w:p w:rsidR="00B66B18" w:rsidRPr="00CE3A23" w:rsidRDefault="00B66B18" w:rsidP="00CE3A23">
            <w:pPr>
              <w:suppressAutoHyphens w:val="0"/>
              <w:spacing w:before="80" w:after="80" w:line="200" w:lineRule="exact"/>
              <w:ind w:right="113"/>
              <w:rPr>
                <w:i/>
                <w:sz w:val="16"/>
              </w:rPr>
            </w:pPr>
            <w:r w:rsidRPr="00CE3A23">
              <w:rPr>
                <w:i/>
                <w:sz w:val="16"/>
              </w:rPr>
              <w:t>Number of overdue periodic reports</w:t>
            </w:r>
          </w:p>
        </w:tc>
        <w:tc>
          <w:tcPr>
            <w:tcW w:w="5952" w:type="dxa"/>
            <w:tcBorders>
              <w:top w:val="single" w:sz="4" w:space="0" w:color="auto"/>
              <w:bottom w:val="single" w:sz="12" w:space="0" w:color="auto"/>
            </w:tcBorders>
            <w:shd w:val="clear" w:color="auto" w:fill="auto"/>
            <w:vAlign w:val="bottom"/>
          </w:tcPr>
          <w:p w:rsidR="00B66B18" w:rsidRPr="00CE3A23" w:rsidRDefault="00B66B18" w:rsidP="00CE3A23">
            <w:pPr>
              <w:suppressAutoHyphens w:val="0"/>
              <w:spacing w:before="80" w:after="80" w:line="200" w:lineRule="exact"/>
              <w:ind w:right="113"/>
              <w:rPr>
                <w:i/>
                <w:sz w:val="16"/>
              </w:rPr>
            </w:pPr>
            <w:r w:rsidRPr="00CE3A23">
              <w:rPr>
                <w:i/>
                <w:sz w:val="16"/>
              </w:rPr>
              <w:t>States parties</w:t>
            </w:r>
          </w:p>
        </w:tc>
      </w:tr>
      <w:tr w:rsidR="00B66B18" w:rsidRPr="00CE3A23" w:rsidTr="00CE3A23">
        <w:trPr>
          <w:cantSplit/>
          <w:trHeight w:hRule="exact" w:val="113"/>
          <w:tblHeader/>
        </w:trPr>
        <w:tc>
          <w:tcPr>
            <w:tcW w:w="1418" w:type="dxa"/>
            <w:tcBorders>
              <w:top w:val="single" w:sz="12" w:space="0" w:color="auto"/>
            </w:tcBorders>
            <w:shd w:val="clear" w:color="auto" w:fill="auto"/>
          </w:tcPr>
          <w:p w:rsidR="00B66B18" w:rsidRPr="00CE3A23" w:rsidRDefault="00B66B18" w:rsidP="00CE3A23">
            <w:pPr>
              <w:suppressAutoHyphens w:val="0"/>
              <w:spacing w:before="40" w:after="120" w:line="220" w:lineRule="exact"/>
              <w:ind w:right="113"/>
            </w:pPr>
          </w:p>
        </w:tc>
        <w:tc>
          <w:tcPr>
            <w:tcW w:w="5952" w:type="dxa"/>
            <w:tcBorders>
              <w:top w:val="single" w:sz="12" w:space="0" w:color="auto"/>
            </w:tcBorders>
            <w:shd w:val="clear" w:color="auto" w:fill="auto"/>
          </w:tcPr>
          <w:p w:rsidR="00B66B18" w:rsidRPr="00CE3A23" w:rsidRDefault="00B66B18" w:rsidP="00CE3A23">
            <w:pPr>
              <w:suppressAutoHyphens w:val="0"/>
              <w:spacing w:before="40" w:after="120" w:line="220" w:lineRule="exact"/>
              <w:ind w:right="113"/>
            </w:pPr>
          </w:p>
        </w:tc>
      </w:tr>
      <w:tr w:rsidR="00B66B18" w:rsidRPr="00CE3A23" w:rsidTr="00CE3A23">
        <w:trPr>
          <w:cantSplit/>
        </w:trPr>
        <w:tc>
          <w:tcPr>
            <w:tcW w:w="1418" w:type="dxa"/>
            <w:shd w:val="clear" w:color="auto" w:fill="auto"/>
          </w:tcPr>
          <w:p w:rsidR="00B66B18" w:rsidRPr="00CE3A23" w:rsidRDefault="00B66B18" w:rsidP="00CE3A23">
            <w:pPr>
              <w:suppressAutoHyphens w:val="0"/>
              <w:spacing w:before="40" w:after="120" w:line="220" w:lineRule="exact"/>
              <w:ind w:right="113"/>
            </w:pPr>
            <w:r w:rsidRPr="00CE3A23">
              <w:t>6</w:t>
            </w:r>
          </w:p>
        </w:tc>
        <w:tc>
          <w:tcPr>
            <w:tcW w:w="5952" w:type="dxa"/>
            <w:shd w:val="clear" w:color="auto" w:fill="auto"/>
          </w:tcPr>
          <w:p w:rsidR="00B66B18" w:rsidRPr="00CE3A23" w:rsidRDefault="00B66B18" w:rsidP="00CE3A23">
            <w:pPr>
              <w:suppressAutoHyphens w:val="0"/>
              <w:spacing w:before="40" w:after="120"/>
              <w:ind w:right="113"/>
            </w:pPr>
            <w:r w:rsidRPr="00CE3A23">
              <w:t>Nicaragua, Syrian Arab Republic (2 States parties)</w:t>
            </w:r>
          </w:p>
        </w:tc>
      </w:tr>
      <w:tr w:rsidR="00B66B18" w:rsidRPr="00CE3A23" w:rsidTr="006624F2">
        <w:trPr>
          <w:cantSplit/>
        </w:trPr>
        <w:tc>
          <w:tcPr>
            <w:tcW w:w="1418" w:type="dxa"/>
            <w:tcBorders>
              <w:bottom w:val="nil"/>
            </w:tcBorders>
            <w:shd w:val="clear" w:color="auto" w:fill="auto"/>
          </w:tcPr>
          <w:p w:rsidR="00B66B18" w:rsidRPr="00CE3A23" w:rsidRDefault="00B66B18" w:rsidP="00CE3A23">
            <w:pPr>
              <w:suppressAutoHyphens w:val="0"/>
              <w:spacing w:before="40" w:after="120" w:line="220" w:lineRule="exact"/>
              <w:ind w:right="113"/>
            </w:pPr>
            <w:r w:rsidRPr="00CE3A23">
              <w:t>5</w:t>
            </w:r>
          </w:p>
        </w:tc>
        <w:tc>
          <w:tcPr>
            <w:tcW w:w="5952" w:type="dxa"/>
            <w:tcBorders>
              <w:bottom w:val="nil"/>
            </w:tcBorders>
            <w:shd w:val="clear" w:color="auto" w:fill="auto"/>
          </w:tcPr>
          <w:p w:rsidR="00B66B18" w:rsidRPr="00CE3A23" w:rsidRDefault="00B66B18" w:rsidP="00CE3A23">
            <w:pPr>
              <w:suppressAutoHyphens w:val="0"/>
              <w:spacing w:before="40" w:after="120"/>
              <w:ind w:right="113"/>
            </w:pPr>
            <w:r w:rsidRPr="00CE3A23">
              <w:t>Brazil, Chad, Egypt, Libya, Uganda, Zambia (6 States parties)</w:t>
            </w:r>
          </w:p>
        </w:tc>
      </w:tr>
      <w:tr w:rsidR="00B66B18" w:rsidRPr="00CE3A23" w:rsidTr="006624F2">
        <w:trPr>
          <w:cantSplit/>
        </w:trPr>
        <w:tc>
          <w:tcPr>
            <w:tcW w:w="1418" w:type="dxa"/>
            <w:tcBorders>
              <w:top w:val="nil"/>
              <w:bottom w:val="nil"/>
            </w:tcBorders>
            <w:shd w:val="clear" w:color="auto" w:fill="auto"/>
          </w:tcPr>
          <w:p w:rsidR="00B66B18" w:rsidRPr="00CE3A23" w:rsidRDefault="00B66B18" w:rsidP="00CE3A23">
            <w:pPr>
              <w:suppressAutoHyphens w:val="0"/>
              <w:spacing w:before="40" w:after="120" w:line="220" w:lineRule="exact"/>
              <w:ind w:right="113"/>
            </w:pPr>
            <w:r w:rsidRPr="00CE3A23">
              <w:t>4</w:t>
            </w:r>
          </w:p>
        </w:tc>
        <w:tc>
          <w:tcPr>
            <w:tcW w:w="5952" w:type="dxa"/>
            <w:tcBorders>
              <w:top w:val="nil"/>
              <w:bottom w:val="nil"/>
            </w:tcBorders>
            <w:shd w:val="clear" w:color="auto" w:fill="auto"/>
          </w:tcPr>
          <w:p w:rsidR="00B66B18" w:rsidRPr="00CE3A23" w:rsidRDefault="00B66B18" w:rsidP="00CE3A23">
            <w:pPr>
              <w:suppressAutoHyphens w:val="0"/>
              <w:spacing w:before="40" w:after="120"/>
              <w:ind w:right="113"/>
            </w:pPr>
            <w:r w:rsidRPr="00CE3A23">
              <w:t>Afghanistan, Algeria, Botswana, Democratic Republic of the Congo, Ethiopia, Guyana, Hungary, Malta, Mexico, Nigeria, Panama, Trinidad</w:t>
            </w:r>
            <w:r w:rsidR="003F11A5" w:rsidRPr="00CE3A23">
              <w:t xml:space="preserve"> </w:t>
            </w:r>
            <w:r w:rsidRPr="00CE3A23">
              <w:t>and Tobago, Zimbabwe (13 States parties)</w:t>
            </w:r>
          </w:p>
        </w:tc>
      </w:tr>
      <w:tr w:rsidR="00B66B18" w:rsidRPr="00CE3A23" w:rsidTr="006624F2">
        <w:trPr>
          <w:cantSplit/>
        </w:trPr>
        <w:tc>
          <w:tcPr>
            <w:tcW w:w="1418" w:type="dxa"/>
            <w:tcBorders>
              <w:top w:val="nil"/>
            </w:tcBorders>
            <w:shd w:val="clear" w:color="auto" w:fill="auto"/>
          </w:tcPr>
          <w:p w:rsidR="00B66B18" w:rsidRPr="00CE3A23" w:rsidRDefault="00B66B18" w:rsidP="00CE3A23">
            <w:pPr>
              <w:suppressAutoHyphens w:val="0"/>
              <w:spacing w:before="40" w:after="120" w:line="220" w:lineRule="exact"/>
              <w:ind w:right="113"/>
            </w:pPr>
            <w:r w:rsidRPr="00CE3A23">
              <w:lastRenderedPageBreak/>
              <w:t>3</w:t>
            </w:r>
          </w:p>
        </w:tc>
        <w:tc>
          <w:tcPr>
            <w:tcW w:w="5952" w:type="dxa"/>
            <w:tcBorders>
              <w:top w:val="nil"/>
            </w:tcBorders>
            <w:shd w:val="clear" w:color="auto" w:fill="auto"/>
          </w:tcPr>
          <w:p w:rsidR="00B66B18" w:rsidRPr="00CE3A23" w:rsidRDefault="00B66B18" w:rsidP="00CE3A23">
            <w:pPr>
              <w:suppressAutoHyphens w:val="0"/>
              <w:spacing w:before="40" w:after="120"/>
              <w:ind w:right="113"/>
            </w:pPr>
            <w:r w:rsidRPr="00CE3A23">
              <w:t>Bahamas, Barbados, Belize, Bolivia (Plurinational State of), Cambodia, Congo, Côte d</w:t>
            </w:r>
            <w:r w:rsidR="00A41919" w:rsidRPr="00CE3A23">
              <w:t>’</w:t>
            </w:r>
            <w:r w:rsidRPr="00CE3A23">
              <w:t>Ivoire, Djibouti, Gabon, Georgia, India, Indonesia, Israel, Lao People</w:t>
            </w:r>
            <w:r w:rsidR="00A41919" w:rsidRPr="00CE3A23">
              <w:t>’</w:t>
            </w:r>
            <w:r w:rsidRPr="00CE3A23">
              <w:t>s Democratic Republic, Latvia, Lesotho, Liechtenstein, Luxembourg, Madagascar, Mali, Mauritius, Morocco, Mozambique, Papua New Guinea, Senegal, Togo, Tunisia, Yemen (28 States parties)</w:t>
            </w:r>
          </w:p>
        </w:tc>
      </w:tr>
      <w:tr w:rsidR="00B66B18" w:rsidRPr="00CE3A23" w:rsidTr="00CE3A23">
        <w:trPr>
          <w:cantSplit/>
        </w:trPr>
        <w:tc>
          <w:tcPr>
            <w:tcW w:w="1418" w:type="dxa"/>
            <w:shd w:val="clear" w:color="auto" w:fill="auto"/>
          </w:tcPr>
          <w:p w:rsidR="00B66B18" w:rsidRPr="00CE3A23" w:rsidRDefault="00B66B18" w:rsidP="00CE3A23">
            <w:pPr>
              <w:suppressAutoHyphens w:val="0"/>
              <w:spacing w:before="40" w:after="120" w:line="220" w:lineRule="exact"/>
              <w:ind w:right="113"/>
            </w:pPr>
            <w:r w:rsidRPr="00CE3A23">
              <w:t>2</w:t>
            </w:r>
          </w:p>
        </w:tc>
        <w:tc>
          <w:tcPr>
            <w:tcW w:w="5952" w:type="dxa"/>
            <w:shd w:val="clear" w:color="auto" w:fill="auto"/>
          </w:tcPr>
          <w:p w:rsidR="00B66B18" w:rsidRPr="00CE3A23" w:rsidRDefault="00B66B18" w:rsidP="00CE3A23">
            <w:pPr>
              <w:suppressAutoHyphens w:val="0"/>
              <w:spacing w:before="40" w:after="120"/>
              <w:ind w:right="113"/>
            </w:pPr>
            <w:r w:rsidRPr="00CE3A23">
              <w:t>Albania, Antigua and Barbuda, Argentina, Benin, Burundi, Cape Verde, Central African Republic, Chile, Comoros, Costa Rica, Croatia, Democratic People</w:t>
            </w:r>
            <w:r w:rsidR="00A41919" w:rsidRPr="00CE3A23">
              <w:t>’</w:t>
            </w:r>
            <w:r w:rsidRPr="00CE3A23">
              <w:t>s Republic of Korea, El Salvador, Equatorial</w:t>
            </w:r>
            <w:r w:rsidR="003F11A5" w:rsidRPr="00CE3A23">
              <w:t xml:space="preserve"> </w:t>
            </w:r>
            <w:r w:rsidRPr="00CE3A23">
              <w:t>Guinea, Gambia, Ghana, Grenada, Guinea, Iceland, Iran (Islamic Republic of), Jamaica, Japan,</w:t>
            </w:r>
            <w:r w:rsidR="00A41919" w:rsidRPr="00CE3A23">
              <w:t xml:space="preserve"> </w:t>
            </w:r>
            <w:r w:rsidRPr="00CE3A23">
              <w:t>Maldives, Nepal, Philippines, Republic of Korea, Saint</w:t>
            </w:r>
            <w:r w:rsidR="003F11A5" w:rsidRPr="00CE3A23">
              <w:t xml:space="preserve"> </w:t>
            </w:r>
            <w:r w:rsidRPr="00CE3A23">
              <w:t>Kitts and Nevis, Saint Vincent and the Grenadines, San Marino, Seychelles, Solomon Islands, South Africa, Swaziland, Switzerland, Turkey, United</w:t>
            </w:r>
            <w:r w:rsidR="00A41919" w:rsidRPr="00CE3A23">
              <w:t xml:space="preserve"> </w:t>
            </w:r>
            <w:r w:rsidRPr="00CE3A23">
              <w:t>Republic of Tanzania, Viet</w:t>
            </w:r>
            <w:r w:rsidR="003F11A5" w:rsidRPr="00CE3A23">
              <w:t xml:space="preserve"> </w:t>
            </w:r>
            <w:r w:rsidRPr="00CE3A23">
              <w:t>Nam (37 States parties)</w:t>
            </w:r>
          </w:p>
        </w:tc>
      </w:tr>
      <w:tr w:rsidR="00B66B18" w:rsidRPr="00CE3A23" w:rsidTr="00CE3A23">
        <w:trPr>
          <w:cantSplit/>
        </w:trPr>
        <w:tc>
          <w:tcPr>
            <w:tcW w:w="1418" w:type="dxa"/>
            <w:shd w:val="clear" w:color="auto" w:fill="auto"/>
          </w:tcPr>
          <w:p w:rsidR="00B66B18" w:rsidRPr="00CE3A23" w:rsidRDefault="00B66B18" w:rsidP="00CE3A23">
            <w:pPr>
              <w:suppressAutoHyphens w:val="0"/>
              <w:spacing w:before="40" w:after="120" w:line="220" w:lineRule="exact"/>
              <w:ind w:right="113"/>
            </w:pPr>
            <w:r w:rsidRPr="00CE3A23">
              <w:t>1</w:t>
            </w:r>
          </w:p>
        </w:tc>
        <w:tc>
          <w:tcPr>
            <w:tcW w:w="5952" w:type="dxa"/>
            <w:shd w:val="clear" w:color="auto" w:fill="auto"/>
          </w:tcPr>
          <w:p w:rsidR="00B66B18" w:rsidRPr="00CE3A23" w:rsidRDefault="00B66B18" w:rsidP="00CE3A23">
            <w:pPr>
              <w:suppressAutoHyphens w:val="0"/>
              <w:spacing w:before="40" w:after="120"/>
              <w:ind w:right="113"/>
            </w:pPr>
            <w:r w:rsidRPr="00CE3A23">
              <w:t xml:space="preserve">Armenia, Austria, Bahrain, Bangladesh, Belarus, Bulgaria, Cameroon, China, Colombia, Cook </w:t>
            </w:r>
            <w:r w:rsidR="00AC641F" w:rsidRPr="00CE3A23">
              <w:t>Islands</w:t>
            </w:r>
            <w:r w:rsidRPr="00CE3A23">
              <w:t>, Cuba, Dominica, Dominican Republic, Ecuador, Estonia, Fiji, Germany, Greece, Guatemala, Guinea-Bissau, Haiti, Iraq, Ireland, Jordan,</w:t>
            </w:r>
            <w:r w:rsidR="00A41919" w:rsidRPr="00CE3A23">
              <w:t xml:space="preserve"> </w:t>
            </w:r>
            <w:r w:rsidRPr="00CE3A23">
              <w:t>Kazakhstan, Kenya, Kiribati, Malaysia, Micronesia (Federated States of), Monaco, Myanmar, Netherlands, Niger, Norway, Peru, Portugal, Qatar, Romania, Saint Lucia, Samoa, Serbia, Sierra</w:t>
            </w:r>
            <w:r w:rsidR="003F11A5" w:rsidRPr="00CE3A23">
              <w:t xml:space="preserve"> </w:t>
            </w:r>
            <w:r w:rsidRPr="00CE3A23">
              <w:t>Leone, Slovenia, Somalia, Sudan, Suriname, Tajikistan, Thailand, Tonga, Venezuela (Bolivarian Republic of) (50</w:t>
            </w:r>
            <w:r w:rsidR="003F11A5" w:rsidRPr="00CE3A23">
              <w:t xml:space="preserve"> </w:t>
            </w:r>
            <w:r w:rsidRPr="00CE3A23">
              <w:t>States parties)</w:t>
            </w:r>
          </w:p>
        </w:tc>
      </w:tr>
    </w:tbl>
    <w:p w:rsidR="00B66B18" w:rsidRPr="009873DB" w:rsidRDefault="00B66B18" w:rsidP="00075EF6">
      <w:pPr>
        <w:pStyle w:val="HChG"/>
      </w:pPr>
      <w:r w:rsidRPr="009873DB">
        <w:tab/>
        <w:t>IV.</w:t>
      </w:r>
      <w:r w:rsidRPr="009873DB">
        <w:tab/>
        <w:t>Reporting status, by treaty, as at 1 March 2017</w:t>
      </w:r>
    </w:p>
    <w:p w:rsidR="00B66B18" w:rsidRPr="009873DB" w:rsidRDefault="00B66B18" w:rsidP="00987561">
      <w:pPr>
        <w:pStyle w:val="SingleTxtG"/>
      </w:pPr>
      <w:r w:rsidRPr="009873DB">
        <w:t>9.</w:t>
      </w:r>
      <w:r w:rsidRPr="009873DB">
        <w:tab/>
        <w:t>As at 1 March 2017, 574 reports (280 initial reports and 294 periodic reports) were overdue. That was equivalent to 34 per cent of all reports to be submitted to the treaty bodies. The treaties with the highest proportion of States parties that were not complying with their reporting obligations or that were not complying in a timely manner were the International Convention on the Elimination of All Forms of Racial Discrimination (54</w:t>
      </w:r>
      <w:r w:rsidR="003F11A5">
        <w:t xml:space="preserve"> </w:t>
      </w:r>
      <w:r w:rsidRPr="009873DB">
        <w:t>per</w:t>
      </w:r>
      <w:r w:rsidR="003F11A5">
        <w:t xml:space="preserve"> </w:t>
      </w:r>
      <w:r w:rsidRPr="009873DB">
        <w:t>cent), the International Covenant on Economic, Social and Cultural Rights (41 per cent), the Convention against Torture and Other Cruel, Inhuman or Degrading Treatment or Punishment (40 per cent) and the International Covenant on Civil and Political Rights (36 per cent) (see table</w:t>
      </w:r>
      <w:r w:rsidR="003F11A5">
        <w:t xml:space="preserve"> </w:t>
      </w:r>
      <w:r w:rsidRPr="009873DB">
        <w:t>6).</w:t>
      </w:r>
    </w:p>
    <w:p w:rsidR="00B66B18" w:rsidRPr="009873DB" w:rsidRDefault="00B66B18" w:rsidP="00987561">
      <w:pPr>
        <w:pStyle w:val="SingleTxtG"/>
      </w:pPr>
      <w:r w:rsidRPr="009873DB">
        <w:t>10.</w:t>
      </w:r>
      <w:r w:rsidRPr="009873DB">
        <w:tab/>
        <w:t>With regard to initial reports that States parties are required to submit within one or two years following the entry into force of the treaty for the State, such reports were overdue for the Optional Protocol to the Convention on the Rights of the Child on the sale of children, child prostitution and child pornography (65), the Convention on the Rights of Persons with Disabilities (48), the Optional Protocol to the Convention on the Rights of the Child on the involvement of children in armed conflict (46), the International Covenant on Economic, Social and Cultural Rights (30), the Convention against Torture and Other Cruel, Inhuman or Degrading Treatment or Punishment (27), the International Covenant on Civil and Political Rights (17), the International Convention for the Protection of All Persons from Enforced Disappearance (15), the International Convention on the Elimination of All Forms of Racial Discrimination (15), the International Convention on the Protection of the Rights of All Migrant Workers and Members of Their Families (10), the Convention on the Elimination of All Forms of Discrimination Against Women (5) and the Convention on the Rights of the Child (2) (see table</w:t>
      </w:r>
      <w:r w:rsidR="003F11A5">
        <w:t xml:space="preserve"> </w:t>
      </w:r>
      <w:r w:rsidRPr="009873DB">
        <w:t xml:space="preserve">6). </w:t>
      </w:r>
    </w:p>
    <w:p w:rsidR="00B66B18" w:rsidRPr="009873DB" w:rsidRDefault="00B66B18" w:rsidP="00274608">
      <w:pPr>
        <w:pStyle w:val="SingleTxtG"/>
        <w:keepNext/>
        <w:keepLines/>
      </w:pPr>
      <w:r w:rsidRPr="009873DB">
        <w:lastRenderedPageBreak/>
        <w:t>11.</w:t>
      </w:r>
      <w:r w:rsidRPr="009873DB">
        <w:tab/>
        <w:t>The treaties with the highest proportion of non-reporting States parties (overdue initial reports) were the Optional Protocol to the Convention on the Rights of the Child on the sale of children, child prostitution and child pornography (37 per cent), the Convention on the Rights of Persons with Disabilities (28 per cent), the Optional Protocol to the Convention on the Rights of the Child on the involvement of children in armed conflict (28 per cent), and the International Convention for the Protection of All Persons from Enforced Disappearance (27 per cent) (see table</w:t>
      </w:r>
      <w:r w:rsidR="003F11A5">
        <w:t xml:space="preserve"> </w:t>
      </w:r>
      <w:r w:rsidRPr="009873DB">
        <w:t>6).</w:t>
      </w:r>
    </w:p>
    <w:p w:rsidR="00B66B18" w:rsidRPr="009873DB" w:rsidRDefault="00B66B18" w:rsidP="00987561">
      <w:pPr>
        <w:pStyle w:val="SingleTxtG"/>
      </w:pPr>
      <w:r w:rsidRPr="009873DB">
        <w:t>12.</w:t>
      </w:r>
      <w:r w:rsidRPr="009873DB">
        <w:tab/>
        <w:t>The treaties with the highest number of overdue periodic reports were the International Convention on the Elimination of All Forms of Racial Discrimination</w:t>
      </w:r>
      <w:r w:rsidRPr="009873DB" w:rsidDel="0032521D">
        <w:t xml:space="preserve"> </w:t>
      </w:r>
      <w:r w:rsidRPr="009873DB">
        <w:t>(82), the Convention on the Elimination of All Forms of Discrimination against Women (46), the International Covenant on Civil and Political Rights (43), the Convention on the Rights of the Child (40), the Convention against Torture and Other Cruel, Inhuman or Degrading Treatment or Punishment (38) and the International Covenant on Economic, Social and Cultural Rights (38) (see table</w:t>
      </w:r>
      <w:r w:rsidR="003F11A5">
        <w:t xml:space="preserve"> </w:t>
      </w:r>
      <w:r w:rsidRPr="009873DB">
        <w:t xml:space="preserve">6). </w:t>
      </w:r>
    </w:p>
    <w:p w:rsidR="00B66B18" w:rsidRPr="009873DB" w:rsidRDefault="00B66B18" w:rsidP="00987561">
      <w:pPr>
        <w:pStyle w:val="SingleTxtG"/>
      </w:pPr>
      <w:r w:rsidRPr="009873DB">
        <w:t>13.</w:t>
      </w:r>
      <w:r w:rsidRPr="009873DB">
        <w:tab/>
        <w:t>The treaties with the highest proportion of overdue reports (initial and periodic)</w:t>
      </w:r>
      <w:r w:rsidR="00A41919">
        <w:t xml:space="preserve"> </w:t>
      </w:r>
      <w:r w:rsidRPr="009873DB">
        <w:t>were the International Convention on the Elimination of All Forms of Racial Discrimination</w:t>
      </w:r>
      <w:r w:rsidRPr="009873DB" w:rsidDel="000D31E0">
        <w:t xml:space="preserve"> </w:t>
      </w:r>
      <w:r w:rsidRPr="009873DB">
        <w:t>(46 per cent), the International Covenant on Civil and Political Rights (25</w:t>
      </w:r>
      <w:r w:rsidR="003F11A5">
        <w:t xml:space="preserve"> </w:t>
      </w:r>
      <w:r w:rsidRPr="009873DB">
        <w:t>per cent), the Convention against Torture and Other Cruel, Inhuman or Degrading Treatment or Punishment (24 per cent) and the Convention on the Elimination of All Forms of Discrimination against Women (24 per cent) (see table</w:t>
      </w:r>
      <w:r w:rsidR="003F11A5">
        <w:t xml:space="preserve"> </w:t>
      </w:r>
      <w:r w:rsidRPr="009873DB">
        <w:t>6).</w:t>
      </w:r>
    </w:p>
    <w:p w:rsidR="00FD2136" w:rsidRDefault="00B66B18" w:rsidP="00FD2136">
      <w:pPr>
        <w:pStyle w:val="Heading1"/>
      </w:pPr>
      <w:r w:rsidRPr="009873DB">
        <w:t>Table 6</w:t>
      </w:r>
    </w:p>
    <w:p w:rsidR="00B66B18" w:rsidRPr="00FD2136" w:rsidRDefault="00B66B18" w:rsidP="00987561">
      <w:pPr>
        <w:pStyle w:val="SingleTxtG"/>
        <w:rPr>
          <w:b/>
        </w:rPr>
      </w:pPr>
      <w:r w:rsidRPr="00FD2136">
        <w:rPr>
          <w:b/>
        </w:rPr>
        <w:t>Overdue reports, by treaty, as at 1 March 2017</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94"/>
        <w:gridCol w:w="1309"/>
        <w:gridCol w:w="1083"/>
        <w:gridCol w:w="1083"/>
        <w:gridCol w:w="1083"/>
        <w:gridCol w:w="1083"/>
        <w:gridCol w:w="1470"/>
      </w:tblGrid>
      <w:tr w:rsidR="00B66B18" w:rsidRPr="00A36FDF" w:rsidTr="004F0747">
        <w:trPr>
          <w:cantSplit/>
          <w:tblHeader/>
        </w:trPr>
        <w:tc>
          <w:tcPr>
            <w:tcW w:w="1394" w:type="dxa"/>
            <w:vMerge w:val="restart"/>
            <w:tcBorders>
              <w:top w:val="single" w:sz="4" w:space="0" w:color="auto"/>
              <w:bottom w:val="single" w:sz="12" w:space="0" w:color="auto"/>
            </w:tcBorders>
            <w:shd w:val="clear" w:color="auto" w:fill="auto"/>
            <w:vAlign w:val="bottom"/>
          </w:tcPr>
          <w:p w:rsidR="00B66B18" w:rsidRPr="00A36FDF" w:rsidRDefault="00B66B18" w:rsidP="00A36FDF">
            <w:pPr>
              <w:suppressAutoHyphens w:val="0"/>
              <w:spacing w:before="80" w:after="80" w:line="200" w:lineRule="exact"/>
              <w:ind w:right="113"/>
              <w:rPr>
                <w:i/>
                <w:sz w:val="16"/>
              </w:rPr>
            </w:pPr>
            <w:r w:rsidRPr="00A36FDF">
              <w:rPr>
                <w:i/>
                <w:sz w:val="16"/>
              </w:rPr>
              <w:t>Treaty</w:t>
            </w:r>
          </w:p>
        </w:tc>
        <w:tc>
          <w:tcPr>
            <w:tcW w:w="1309" w:type="dxa"/>
            <w:vMerge w:val="restart"/>
            <w:tcBorders>
              <w:top w:val="single" w:sz="4" w:space="0" w:color="auto"/>
              <w:bottom w:val="single" w:sz="12" w:space="0" w:color="auto"/>
            </w:tcBorders>
            <w:shd w:val="clear" w:color="auto" w:fill="auto"/>
            <w:vAlign w:val="bottom"/>
          </w:tcPr>
          <w:p w:rsidR="00B66B18" w:rsidRPr="00A36FDF" w:rsidRDefault="00B66B18" w:rsidP="00A36FDF">
            <w:pPr>
              <w:suppressAutoHyphens w:val="0"/>
              <w:spacing w:before="80" w:after="80" w:line="200" w:lineRule="exact"/>
              <w:ind w:right="113"/>
              <w:jc w:val="right"/>
              <w:rPr>
                <w:i/>
                <w:sz w:val="16"/>
              </w:rPr>
            </w:pPr>
            <w:r w:rsidRPr="00A36FDF">
              <w:rPr>
                <w:i/>
                <w:sz w:val="16"/>
              </w:rPr>
              <w:t>Number of States parties (a)</w:t>
            </w:r>
          </w:p>
        </w:tc>
        <w:tc>
          <w:tcPr>
            <w:tcW w:w="2166" w:type="dxa"/>
            <w:gridSpan w:val="2"/>
            <w:tcBorders>
              <w:top w:val="single" w:sz="4" w:space="0" w:color="auto"/>
              <w:bottom w:val="single" w:sz="4" w:space="0" w:color="auto"/>
              <w:right w:val="single" w:sz="24" w:space="0" w:color="FFFFFF" w:themeColor="background1"/>
            </w:tcBorders>
            <w:shd w:val="clear" w:color="auto" w:fill="auto"/>
            <w:vAlign w:val="bottom"/>
          </w:tcPr>
          <w:p w:rsidR="00B66B18" w:rsidRPr="00A36FDF" w:rsidRDefault="00B66B18" w:rsidP="008A3120">
            <w:pPr>
              <w:suppressAutoHyphens w:val="0"/>
              <w:spacing w:before="80" w:after="80" w:line="200" w:lineRule="exact"/>
              <w:ind w:right="113"/>
              <w:jc w:val="center"/>
              <w:rPr>
                <w:i/>
                <w:sz w:val="16"/>
              </w:rPr>
            </w:pPr>
            <w:r w:rsidRPr="00A36FDF">
              <w:rPr>
                <w:i/>
                <w:sz w:val="16"/>
              </w:rPr>
              <w:t>Overdue initial reports</w:t>
            </w:r>
          </w:p>
        </w:tc>
        <w:tc>
          <w:tcPr>
            <w:tcW w:w="2166" w:type="dxa"/>
            <w:gridSpan w:val="2"/>
            <w:tcBorders>
              <w:top w:val="single" w:sz="4" w:space="0" w:color="auto"/>
              <w:left w:val="single" w:sz="24" w:space="0" w:color="FFFFFF" w:themeColor="background1"/>
              <w:bottom w:val="single" w:sz="4" w:space="0" w:color="auto"/>
            </w:tcBorders>
            <w:shd w:val="clear" w:color="auto" w:fill="auto"/>
            <w:vAlign w:val="bottom"/>
          </w:tcPr>
          <w:p w:rsidR="00B66B18" w:rsidRPr="00A36FDF" w:rsidRDefault="00B66B18" w:rsidP="008A3120">
            <w:pPr>
              <w:suppressAutoHyphens w:val="0"/>
              <w:spacing w:before="80" w:after="80" w:line="200" w:lineRule="exact"/>
              <w:ind w:right="113"/>
              <w:jc w:val="center"/>
              <w:rPr>
                <w:i/>
                <w:sz w:val="16"/>
              </w:rPr>
            </w:pPr>
            <w:r w:rsidRPr="00A36FDF">
              <w:rPr>
                <w:i/>
                <w:sz w:val="16"/>
              </w:rPr>
              <w:t>Overdue periodic reports</w:t>
            </w:r>
          </w:p>
        </w:tc>
        <w:tc>
          <w:tcPr>
            <w:tcW w:w="1470" w:type="dxa"/>
            <w:vMerge w:val="restart"/>
            <w:tcBorders>
              <w:top w:val="single" w:sz="4" w:space="0" w:color="auto"/>
              <w:bottom w:val="single" w:sz="12" w:space="0" w:color="auto"/>
            </w:tcBorders>
            <w:shd w:val="clear" w:color="auto" w:fill="auto"/>
            <w:vAlign w:val="bottom"/>
          </w:tcPr>
          <w:p w:rsidR="00B66B18" w:rsidRPr="00A36FDF" w:rsidRDefault="00B66B18" w:rsidP="00A36FDF">
            <w:pPr>
              <w:suppressAutoHyphens w:val="0"/>
              <w:spacing w:before="80" w:after="80" w:line="200" w:lineRule="exact"/>
              <w:ind w:right="113"/>
              <w:jc w:val="right"/>
              <w:rPr>
                <w:i/>
                <w:sz w:val="16"/>
              </w:rPr>
            </w:pPr>
            <w:r w:rsidRPr="00A36FDF">
              <w:rPr>
                <w:i/>
                <w:sz w:val="16"/>
              </w:rPr>
              <w:t>Total number of overdue reports (percentage)</w:t>
            </w:r>
          </w:p>
        </w:tc>
      </w:tr>
      <w:tr w:rsidR="00B66B18" w:rsidRPr="00A36FDF" w:rsidTr="004F0747">
        <w:trPr>
          <w:cantSplit/>
          <w:tblHeader/>
        </w:trPr>
        <w:tc>
          <w:tcPr>
            <w:tcW w:w="1394" w:type="dxa"/>
            <w:vMerge/>
            <w:tcBorders>
              <w:top w:val="single" w:sz="12" w:space="0" w:color="auto"/>
              <w:bottom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rPr>
                <w:sz w:val="18"/>
              </w:rPr>
            </w:pPr>
          </w:p>
        </w:tc>
        <w:tc>
          <w:tcPr>
            <w:tcW w:w="1309" w:type="dxa"/>
            <w:vMerge/>
            <w:tcBorders>
              <w:top w:val="single" w:sz="12" w:space="0" w:color="auto"/>
              <w:bottom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p>
        </w:tc>
        <w:tc>
          <w:tcPr>
            <w:tcW w:w="1083" w:type="dxa"/>
            <w:tcBorders>
              <w:top w:val="single" w:sz="4" w:space="0" w:color="auto"/>
              <w:bottom w:val="single" w:sz="12" w:space="0" w:color="auto"/>
            </w:tcBorders>
            <w:shd w:val="clear" w:color="auto" w:fill="auto"/>
            <w:vAlign w:val="bottom"/>
          </w:tcPr>
          <w:p w:rsidR="00B66B18" w:rsidRPr="00A36FDF" w:rsidRDefault="00B66B18" w:rsidP="00A36FDF">
            <w:pPr>
              <w:suppressAutoHyphens w:val="0"/>
              <w:spacing w:before="80" w:after="80" w:line="200" w:lineRule="exact"/>
              <w:ind w:right="113"/>
              <w:jc w:val="right"/>
              <w:rPr>
                <w:i/>
                <w:sz w:val="16"/>
              </w:rPr>
            </w:pPr>
            <w:r w:rsidRPr="00A36FDF">
              <w:rPr>
                <w:i/>
                <w:sz w:val="16"/>
              </w:rPr>
              <w:t>Number (b)</w:t>
            </w:r>
          </w:p>
        </w:tc>
        <w:tc>
          <w:tcPr>
            <w:tcW w:w="1083" w:type="dxa"/>
            <w:tcBorders>
              <w:top w:val="single" w:sz="4" w:space="0" w:color="auto"/>
              <w:bottom w:val="single" w:sz="12" w:space="0" w:color="auto"/>
              <w:right w:val="single" w:sz="24" w:space="0" w:color="FFFFFF" w:themeColor="background1"/>
            </w:tcBorders>
            <w:shd w:val="clear" w:color="auto" w:fill="auto"/>
            <w:vAlign w:val="bottom"/>
          </w:tcPr>
          <w:p w:rsidR="00B66B18" w:rsidRPr="00A36FDF" w:rsidRDefault="00B66B18" w:rsidP="00A36FDF">
            <w:pPr>
              <w:suppressAutoHyphens w:val="0"/>
              <w:spacing w:before="80" w:after="80" w:line="200" w:lineRule="exact"/>
              <w:ind w:right="113"/>
              <w:jc w:val="right"/>
              <w:rPr>
                <w:i/>
                <w:sz w:val="16"/>
              </w:rPr>
            </w:pPr>
            <w:r w:rsidRPr="00A36FDF">
              <w:rPr>
                <w:i/>
                <w:sz w:val="16"/>
              </w:rPr>
              <w:t>Percentage</w:t>
            </w:r>
            <w:r w:rsidRPr="00A36FDF">
              <w:rPr>
                <w:i/>
                <w:sz w:val="16"/>
              </w:rPr>
              <w:br/>
              <w:t>(b)÷(a)</w:t>
            </w:r>
          </w:p>
        </w:tc>
        <w:tc>
          <w:tcPr>
            <w:tcW w:w="1083" w:type="dxa"/>
            <w:tcBorders>
              <w:top w:val="single" w:sz="4" w:space="0" w:color="auto"/>
              <w:left w:val="single" w:sz="24" w:space="0" w:color="FFFFFF" w:themeColor="background1"/>
              <w:bottom w:val="single" w:sz="12" w:space="0" w:color="auto"/>
            </w:tcBorders>
            <w:shd w:val="clear" w:color="auto" w:fill="auto"/>
            <w:vAlign w:val="bottom"/>
          </w:tcPr>
          <w:p w:rsidR="00B66B18" w:rsidRPr="00A36FDF" w:rsidRDefault="00B66B18" w:rsidP="00A36FDF">
            <w:pPr>
              <w:suppressAutoHyphens w:val="0"/>
              <w:spacing w:before="80" w:after="80" w:line="200" w:lineRule="exact"/>
              <w:ind w:right="113"/>
              <w:jc w:val="right"/>
              <w:rPr>
                <w:i/>
                <w:sz w:val="16"/>
              </w:rPr>
            </w:pPr>
            <w:r w:rsidRPr="00A36FDF">
              <w:rPr>
                <w:i/>
                <w:sz w:val="16"/>
              </w:rPr>
              <w:t>Number (c)</w:t>
            </w:r>
          </w:p>
        </w:tc>
        <w:tc>
          <w:tcPr>
            <w:tcW w:w="1083" w:type="dxa"/>
            <w:tcBorders>
              <w:top w:val="single" w:sz="4" w:space="0" w:color="auto"/>
              <w:bottom w:val="single" w:sz="12" w:space="0" w:color="auto"/>
            </w:tcBorders>
            <w:shd w:val="clear" w:color="auto" w:fill="auto"/>
            <w:vAlign w:val="bottom"/>
          </w:tcPr>
          <w:p w:rsidR="00B66B18" w:rsidRPr="00A36FDF" w:rsidRDefault="00B66B18" w:rsidP="00A36FDF">
            <w:pPr>
              <w:suppressAutoHyphens w:val="0"/>
              <w:spacing w:before="80" w:after="80" w:line="200" w:lineRule="exact"/>
              <w:ind w:right="113"/>
              <w:jc w:val="right"/>
              <w:rPr>
                <w:i/>
                <w:sz w:val="16"/>
              </w:rPr>
            </w:pPr>
            <w:r w:rsidRPr="00A36FDF">
              <w:rPr>
                <w:i/>
                <w:sz w:val="16"/>
              </w:rPr>
              <w:t>Percentage</w:t>
            </w:r>
            <w:r w:rsidRPr="00A36FDF">
              <w:rPr>
                <w:i/>
                <w:sz w:val="16"/>
              </w:rPr>
              <w:br/>
              <w:t>(c)</w:t>
            </w:r>
            <w:r w:rsidRPr="00A36FDF">
              <w:rPr>
                <w:i/>
                <w:sz w:val="16"/>
              </w:rPr>
              <w:sym w:font="Symbol" w:char="F0B8"/>
            </w:r>
            <w:r w:rsidRPr="00A36FDF">
              <w:rPr>
                <w:i/>
                <w:sz w:val="16"/>
              </w:rPr>
              <w:t>(a)</w:t>
            </w:r>
          </w:p>
        </w:tc>
        <w:tc>
          <w:tcPr>
            <w:tcW w:w="1470" w:type="dxa"/>
            <w:vMerge/>
            <w:tcBorders>
              <w:top w:val="single" w:sz="12" w:space="0" w:color="auto"/>
              <w:bottom w:val="single" w:sz="12" w:space="0" w:color="auto"/>
            </w:tcBorders>
            <w:shd w:val="clear" w:color="auto" w:fill="auto"/>
            <w:vAlign w:val="bottom"/>
          </w:tcPr>
          <w:p w:rsidR="00B66B18" w:rsidRPr="00A36FDF" w:rsidRDefault="00B66B18" w:rsidP="00A36FDF">
            <w:pPr>
              <w:suppressAutoHyphens w:val="0"/>
              <w:spacing w:before="80" w:after="80" w:line="200" w:lineRule="exact"/>
              <w:ind w:right="113"/>
              <w:jc w:val="right"/>
              <w:rPr>
                <w:i/>
                <w:sz w:val="16"/>
              </w:rPr>
            </w:pPr>
          </w:p>
        </w:tc>
      </w:tr>
      <w:tr w:rsidR="00B66B18" w:rsidRPr="00A36FDF" w:rsidTr="004F0747">
        <w:trPr>
          <w:cantSplit/>
        </w:trPr>
        <w:tc>
          <w:tcPr>
            <w:tcW w:w="1394" w:type="dxa"/>
            <w:tcBorders>
              <w:top w:val="single" w:sz="12" w:space="0" w:color="auto"/>
            </w:tcBorders>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 xml:space="preserve">ICCPR </w:t>
            </w:r>
          </w:p>
        </w:tc>
        <w:tc>
          <w:tcPr>
            <w:tcW w:w="1309" w:type="dxa"/>
            <w:tcBorders>
              <w:top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169</w:t>
            </w:r>
          </w:p>
        </w:tc>
        <w:tc>
          <w:tcPr>
            <w:tcW w:w="1083" w:type="dxa"/>
            <w:tcBorders>
              <w:top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17</w:t>
            </w:r>
          </w:p>
        </w:tc>
        <w:tc>
          <w:tcPr>
            <w:tcW w:w="1083" w:type="dxa"/>
            <w:tcBorders>
              <w:top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10%</w:t>
            </w:r>
          </w:p>
        </w:tc>
        <w:tc>
          <w:tcPr>
            <w:tcW w:w="1083" w:type="dxa"/>
            <w:tcBorders>
              <w:top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43</w:t>
            </w:r>
          </w:p>
        </w:tc>
        <w:tc>
          <w:tcPr>
            <w:tcW w:w="1083" w:type="dxa"/>
            <w:tcBorders>
              <w:top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25%</w:t>
            </w:r>
          </w:p>
        </w:tc>
        <w:tc>
          <w:tcPr>
            <w:tcW w:w="1470" w:type="dxa"/>
            <w:tcBorders>
              <w:top w:val="single" w:sz="12"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60 (36%)</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ICESCR</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165</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30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38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23%</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68 (41%)</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ICERD</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178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15</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82</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46%</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97 (54%)</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CAT</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161</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 xml:space="preserve"> 27</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17%</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38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24%</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65 (40%)</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CEDAW</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189</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5</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3%</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46</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24%</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51 (27%)</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CRC</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196</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20%</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42 (21%)</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OP-CRC-SC</w:t>
            </w:r>
            <w:r w:rsidRPr="001D142B">
              <w:rPr>
                <w:i/>
                <w:sz w:val="18"/>
                <w:vertAlign w:val="superscript"/>
              </w:rPr>
              <w:t>a</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173</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65</w:t>
            </w:r>
          </w:p>
        </w:tc>
        <w:tc>
          <w:tcPr>
            <w:tcW w:w="1083" w:type="dxa"/>
            <w:shd w:val="clear" w:color="auto" w:fill="auto"/>
            <w:vAlign w:val="bottom"/>
          </w:tcPr>
          <w:p w:rsidR="00B66B18" w:rsidRPr="00A36FDF" w:rsidRDefault="003635C7" w:rsidP="00A36FDF">
            <w:pPr>
              <w:suppressAutoHyphens w:val="0"/>
              <w:spacing w:before="40" w:after="40" w:line="220" w:lineRule="exact"/>
              <w:ind w:right="113"/>
              <w:jc w:val="right"/>
              <w:rPr>
                <w:sz w:val="18"/>
              </w:rPr>
            </w:pPr>
            <w:r>
              <w:rPr>
                <w:sz w:val="18"/>
              </w:rPr>
              <w:t>38</w:t>
            </w:r>
            <w:r w:rsidR="00B66B18" w:rsidRPr="00A36FDF">
              <w:rPr>
                <w:sz w:val="18"/>
              </w:rPr>
              <w:t>%</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65 (38%)</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OP-CRC-AC</w:t>
            </w:r>
            <w:r w:rsidRPr="001D142B">
              <w:rPr>
                <w:i/>
                <w:sz w:val="18"/>
                <w:vertAlign w:val="superscript"/>
              </w:rPr>
              <w:t>a</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166</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46</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46 (28%)</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ICRMW</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50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7</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14%</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17 (34%)</w:t>
            </w:r>
          </w:p>
        </w:tc>
      </w:tr>
      <w:tr w:rsidR="00B66B18" w:rsidRPr="00A36FDF" w:rsidTr="004F0747">
        <w:trPr>
          <w:cantSplit/>
        </w:trPr>
        <w:tc>
          <w:tcPr>
            <w:tcW w:w="1394" w:type="dxa"/>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CRPD</w:t>
            </w:r>
          </w:p>
        </w:tc>
        <w:tc>
          <w:tcPr>
            <w:tcW w:w="1309"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172</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 xml:space="preserve"> 48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28%</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083"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470" w:type="dxa"/>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48 (28%)</w:t>
            </w:r>
          </w:p>
        </w:tc>
      </w:tr>
      <w:tr w:rsidR="00B66B18" w:rsidRPr="00A36FDF" w:rsidTr="004F0747">
        <w:trPr>
          <w:cantSplit/>
        </w:trPr>
        <w:tc>
          <w:tcPr>
            <w:tcW w:w="1394" w:type="dxa"/>
            <w:tcBorders>
              <w:bottom w:val="single" w:sz="4" w:space="0" w:color="auto"/>
            </w:tcBorders>
            <w:shd w:val="clear" w:color="auto" w:fill="auto"/>
          </w:tcPr>
          <w:p w:rsidR="00B66B18" w:rsidRPr="00A36FDF" w:rsidRDefault="00B66B18" w:rsidP="00A36FDF">
            <w:pPr>
              <w:suppressAutoHyphens w:val="0"/>
              <w:spacing w:before="40" w:after="40" w:line="220" w:lineRule="exact"/>
              <w:ind w:right="113"/>
              <w:rPr>
                <w:sz w:val="18"/>
              </w:rPr>
            </w:pPr>
            <w:r w:rsidRPr="00A36FDF">
              <w:rPr>
                <w:sz w:val="18"/>
              </w:rPr>
              <w:t>ICPPED</w:t>
            </w:r>
            <w:r w:rsidRPr="001D142B">
              <w:rPr>
                <w:i/>
                <w:sz w:val="18"/>
                <w:vertAlign w:val="superscript"/>
              </w:rPr>
              <w:t>b</w:t>
            </w:r>
          </w:p>
        </w:tc>
        <w:tc>
          <w:tcPr>
            <w:tcW w:w="1309" w:type="dxa"/>
            <w:tcBorders>
              <w:bottom w:val="single" w:sz="4"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56</w:t>
            </w:r>
          </w:p>
        </w:tc>
        <w:tc>
          <w:tcPr>
            <w:tcW w:w="1083" w:type="dxa"/>
            <w:tcBorders>
              <w:bottom w:val="single" w:sz="4"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 xml:space="preserve"> 15</w:t>
            </w:r>
          </w:p>
        </w:tc>
        <w:tc>
          <w:tcPr>
            <w:tcW w:w="1083" w:type="dxa"/>
            <w:tcBorders>
              <w:bottom w:val="single" w:sz="4"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 xml:space="preserve"> 27%</w:t>
            </w:r>
          </w:p>
        </w:tc>
        <w:tc>
          <w:tcPr>
            <w:tcW w:w="1083" w:type="dxa"/>
            <w:tcBorders>
              <w:bottom w:val="single" w:sz="4"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083" w:type="dxa"/>
            <w:tcBorders>
              <w:bottom w:val="single" w:sz="4"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0%</w:t>
            </w:r>
          </w:p>
        </w:tc>
        <w:tc>
          <w:tcPr>
            <w:tcW w:w="1470" w:type="dxa"/>
            <w:tcBorders>
              <w:bottom w:val="single" w:sz="4" w:space="0" w:color="auto"/>
            </w:tcBorders>
            <w:shd w:val="clear" w:color="auto" w:fill="auto"/>
            <w:vAlign w:val="bottom"/>
          </w:tcPr>
          <w:p w:rsidR="00B66B18" w:rsidRPr="00A36FDF" w:rsidRDefault="00B66B18" w:rsidP="00A36FDF">
            <w:pPr>
              <w:suppressAutoHyphens w:val="0"/>
              <w:spacing w:before="40" w:after="40" w:line="220" w:lineRule="exact"/>
              <w:ind w:right="113"/>
              <w:jc w:val="right"/>
              <w:rPr>
                <w:sz w:val="18"/>
              </w:rPr>
            </w:pPr>
            <w:r w:rsidRPr="00A36FDF">
              <w:rPr>
                <w:sz w:val="18"/>
              </w:rPr>
              <w:t>15 (27%)</w:t>
            </w:r>
          </w:p>
        </w:tc>
      </w:tr>
      <w:tr w:rsidR="00B66B18" w:rsidRPr="00A36FDF" w:rsidTr="004F0747">
        <w:trPr>
          <w:cantSplit/>
        </w:trPr>
        <w:tc>
          <w:tcPr>
            <w:tcW w:w="1394" w:type="dxa"/>
            <w:tcBorders>
              <w:top w:val="single" w:sz="4" w:space="0" w:color="auto"/>
            </w:tcBorders>
            <w:shd w:val="clear" w:color="auto" w:fill="auto"/>
          </w:tcPr>
          <w:p w:rsidR="00B66B18" w:rsidRPr="00095515" w:rsidRDefault="00B66B18" w:rsidP="00095515">
            <w:pPr>
              <w:suppressAutoHyphens w:val="0"/>
              <w:spacing w:before="80" w:after="80" w:line="220" w:lineRule="exact"/>
              <w:ind w:left="283"/>
              <w:rPr>
                <w:b/>
                <w:sz w:val="18"/>
              </w:rPr>
            </w:pPr>
            <w:r w:rsidRPr="00095515">
              <w:rPr>
                <w:b/>
                <w:sz w:val="18"/>
              </w:rPr>
              <w:t>Total</w:t>
            </w:r>
          </w:p>
        </w:tc>
        <w:tc>
          <w:tcPr>
            <w:tcW w:w="1309" w:type="dxa"/>
            <w:tcBorders>
              <w:top w:val="single" w:sz="4" w:space="0" w:color="auto"/>
            </w:tcBorders>
            <w:shd w:val="clear" w:color="auto" w:fill="auto"/>
            <w:vAlign w:val="bottom"/>
          </w:tcPr>
          <w:p w:rsidR="00B66B18" w:rsidRPr="00095515" w:rsidRDefault="00B66B18" w:rsidP="00095515">
            <w:pPr>
              <w:suppressAutoHyphens w:val="0"/>
              <w:spacing w:before="80" w:after="80" w:line="220" w:lineRule="exact"/>
              <w:ind w:right="113"/>
              <w:jc w:val="right"/>
              <w:rPr>
                <w:b/>
                <w:sz w:val="18"/>
              </w:rPr>
            </w:pPr>
            <w:r w:rsidRPr="00095515">
              <w:rPr>
                <w:b/>
                <w:sz w:val="18"/>
              </w:rPr>
              <w:t xml:space="preserve"> </w:t>
            </w:r>
          </w:p>
        </w:tc>
        <w:tc>
          <w:tcPr>
            <w:tcW w:w="1083" w:type="dxa"/>
            <w:tcBorders>
              <w:top w:val="single" w:sz="4" w:space="0" w:color="auto"/>
            </w:tcBorders>
            <w:shd w:val="clear" w:color="auto" w:fill="auto"/>
            <w:vAlign w:val="bottom"/>
          </w:tcPr>
          <w:p w:rsidR="00B66B18" w:rsidRPr="00095515" w:rsidRDefault="00B66B18" w:rsidP="00095515">
            <w:pPr>
              <w:suppressAutoHyphens w:val="0"/>
              <w:spacing w:before="80" w:after="80" w:line="220" w:lineRule="exact"/>
              <w:ind w:right="113"/>
              <w:jc w:val="right"/>
              <w:rPr>
                <w:b/>
                <w:sz w:val="18"/>
              </w:rPr>
            </w:pPr>
            <w:r w:rsidRPr="00095515">
              <w:rPr>
                <w:b/>
                <w:sz w:val="18"/>
              </w:rPr>
              <w:t>280</w:t>
            </w:r>
          </w:p>
        </w:tc>
        <w:tc>
          <w:tcPr>
            <w:tcW w:w="1083" w:type="dxa"/>
            <w:tcBorders>
              <w:top w:val="single" w:sz="4" w:space="0" w:color="auto"/>
            </w:tcBorders>
            <w:shd w:val="clear" w:color="auto" w:fill="auto"/>
            <w:vAlign w:val="bottom"/>
          </w:tcPr>
          <w:p w:rsidR="00B66B18" w:rsidRPr="00095515" w:rsidRDefault="00B66B18" w:rsidP="00095515">
            <w:pPr>
              <w:suppressAutoHyphens w:val="0"/>
              <w:spacing w:before="80" w:after="80" w:line="220" w:lineRule="exact"/>
              <w:ind w:right="113"/>
              <w:jc w:val="right"/>
              <w:rPr>
                <w:b/>
                <w:sz w:val="18"/>
              </w:rPr>
            </w:pPr>
            <w:r w:rsidRPr="00095515">
              <w:rPr>
                <w:b/>
                <w:sz w:val="18"/>
              </w:rPr>
              <w:t>17%</w:t>
            </w:r>
          </w:p>
        </w:tc>
        <w:tc>
          <w:tcPr>
            <w:tcW w:w="1083" w:type="dxa"/>
            <w:tcBorders>
              <w:top w:val="single" w:sz="4" w:space="0" w:color="auto"/>
            </w:tcBorders>
            <w:shd w:val="clear" w:color="auto" w:fill="auto"/>
            <w:vAlign w:val="bottom"/>
          </w:tcPr>
          <w:p w:rsidR="00B66B18" w:rsidRPr="00095515" w:rsidRDefault="00B66B18" w:rsidP="00095515">
            <w:pPr>
              <w:suppressAutoHyphens w:val="0"/>
              <w:spacing w:before="80" w:after="80" w:line="220" w:lineRule="exact"/>
              <w:ind w:right="113"/>
              <w:jc w:val="right"/>
              <w:rPr>
                <w:b/>
                <w:sz w:val="18"/>
              </w:rPr>
            </w:pPr>
            <w:r w:rsidRPr="00095515">
              <w:rPr>
                <w:b/>
                <w:sz w:val="18"/>
              </w:rPr>
              <w:t>294</w:t>
            </w:r>
          </w:p>
        </w:tc>
        <w:tc>
          <w:tcPr>
            <w:tcW w:w="1083" w:type="dxa"/>
            <w:tcBorders>
              <w:top w:val="single" w:sz="4" w:space="0" w:color="auto"/>
            </w:tcBorders>
            <w:shd w:val="clear" w:color="auto" w:fill="auto"/>
            <w:vAlign w:val="bottom"/>
          </w:tcPr>
          <w:p w:rsidR="00B66B18" w:rsidRPr="00095515" w:rsidRDefault="00B66B18" w:rsidP="00095515">
            <w:pPr>
              <w:suppressAutoHyphens w:val="0"/>
              <w:spacing w:before="80" w:after="80" w:line="220" w:lineRule="exact"/>
              <w:ind w:right="113"/>
              <w:jc w:val="right"/>
              <w:rPr>
                <w:b/>
                <w:sz w:val="18"/>
              </w:rPr>
            </w:pPr>
            <w:r w:rsidRPr="00095515">
              <w:rPr>
                <w:b/>
                <w:sz w:val="18"/>
              </w:rPr>
              <w:t>18%</w:t>
            </w:r>
          </w:p>
        </w:tc>
        <w:tc>
          <w:tcPr>
            <w:tcW w:w="1470" w:type="dxa"/>
            <w:tcBorders>
              <w:top w:val="single" w:sz="4" w:space="0" w:color="auto"/>
            </w:tcBorders>
            <w:shd w:val="clear" w:color="auto" w:fill="auto"/>
            <w:vAlign w:val="bottom"/>
          </w:tcPr>
          <w:p w:rsidR="00B66B18" w:rsidRPr="00095515" w:rsidRDefault="00B66B18" w:rsidP="00095515">
            <w:pPr>
              <w:suppressAutoHyphens w:val="0"/>
              <w:spacing w:before="80" w:after="80" w:line="220" w:lineRule="exact"/>
              <w:ind w:right="113"/>
              <w:jc w:val="right"/>
              <w:rPr>
                <w:b/>
                <w:sz w:val="18"/>
              </w:rPr>
            </w:pPr>
            <w:r w:rsidRPr="00095515">
              <w:rPr>
                <w:b/>
                <w:sz w:val="18"/>
              </w:rPr>
              <w:t>574 (34%)</w:t>
            </w:r>
          </w:p>
        </w:tc>
      </w:tr>
    </w:tbl>
    <w:p w:rsidR="00B66B18" w:rsidRPr="005650CE" w:rsidRDefault="00B66B18" w:rsidP="005650CE">
      <w:pPr>
        <w:pStyle w:val="SingleTxtG"/>
        <w:spacing w:before="120" w:after="0"/>
        <w:ind w:firstLine="170"/>
        <w:jc w:val="left"/>
        <w:rPr>
          <w:sz w:val="18"/>
        </w:rPr>
      </w:pPr>
      <w:r w:rsidRPr="003635C7">
        <w:rPr>
          <w:i/>
          <w:sz w:val="18"/>
        </w:rPr>
        <w:t>Note:</w:t>
      </w:r>
      <w:r w:rsidRPr="005650CE">
        <w:rPr>
          <w:sz w:val="18"/>
        </w:rPr>
        <w:t xml:space="preserve"> The data in the table are based on original due dates. However, States parties that have opted to use the simplified reporting procedure have been assigned new due dates.</w:t>
      </w:r>
    </w:p>
    <w:p w:rsidR="00B66B18" w:rsidRPr="005650CE" w:rsidRDefault="00B66B18" w:rsidP="005650CE">
      <w:pPr>
        <w:pStyle w:val="SingleTxtG"/>
        <w:spacing w:after="0"/>
        <w:ind w:firstLine="170"/>
        <w:jc w:val="left"/>
        <w:rPr>
          <w:sz w:val="18"/>
        </w:rPr>
      </w:pPr>
      <w:r w:rsidRPr="005650CE">
        <w:rPr>
          <w:i/>
          <w:sz w:val="18"/>
          <w:vertAlign w:val="superscript"/>
        </w:rPr>
        <w:t>a</w:t>
      </w:r>
      <w:r w:rsidR="00A41919" w:rsidRPr="005650CE">
        <w:rPr>
          <w:sz w:val="18"/>
        </w:rPr>
        <w:t xml:space="preserve"> </w:t>
      </w:r>
      <w:r w:rsidRPr="005650CE">
        <w:rPr>
          <w:sz w:val="18"/>
        </w:rPr>
        <w:t>Pursuant to article 12 (2) of the Optional Protocol to the Convention on the Rights of the Child on the sale of children, child prostitution and child pornography and article 8 (2) of the Optional Protocol to the convention on the Rights of the Child on the involvement of children in armed conflict, following the submission of the comprehensive initial report, each State party shall include in the periodic reports submitted to the Committee on the Rights of the Child in accordance with article 44 of the Convention on the Rights of the Child any further information regarding the implementation of the respective protocol.</w:t>
      </w:r>
    </w:p>
    <w:p w:rsidR="00B66B18" w:rsidRPr="005650CE" w:rsidRDefault="00B66B18" w:rsidP="005650CE">
      <w:pPr>
        <w:pStyle w:val="SingleTxtG"/>
        <w:spacing w:after="0"/>
        <w:ind w:firstLine="170"/>
        <w:jc w:val="left"/>
        <w:rPr>
          <w:sz w:val="18"/>
        </w:rPr>
      </w:pPr>
      <w:r w:rsidRPr="005650CE">
        <w:rPr>
          <w:i/>
          <w:sz w:val="18"/>
          <w:vertAlign w:val="superscript"/>
        </w:rPr>
        <w:t>b</w:t>
      </w:r>
      <w:r w:rsidR="00A41919" w:rsidRPr="005650CE">
        <w:rPr>
          <w:sz w:val="18"/>
        </w:rPr>
        <w:t xml:space="preserve"> </w:t>
      </w:r>
      <w:r w:rsidRPr="005650CE">
        <w:rPr>
          <w:sz w:val="18"/>
        </w:rPr>
        <w:t>Although the International Convention for the Protection of All Persons from Enforced Disappearance does not provide for periodic reports, pursuant to article</w:t>
      </w:r>
      <w:r w:rsidR="003F11A5" w:rsidRPr="005650CE">
        <w:rPr>
          <w:sz w:val="18"/>
        </w:rPr>
        <w:t xml:space="preserve"> </w:t>
      </w:r>
      <w:r w:rsidRPr="005650CE">
        <w:rPr>
          <w:sz w:val="18"/>
        </w:rPr>
        <w:t>29 (4) of the Convention, the Committee on Enforced Disappearances may request States parties to provide additional information on its implementation.</w:t>
      </w:r>
    </w:p>
    <w:p w:rsidR="00B66B18" w:rsidRPr="009873DB" w:rsidRDefault="00B66B18" w:rsidP="001E3A3A">
      <w:pPr>
        <w:pStyle w:val="SingleTxtG"/>
        <w:spacing w:before="240"/>
      </w:pPr>
      <w:r w:rsidRPr="009873DB">
        <w:lastRenderedPageBreak/>
        <w:t>14.</w:t>
      </w:r>
      <w:r w:rsidRPr="009873DB">
        <w:tab/>
        <w:t>Of the 280 overdue initial reports, 114 (41per cent) were less than 5 years overdue, 56 reports (20 per cent) were between 5 and 10 years overdue and 110 reports (39 per cent) were more than 10 years overdue. Under the following treaties, more than 50 per cent of the overdue initial reports were more than 10 years overdue: the Convention on the Elimination of All Forms of Discrimination against Women (80 per cent), the International Covenant on Economic, Social and Cultural Rights (73 per cent), the International Convention on the Elimination of All Forms of Racial Discrimination (67 per cent), the Convention against Torture and Other Cruel, Inhuman or Degrading Treatment or Punishment (59 per cent), the International Covenant on Civil and Political Rights (59 per cent) and the Convention on the Rights of the Child (50 per cent) (see table</w:t>
      </w:r>
      <w:r w:rsidR="003F11A5">
        <w:t xml:space="preserve"> </w:t>
      </w:r>
      <w:r w:rsidRPr="009873DB">
        <w:t>7).</w:t>
      </w:r>
    </w:p>
    <w:p w:rsidR="00A21742" w:rsidRDefault="00B66B18" w:rsidP="00A21742">
      <w:pPr>
        <w:pStyle w:val="Heading1"/>
      </w:pPr>
      <w:r w:rsidRPr="009873DB">
        <w:t>Table 7</w:t>
      </w:r>
    </w:p>
    <w:p w:rsidR="00B66B18" w:rsidRDefault="00B66B18" w:rsidP="00987561">
      <w:pPr>
        <w:pStyle w:val="SingleTxtG"/>
        <w:rPr>
          <w:b/>
        </w:rPr>
      </w:pPr>
      <w:r w:rsidRPr="00A21742">
        <w:rPr>
          <w:b/>
        </w:rPr>
        <w:t>Overdue initial reports, by length of time and treaty, as at 1 March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6"/>
        <w:gridCol w:w="1308"/>
        <w:gridCol w:w="1628"/>
        <w:gridCol w:w="1649"/>
        <w:gridCol w:w="1649"/>
      </w:tblGrid>
      <w:tr w:rsidR="00B66B18" w:rsidRPr="00BB1CB5" w:rsidTr="00BB1CB5">
        <w:trPr>
          <w:cantSplit/>
          <w:tblHeader/>
        </w:trPr>
        <w:tc>
          <w:tcPr>
            <w:tcW w:w="1136" w:type="dxa"/>
            <w:vMerge w:val="restart"/>
            <w:tcBorders>
              <w:top w:val="single" w:sz="4" w:space="0" w:color="auto"/>
              <w:bottom w:val="single" w:sz="12" w:space="0" w:color="auto"/>
            </w:tcBorders>
            <w:shd w:val="clear" w:color="auto" w:fill="auto"/>
            <w:vAlign w:val="bottom"/>
          </w:tcPr>
          <w:p w:rsidR="00B66B18" w:rsidRPr="00BB1CB5" w:rsidRDefault="00B66B18" w:rsidP="00BB1CB5">
            <w:pPr>
              <w:suppressAutoHyphens w:val="0"/>
              <w:spacing w:before="80" w:after="80" w:line="200" w:lineRule="exact"/>
              <w:ind w:right="113"/>
              <w:rPr>
                <w:i/>
                <w:sz w:val="16"/>
              </w:rPr>
            </w:pPr>
            <w:r w:rsidRPr="00BB1CB5">
              <w:rPr>
                <w:i/>
                <w:sz w:val="16"/>
              </w:rPr>
              <w:t>Treaty</w:t>
            </w:r>
          </w:p>
        </w:tc>
        <w:tc>
          <w:tcPr>
            <w:tcW w:w="1308" w:type="dxa"/>
            <w:vMerge w:val="restart"/>
            <w:tcBorders>
              <w:top w:val="single" w:sz="4" w:space="0" w:color="auto"/>
              <w:bottom w:val="single" w:sz="12" w:space="0" w:color="auto"/>
            </w:tcBorders>
            <w:shd w:val="clear" w:color="auto" w:fill="auto"/>
            <w:vAlign w:val="bottom"/>
          </w:tcPr>
          <w:p w:rsidR="00B66B18" w:rsidRPr="00BB1CB5" w:rsidRDefault="00B66B18" w:rsidP="00BB1CB5">
            <w:pPr>
              <w:suppressAutoHyphens w:val="0"/>
              <w:spacing w:before="80" w:after="80" w:line="200" w:lineRule="exact"/>
              <w:ind w:right="113"/>
              <w:jc w:val="right"/>
              <w:rPr>
                <w:i/>
                <w:sz w:val="16"/>
              </w:rPr>
            </w:pPr>
            <w:r w:rsidRPr="00BB1CB5">
              <w:rPr>
                <w:i/>
                <w:sz w:val="16"/>
              </w:rPr>
              <w:t>Number of overdue initial reports</w:t>
            </w:r>
          </w:p>
        </w:tc>
        <w:tc>
          <w:tcPr>
            <w:tcW w:w="4926" w:type="dxa"/>
            <w:gridSpan w:val="3"/>
            <w:tcBorders>
              <w:top w:val="single" w:sz="4" w:space="0" w:color="auto"/>
              <w:bottom w:val="single" w:sz="4" w:space="0" w:color="auto"/>
            </w:tcBorders>
            <w:shd w:val="clear" w:color="auto" w:fill="auto"/>
            <w:vAlign w:val="bottom"/>
          </w:tcPr>
          <w:p w:rsidR="00B66B18" w:rsidRPr="00BB1CB5" w:rsidRDefault="00B66B18" w:rsidP="00CC3D81">
            <w:pPr>
              <w:suppressAutoHyphens w:val="0"/>
              <w:spacing w:before="80" w:after="80" w:line="200" w:lineRule="exact"/>
              <w:ind w:right="113"/>
              <w:jc w:val="center"/>
              <w:rPr>
                <w:i/>
                <w:sz w:val="16"/>
              </w:rPr>
            </w:pPr>
            <w:r w:rsidRPr="00BB1CB5">
              <w:rPr>
                <w:i/>
                <w:sz w:val="16"/>
              </w:rPr>
              <w:t>Length of time</w:t>
            </w:r>
          </w:p>
        </w:tc>
      </w:tr>
      <w:tr w:rsidR="00B66B18" w:rsidRPr="00BB1CB5" w:rsidTr="00CC3D81">
        <w:trPr>
          <w:cantSplit/>
          <w:tblHeader/>
        </w:trPr>
        <w:tc>
          <w:tcPr>
            <w:tcW w:w="1136" w:type="dxa"/>
            <w:vMerge/>
            <w:tcBorders>
              <w:top w:val="single" w:sz="12" w:space="0" w:color="auto"/>
              <w:bottom w:val="single" w:sz="12" w:space="0" w:color="auto"/>
            </w:tcBorders>
            <w:shd w:val="clear" w:color="auto" w:fill="auto"/>
            <w:vAlign w:val="bottom"/>
          </w:tcPr>
          <w:p w:rsidR="00B66B18" w:rsidRPr="00BB1CB5" w:rsidRDefault="00B66B18" w:rsidP="00BB1CB5">
            <w:pPr>
              <w:suppressAutoHyphens w:val="0"/>
              <w:spacing w:before="40" w:after="40" w:line="220" w:lineRule="exact"/>
              <w:ind w:right="113"/>
              <w:rPr>
                <w:sz w:val="18"/>
              </w:rPr>
            </w:pPr>
          </w:p>
        </w:tc>
        <w:tc>
          <w:tcPr>
            <w:tcW w:w="1308" w:type="dxa"/>
            <w:vMerge/>
            <w:tcBorders>
              <w:top w:val="single" w:sz="12" w:space="0" w:color="auto"/>
              <w:bottom w:val="single" w:sz="12"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p>
        </w:tc>
        <w:tc>
          <w:tcPr>
            <w:tcW w:w="1628" w:type="dxa"/>
            <w:tcBorders>
              <w:top w:val="single" w:sz="4" w:space="0" w:color="auto"/>
              <w:bottom w:val="single" w:sz="12" w:space="0" w:color="auto"/>
            </w:tcBorders>
            <w:shd w:val="clear" w:color="auto" w:fill="auto"/>
            <w:vAlign w:val="bottom"/>
          </w:tcPr>
          <w:p w:rsidR="00B66B18" w:rsidRPr="00BB1CB5" w:rsidRDefault="00B66B18" w:rsidP="00BB1CB5">
            <w:pPr>
              <w:suppressAutoHyphens w:val="0"/>
              <w:spacing w:before="80" w:after="80" w:line="200" w:lineRule="exact"/>
              <w:ind w:right="113"/>
              <w:jc w:val="right"/>
              <w:rPr>
                <w:i/>
                <w:sz w:val="16"/>
              </w:rPr>
            </w:pPr>
            <w:r w:rsidRPr="00BB1CB5">
              <w:rPr>
                <w:i/>
                <w:sz w:val="16"/>
              </w:rPr>
              <w:t>Number of reports less</w:t>
            </w:r>
            <w:r w:rsidRPr="00BB1CB5">
              <w:rPr>
                <w:i/>
                <w:sz w:val="16"/>
              </w:rPr>
              <w:br/>
              <w:t xml:space="preserve">than 5 years </w:t>
            </w:r>
            <w:r w:rsidRPr="00BB1CB5">
              <w:rPr>
                <w:i/>
                <w:sz w:val="16"/>
              </w:rPr>
              <w:br/>
              <w:t>overdue (percentage)</w:t>
            </w:r>
          </w:p>
        </w:tc>
        <w:tc>
          <w:tcPr>
            <w:tcW w:w="1649" w:type="dxa"/>
            <w:tcBorders>
              <w:top w:val="single" w:sz="4" w:space="0" w:color="auto"/>
              <w:bottom w:val="single" w:sz="12" w:space="0" w:color="auto"/>
            </w:tcBorders>
            <w:shd w:val="clear" w:color="auto" w:fill="auto"/>
            <w:vAlign w:val="bottom"/>
          </w:tcPr>
          <w:p w:rsidR="00B66B18" w:rsidRPr="00BB1CB5" w:rsidRDefault="00B66B18" w:rsidP="00BB1CB5">
            <w:pPr>
              <w:suppressAutoHyphens w:val="0"/>
              <w:spacing w:before="80" w:after="80" w:line="200" w:lineRule="exact"/>
              <w:ind w:right="113"/>
              <w:jc w:val="right"/>
              <w:rPr>
                <w:i/>
                <w:sz w:val="16"/>
              </w:rPr>
            </w:pPr>
            <w:r w:rsidRPr="00BB1CB5">
              <w:rPr>
                <w:i/>
                <w:sz w:val="16"/>
              </w:rPr>
              <w:t>Number of reports between 5 and 10 years overdue (percentage)</w:t>
            </w:r>
          </w:p>
        </w:tc>
        <w:tc>
          <w:tcPr>
            <w:tcW w:w="1649" w:type="dxa"/>
            <w:tcBorders>
              <w:top w:val="single" w:sz="4" w:space="0" w:color="auto"/>
              <w:bottom w:val="single" w:sz="12" w:space="0" w:color="auto"/>
            </w:tcBorders>
            <w:shd w:val="clear" w:color="auto" w:fill="auto"/>
            <w:vAlign w:val="bottom"/>
          </w:tcPr>
          <w:p w:rsidR="00B66B18" w:rsidRPr="00BB1CB5" w:rsidRDefault="00B66B18" w:rsidP="00BB1CB5">
            <w:pPr>
              <w:suppressAutoHyphens w:val="0"/>
              <w:spacing w:before="80" w:after="80" w:line="200" w:lineRule="exact"/>
              <w:ind w:right="113"/>
              <w:jc w:val="right"/>
              <w:rPr>
                <w:i/>
                <w:sz w:val="16"/>
              </w:rPr>
            </w:pPr>
            <w:r w:rsidRPr="00BB1CB5">
              <w:rPr>
                <w:i/>
                <w:sz w:val="16"/>
              </w:rPr>
              <w:t xml:space="preserve">Number of reports </w:t>
            </w:r>
            <w:r w:rsidRPr="00BB1CB5">
              <w:rPr>
                <w:i/>
                <w:sz w:val="16"/>
              </w:rPr>
              <w:br/>
              <w:t>more than</w:t>
            </w:r>
            <w:r w:rsidR="003F11A5" w:rsidRPr="00BB1CB5">
              <w:rPr>
                <w:i/>
                <w:sz w:val="16"/>
              </w:rPr>
              <w:t xml:space="preserve"> </w:t>
            </w:r>
            <w:r w:rsidRPr="00BB1CB5">
              <w:rPr>
                <w:i/>
                <w:sz w:val="16"/>
              </w:rPr>
              <w:t xml:space="preserve">10 years </w:t>
            </w:r>
            <w:r w:rsidRPr="00BB1CB5">
              <w:rPr>
                <w:i/>
                <w:sz w:val="16"/>
              </w:rPr>
              <w:br/>
              <w:t>overdue (percentage)</w:t>
            </w:r>
          </w:p>
        </w:tc>
      </w:tr>
      <w:tr w:rsidR="00B66B18" w:rsidRPr="00BB1CB5" w:rsidTr="00CC3D81">
        <w:trPr>
          <w:cantSplit/>
        </w:trPr>
        <w:tc>
          <w:tcPr>
            <w:tcW w:w="1136" w:type="dxa"/>
            <w:tcBorders>
              <w:top w:val="single" w:sz="12" w:space="0" w:color="auto"/>
            </w:tcBorders>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ICCPR</w:t>
            </w:r>
          </w:p>
        </w:tc>
        <w:tc>
          <w:tcPr>
            <w:tcW w:w="1308" w:type="dxa"/>
            <w:tcBorders>
              <w:top w:val="single" w:sz="12"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17</w:t>
            </w:r>
          </w:p>
        </w:tc>
        <w:tc>
          <w:tcPr>
            <w:tcW w:w="1628" w:type="dxa"/>
            <w:tcBorders>
              <w:top w:val="single" w:sz="12"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 (6%)</w:t>
            </w:r>
          </w:p>
        </w:tc>
        <w:tc>
          <w:tcPr>
            <w:tcW w:w="1649" w:type="dxa"/>
            <w:tcBorders>
              <w:top w:val="single" w:sz="12"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6 (35%)</w:t>
            </w:r>
          </w:p>
        </w:tc>
        <w:tc>
          <w:tcPr>
            <w:tcW w:w="1649" w:type="dxa"/>
            <w:tcBorders>
              <w:top w:val="single" w:sz="12"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10 (59%)</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ICESCR</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30</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3 (10%)</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5 (17%)</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22 (73%)</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ICERD</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15</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2 (13%)</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3 (20%)</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10 (67%)</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CAT</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27</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10 (37%)</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 (4%)</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16 (59%)</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CEDAW</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5</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 (20%)</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 xml:space="preserve">0 </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4 (80%)</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CRC</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2</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 xml:space="preserve">1 (50%) </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0</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 (50%)</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OP-CRC-SC</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65</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27 (42%)</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13 (20%)</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25 (38%)</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OP-CRC-AC</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46</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21 (46%)</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6 (13%)</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19 (41%)</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ICRMW</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10</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3 (30%)</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4 (40%)</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3 (30%)</w:t>
            </w:r>
          </w:p>
        </w:tc>
      </w:tr>
      <w:tr w:rsidR="00B66B18" w:rsidRPr="00BB1CB5" w:rsidTr="00BB1CB5">
        <w:trPr>
          <w:cantSplit/>
        </w:trPr>
        <w:tc>
          <w:tcPr>
            <w:tcW w:w="1136" w:type="dxa"/>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CRPD</w:t>
            </w:r>
          </w:p>
        </w:tc>
        <w:tc>
          <w:tcPr>
            <w:tcW w:w="130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48</w:t>
            </w:r>
          </w:p>
        </w:tc>
        <w:tc>
          <w:tcPr>
            <w:tcW w:w="1628"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35 (72%)</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13 (27%)</w:t>
            </w:r>
          </w:p>
        </w:tc>
        <w:tc>
          <w:tcPr>
            <w:tcW w:w="1649" w:type="dxa"/>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0</w:t>
            </w:r>
          </w:p>
        </w:tc>
      </w:tr>
      <w:tr w:rsidR="00B66B18" w:rsidRPr="00BB1CB5" w:rsidTr="00BB1CB5">
        <w:trPr>
          <w:cantSplit/>
        </w:trPr>
        <w:tc>
          <w:tcPr>
            <w:tcW w:w="1136" w:type="dxa"/>
            <w:tcBorders>
              <w:bottom w:val="single" w:sz="4" w:space="0" w:color="auto"/>
            </w:tcBorders>
            <w:shd w:val="clear" w:color="auto" w:fill="auto"/>
          </w:tcPr>
          <w:p w:rsidR="00B66B18" w:rsidRPr="00BB1CB5" w:rsidRDefault="00B66B18" w:rsidP="00BB1CB5">
            <w:pPr>
              <w:suppressAutoHyphens w:val="0"/>
              <w:spacing w:before="40" w:after="40" w:line="220" w:lineRule="exact"/>
              <w:ind w:right="113"/>
              <w:rPr>
                <w:sz w:val="18"/>
              </w:rPr>
            </w:pPr>
            <w:r w:rsidRPr="00BB1CB5">
              <w:rPr>
                <w:sz w:val="18"/>
              </w:rPr>
              <w:t>ICPPED</w:t>
            </w:r>
          </w:p>
        </w:tc>
        <w:tc>
          <w:tcPr>
            <w:tcW w:w="1308" w:type="dxa"/>
            <w:tcBorders>
              <w:bottom w:val="single" w:sz="4"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15</w:t>
            </w:r>
          </w:p>
        </w:tc>
        <w:tc>
          <w:tcPr>
            <w:tcW w:w="1628" w:type="dxa"/>
            <w:tcBorders>
              <w:bottom w:val="single" w:sz="4"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10 (67%)</w:t>
            </w:r>
          </w:p>
        </w:tc>
        <w:tc>
          <w:tcPr>
            <w:tcW w:w="1649" w:type="dxa"/>
            <w:tcBorders>
              <w:bottom w:val="single" w:sz="4"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5</w:t>
            </w:r>
            <w:r w:rsidR="006A5133">
              <w:rPr>
                <w:sz w:val="18"/>
              </w:rPr>
              <w:t xml:space="preserve"> </w:t>
            </w:r>
            <w:r w:rsidRPr="00BB1CB5">
              <w:rPr>
                <w:sz w:val="18"/>
              </w:rPr>
              <w:t>(33%)</w:t>
            </w:r>
          </w:p>
        </w:tc>
        <w:tc>
          <w:tcPr>
            <w:tcW w:w="1649" w:type="dxa"/>
            <w:tcBorders>
              <w:bottom w:val="single" w:sz="4" w:space="0" w:color="auto"/>
            </w:tcBorders>
            <w:shd w:val="clear" w:color="auto" w:fill="auto"/>
            <w:vAlign w:val="bottom"/>
          </w:tcPr>
          <w:p w:rsidR="00B66B18" w:rsidRPr="00BB1CB5" w:rsidRDefault="00B66B18" w:rsidP="00BB1CB5">
            <w:pPr>
              <w:suppressAutoHyphens w:val="0"/>
              <w:spacing w:before="40" w:after="40" w:line="220" w:lineRule="exact"/>
              <w:ind w:right="113"/>
              <w:jc w:val="right"/>
              <w:rPr>
                <w:sz w:val="18"/>
              </w:rPr>
            </w:pPr>
            <w:r w:rsidRPr="00BB1CB5">
              <w:rPr>
                <w:sz w:val="18"/>
              </w:rPr>
              <w:t>0</w:t>
            </w:r>
          </w:p>
        </w:tc>
      </w:tr>
      <w:tr w:rsidR="00B66B18" w:rsidRPr="00BB1CB5" w:rsidTr="00BB1CB5">
        <w:trPr>
          <w:cantSplit/>
        </w:trPr>
        <w:tc>
          <w:tcPr>
            <w:tcW w:w="1136" w:type="dxa"/>
            <w:tcBorders>
              <w:top w:val="single" w:sz="4" w:space="0" w:color="auto"/>
              <w:bottom w:val="single" w:sz="12" w:space="0" w:color="auto"/>
            </w:tcBorders>
            <w:shd w:val="clear" w:color="auto" w:fill="auto"/>
          </w:tcPr>
          <w:p w:rsidR="00B66B18" w:rsidRPr="00861D21" w:rsidRDefault="00B66B18" w:rsidP="00861D21">
            <w:pPr>
              <w:suppressAutoHyphens w:val="0"/>
              <w:spacing w:before="80" w:after="80" w:line="220" w:lineRule="exact"/>
              <w:ind w:left="283"/>
              <w:rPr>
                <w:b/>
                <w:sz w:val="18"/>
              </w:rPr>
            </w:pPr>
            <w:r w:rsidRPr="00861D21">
              <w:rPr>
                <w:b/>
                <w:sz w:val="18"/>
              </w:rPr>
              <w:t>Total</w:t>
            </w:r>
          </w:p>
        </w:tc>
        <w:tc>
          <w:tcPr>
            <w:tcW w:w="1308" w:type="dxa"/>
            <w:tcBorders>
              <w:top w:val="single" w:sz="4" w:space="0" w:color="auto"/>
              <w:bottom w:val="single" w:sz="12" w:space="0" w:color="auto"/>
            </w:tcBorders>
            <w:shd w:val="clear" w:color="auto" w:fill="auto"/>
            <w:vAlign w:val="bottom"/>
          </w:tcPr>
          <w:p w:rsidR="00B66B18" w:rsidRPr="00861D21" w:rsidRDefault="00B66B18" w:rsidP="00861D21">
            <w:pPr>
              <w:suppressAutoHyphens w:val="0"/>
              <w:spacing w:before="80" w:after="80" w:line="220" w:lineRule="exact"/>
              <w:ind w:right="113"/>
              <w:jc w:val="right"/>
              <w:rPr>
                <w:b/>
                <w:sz w:val="18"/>
              </w:rPr>
            </w:pPr>
            <w:r w:rsidRPr="00861D21">
              <w:rPr>
                <w:b/>
                <w:sz w:val="18"/>
              </w:rPr>
              <w:t>280</w:t>
            </w:r>
          </w:p>
        </w:tc>
        <w:tc>
          <w:tcPr>
            <w:tcW w:w="1628" w:type="dxa"/>
            <w:tcBorders>
              <w:top w:val="single" w:sz="4" w:space="0" w:color="auto"/>
              <w:bottom w:val="single" w:sz="12" w:space="0" w:color="auto"/>
            </w:tcBorders>
            <w:shd w:val="clear" w:color="auto" w:fill="auto"/>
            <w:vAlign w:val="bottom"/>
          </w:tcPr>
          <w:p w:rsidR="00B66B18" w:rsidRPr="00861D21" w:rsidRDefault="00B66B18" w:rsidP="00861D21">
            <w:pPr>
              <w:suppressAutoHyphens w:val="0"/>
              <w:spacing w:before="80" w:after="80" w:line="220" w:lineRule="exact"/>
              <w:ind w:right="113"/>
              <w:jc w:val="right"/>
              <w:rPr>
                <w:b/>
                <w:sz w:val="18"/>
              </w:rPr>
            </w:pPr>
            <w:r w:rsidRPr="00861D21">
              <w:rPr>
                <w:b/>
                <w:sz w:val="18"/>
              </w:rPr>
              <w:t>114 (41%)</w:t>
            </w:r>
          </w:p>
        </w:tc>
        <w:tc>
          <w:tcPr>
            <w:tcW w:w="1649" w:type="dxa"/>
            <w:tcBorders>
              <w:top w:val="single" w:sz="4" w:space="0" w:color="auto"/>
              <w:bottom w:val="single" w:sz="12" w:space="0" w:color="auto"/>
            </w:tcBorders>
            <w:shd w:val="clear" w:color="auto" w:fill="auto"/>
            <w:vAlign w:val="bottom"/>
          </w:tcPr>
          <w:p w:rsidR="00B66B18" w:rsidRPr="00861D21" w:rsidRDefault="00B66B18" w:rsidP="00861D21">
            <w:pPr>
              <w:suppressAutoHyphens w:val="0"/>
              <w:spacing w:before="80" w:after="80" w:line="220" w:lineRule="exact"/>
              <w:ind w:right="113"/>
              <w:jc w:val="right"/>
              <w:rPr>
                <w:b/>
                <w:sz w:val="18"/>
              </w:rPr>
            </w:pPr>
            <w:r w:rsidRPr="00861D21">
              <w:rPr>
                <w:b/>
                <w:sz w:val="18"/>
              </w:rPr>
              <w:t>56 (20%)</w:t>
            </w:r>
          </w:p>
        </w:tc>
        <w:tc>
          <w:tcPr>
            <w:tcW w:w="1649" w:type="dxa"/>
            <w:tcBorders>
              <w:top w:val="single" w:sz="4" w:space="0" w:color="auto"/>
              <w:bottom w:val="single" w:sz="12" w:space="0" w:color="auto"/>
            </w:tcBorders>
            <w:shd w:val="clear" w:color="auto" w:fill="auto"/>
            <w:vAlign w:val="bottom"/>
          </w:tcPr>
          <w:p w:rsidR="00B66B18" w:rsidRPr="00861D21" w:rsidRDefault="00B66B18" w:rsidP="00861D21">
            <w:pPr>
              <w:suppressAutoHyphens w:val="0"/>
              <w:spacing w:before="80" w:after="80" w:line="220" w:lineRule="exact"/>
              <w:ind w:right="113"/>
              <w:jc w:val="right"/>
              <w:rPr>
                <w:b/>
                <w:sz w:val="18"/>
              </w:rPr>
            </w:pPr>
            <w:r w:rsidRPr="00861D21">
              <w:rPr>
                <w:b/>
                <w:sz w:val="18"/>
              </w:rPr>
              <w:t>110 (39%)</w:t>
            </w:r>
          </w:p>
        </w:tc>
      </w:tr>
    </w:tbl>
    <w:p w:rsidR="00B66B18" w:rsidRPr="009873DB" w:rsidRDefault="00B66B18" w:rsidP="00B02F06">
      <w:pPr>
        <w:pStyle w:val="SingleTxtG"/>
        <w:spacing w:before="240"/>
      </w:pPr>
      <w:r w:rsidRPr="009873DB">
        <w:t>15.</w:t>
      </w:r>
      <w:r w:rsidRPr="009873DB">
        <w:tab/>
        <w:t>Of the 294 overdue periodic reports, 155 (53 per cent) were less than 5 years overdue, 69 (23 per cent) were between 5 and 10 years overdue and 70 (24 per cent) were more than 10 years overdue. The International Covenant on Civil and Political Rights had the highest percentage of periodic reports overdue for more than 10 years (42 per cent), followed by the International Convention on the Elimination of All Forms of Racial Discrimination (32 per cent) (see table</w:t>
      </w:r>
      <w:r w:rsidR="003F11A5">
        <w:t xml:space="preserve"> </w:t>
      </w:r>
      <w:r w:rsidRPr="009873DB">
        <w:t>8).</w:t>
      </w:r>
    </w:p>
    <w:p w:rsidR="00394BB2" w:rsidRDefault="00B66B18" w:rsidP="00394BB2">
      <w:pPr>
        <w:pStyle w:val="Heading1"/>
      </w:pPr>
      <w:r w:rsidRPr="009873DB">
        <w:t>Table 8</w:t>
      </w:r>
    </w:p>
    <w:p w:rsidR="00B66B18" w:rsidRPr="00394BB2" w:rsidRDefault="00B66B18" w:rsidP="00987561">
      <w:pPr>
        <w:pStyle w:val="SingleTxtG"/>
        <w:rPr>
          <w:b/>
        </w:rPr>
      </w:pPr>
      <w:r w:rsidRPr="00394BB2">
        <w:rPr>
          <w:b/>
        </w:rPr>
        <w:t>Overdue periodic reports, by length of time and treaty, as at 1 March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162"/>
        <w:gridCol w:w="1644"/>
        <w:gridCol w:w="1644"/>
        <w:gridCol w:w="1644"/>
      </w:tblGrid>
      <w:tr w:rsidR="00B66B18" w:rsidRPr="00812884" w:rsidTr="00C33110">
        <w:trPr>
          <w:cantSplit/>
          <w:tblHeader/>
        </w:trPr>
        <w:tc>
          <w:tcPr>
            <w:tcW w:w="1276" w:type="dxa"/>
            <w:vMerge w:val="restart"/>
            <w:tcBorders>
              <w:top w:val="single" w:sz="4" w:space="0" w:color="auto"/>
              <w:bottom w:val="single" w:sz="12" w:space="0" w:color="auto"/>
            </w:tcBorders>
            <w:shd w:val="clear" w:color="auto" w:fill="auto"/>
            <w:vAlign w:val="bottom"/>
          </w:tcPr>
          <w:p w:rsidR="00B66B18" w:rsidRPr="00812884" w:rsidRDefault="00B66B18" w:rsidP="00812884">
            <w:pPr>
              <w:suppressAutoHyphens w:val="0"/>
              <w:spacing w:before="80" w:after="80" w:line="200" w:lineRule="exact"/>
              <w:ind w:right="113"/>
              <w:rPr>
                <w:i/>
                <w:sz w:val="16"/>
              </w:rPr>
            </w:pPr>
            <w:r w:rsidRPr="00812884">
              <w:rPr>
                <w:i/>
                <w:sz w:val="16"/>
              </w:rPr>
              <w:t>Treaties</w:t>
            </w:r>
          </w:p>
        </w:tc>
        <w:tc>
          <w:tcPr>
            <w:tcW w:w="1162" w:type="dxa"/>
            <w:vMerge w:val="restart"/>
            <w:tcBorders>
              <w:top w:val="single" w:sz="4" w:space="0" w:color="auto"/>
              <w:bottom w:val="single" w:sz="12" w:space="0" w:color="auto"/>
            </w:tcBorders>
            <w:shd w:val="clear" w:color="auto" w:fill="auto"/>
            <w:vAlign w:val="bottom"/>
          </w:tcPr>
          <w:p w:rsidR="00B66B18" w:rsidRPr="00812884" w:rsidRDefault="00B66B18" w:rsidP="00812884">
            <w:pPr>
              <w:suppressAutoHyphens w:val="0"/>
              <w:spacing w:before="80" w:after="80" w:line="200" w:lineRule="exact"/>
              <w:ind w:right="113"/>
              <w:jc w:val="right"/>
              <w:rPr>
                <w:i/>
                <w:sz w:val="16"/>
              </w:rPr>
            </w:pPr>
            <w:r w:rsidRPr="00812884">
              <w:rPr>
                <w:i/>
                <w:sz w:val="16"/>
              </w:rPr>
              <w:t>Number of overdue periodic reports</w:t>
            </w:r>
          </w:p>
        </w:tc>
        <w:tc>
          <w:tcPr>
            <w:tcW w:w="4932" w:type="dxa"/>
            <w:gridSpan w:val="3"/>
            <w:tcBorders>
              <w:top w:val="single" w:sz="4" w:space="0" w:color="auto"/>
              <w:bottom w:val="single" w:sz="4" w:space="0" w:color="auto"/>
            </w:tcBorders>
            <w:shd w:val="clear" w:color="auto" w:fill="auto"/>
            <w:vAlign w:val="bottom"/>
          </w:tcPr>
          <w:p w:rsidR="00B66B18" w:rsidRPr="00812884" w:rsidRDefault="00B66B18" w:rsidP="00812884">
            <w:pPr>
              <w:suppressAutoHyphens w:val="0"/>
              <w:spacing w:before="80" w:after="80" w:line="200" w:lineRule="exact"/>
              <w:ind w:right="113"/>
              <w:jc w:val="center"/>
              <w:rPr>
                <w:i/>
                <w:sz w:val="16"/>
              </w:rPr>
            </w:pPr>
            <w:r w:rsidRPr="00812884">
              <w:rPr>
                <w:i/>
                <w:sz w:val="16"/>
              </w:rPr>
              <w:t>Length of time</w:t>
            </w:r>
          </w:p>
        </w:tc>
      </w:tr>
      <w:tr w:rsidR="00B66B18" w:rsidRPr="00812884" w:rsidTr="00C33110">
        <w:trPr>
          <w:cantSplit/>
          <w:tblHeader/>
        </w:trPr>
        <w:tc>
          <w:tcPr>
            <w:tcW w:w="1276" w:type="dxa"/>
            <w:vMerge/>
            <w:tcBorders>
              <w:top w:val="single" w:sz="12" w:space="0" w:color="auto"/>
              <w:bottom w:val="single" w:sz="12" w:space="0" w:color="auto"/>
            </w:tcBorders>
            <w:shd w:val="clear" w:color="auto" w:fill="auto"/>
            <w:vAlign w:val="bottom"/>
          </w:tcPr>
          <w:p w:rsidR="00B66B18" w:rsidRPr="00812884" w:rsidRDefault="00B66B18" w:rsidP="00812884">
            <w:pPr>
              <w:suppressAutoHyphens w:val="0"/>
              <w:spacing w:before="40" w:after="40" w:line="220" w:lineRule="exact"/>
              <w:ind w:right="113"/>
              <w:rPr>
                <w:sz w:val="18"/>
              </w:rPr>
            </w:pPr>
          </w:p>
        </w:tc>
        <w:tc>
          <w:tcPr>
            <w:tcW w:w="1162" w:type="dxa"/>
            <w:vMerge/>
            <w:tcBorders>
              <w:top w:val="single" w:sz="12" w:space="0" w:color="auto"/>
              <w:bottom w:val="single" w:sz="12" w:space="0" w:color="auto"/>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p>
        </w:tc>
        <w:tc>
          <w:tcPr>
            <w:tcW w:w="1644" w:type="dxa"/>
            <w:tcBorders>
              <w:top w:val="single" w:sz="4" w:space="0" w:color="auto"/>
              <w:bottom w:val="single" w:sz="12" w:space="0" w:color="auto"/>
            </w:tcBorders>
            <w:shd w:val="clear" w:color="auto" w:fill="auto"/>
            <w:vAlign w:val="bottom"/>
          </w:tcPr>
          <w:p w:rsidR="00B66B18" w:rsidRPr="00812884" w:rsidRDefault="00B66B18" w:rsidP="00812884">
            <w:pPr>
              <w:suppressAutoHyphens w:val="0"/>
              <w:spacing w:before="80" w:after="80" w:line="200" w:lineRule="exact"/>
              <w:ind w:right="113"/>
              <w:jc w:val="right"/>
              <w:rPr>
                <w:i/>
                <w:sz w:val="16"/>
              </w:rPr>
            </w:pPr>
            <w:r w:rsidRPr="00812884">
              <w:rPr>
                <w:i/>
                <w:sz w:val="16"/>
              </w:rPr>
              <w:t>Number of reports less</w:t>
            </w:r>
            <w:r w:rsidRPr="00812884">
              <w:rPr>
                <w:i/>
                <w:sz w:val="16"/>
              </w:rPr>
              <w:br/>
              <w:t xml:space="preserve">than 5 years </w:t>
            </w:r>
            <w:r w:rsidRPr="00812884">
              <w:rPr>
                <w:i/>
                <w:sz w:val="16"/>
              </w:rPr>
              <w:br/>
              <w:t>overdue (percentage)</w:t>
            </w:r>
          </w:p>
        </w:tc>
        <w:tc>
          <w:tcPr>
            <w:tcW w:w="1644" w:type="dxa"/>
            <w:tcBorders>
              <w:top w:val="single" w:sz="4" w:space="0" w:color="auto"/>
              <w:bottom w:val="single" w:sz="12" w:space="0" w:color="auto"/>
            </w:tcBorders>
            <w:shd w:val="clear" w:color="auto" w:fill="auto"/>
            <w:vAlign w:val="bottom"/>
          </w:tcPr>
          <w:p w:rsidR="00B66B18" w:rsidRPr="00812884" w:rsidRDefault="00B66B18" w:rsidP="00812884">
            <w:pPr>
              <w:suppressAutoHyphens w:val="0"/>
              <w:spacing w:before="80" w:after="80" w:line="200" w:lineRule="exact"/>
              <w:ind w:right="113"/>
              <w:jc w:val="right"/>
              <w:rPr>
                <w:i/>
                <w:sz w:val="16"/>
              </w:rPr>
            </w:pPr>
            <w:r w:rsidRPr="00812884">
              <w:rPr>
                <w:i/>
                <w:sz w:val="16"/>
              </w:rPr>
              <w:t>Number of reports between 5 and 10 years overdue (percentage)</w:t>
            </w:r>
          </w:p>
        </w:tc>
        <w:tc>
          <w:tcPr>
            <w:tcW w:w="1644" w:type="dxa"/>
            <w:tcBorders>
              <w:top w:val="single" w:sz="4" w:space="0" w:color="auto"/>
              <w:bottom w:val="single" w:sz="12" w:space="0" w:color="auto"/>
            </w:tcBorders>
            <w:shd w:val="clear" w:color="auto" w:fill="auto"/>
            <w:vAlign w:val="bottom"/>
          </w:tcPr>
          <w:p w:rsidR="00B66B18" w:rsidRPr="00812884" w:rsidRDefault="00B66B18" w:rsidP="00812884">
            <w:pPr>
              <w:suppressAutoHyphens w:val="0"/>
              <w:spacing w:before="80" w:after="80" w:line="200" w:lineRule="exact"/>
              <w:ind w:right="113"/>
              <w:jc w:val="right"/>
              <w:rPr>
                <w:i/>
                <w:sz w:val="16"/>
              </w:rPr>
            </w:pPr>
            <w:r w:rsidRPr="00812884">
              <w:rPr>
                <w:i/>
                <w:sz w:val="16"/>
              </w:rPr>
              <w:t>Number of reports</w:t>
            </w:r>
            <w:r w:rsidRPr="00812884">
              <w:rPr>
                <w:i/>
                <w:sz w:val="16"/>
              </w:rPr>
              <w:br/>
              <w:t>more than 10 years</w:t>
            </w:r>
            <w:r w:rsidRPr="00812884">
              <w:rPr>
                <w:i/>
                <w:sz w:val="16"/>
              </w:rPr>
              <w:br/>
              <w:t>overdue (percentage)</w:t>
            </w:r>
          </w:p>
        </w:tc>
      </w:tr>
      <w:tr w:rsidR="00C33110" w:rsidRPr="00812884" w:rsidTr="00C33110">
        <w:trPr>
          <w:cantSplit/>
          <w:trHeight w:hRule="exact" w:val="113"/>
          <w:tblHeader/>
        </w:trPr>
        <w:tc>
          <w:tcPr>
            <w:tcW w:w="1276" w:type="dxa"/>
            <w:tcBorders>
              <w:top w:val="single" w:sz="12" w:space="0" w:color="auto"/>
              <w:bottom w:val="nil"/>
            </w:tcBorders>
            <w:shd w:val="clear" w:color="auto" w:fill="auto"/>
          </w:tcPr>
          <w:p w:rsidR="00C33110" w:rsidRPr="00812884" w:rsidRDefault="00C33110" w:rsidP="00812884">
            <w:pPr>
              <w:suppressAutoHyphens w:val="0"/>
              <w:spacing w:before="40" w:after="40" w:line="220" w:lineRule="exact"/>
              <w:ind w:right="113"/>
              <w:rPr>
                <w:sz w:val="18"/>
              </w:rPr>
            </w:pPr>
          </w:p>
        </w:tc>
        <w:tc>
          <w:tcPr>
            <w:tcW w:w="1162" w:type="dxa"/>
            <w:tcBorders>
              <w:top w:val="single" w:sz="12" w:space="0" w:color="auto"/>
              <w:bottom w:val="nil"/>
            </w:tcBorders>
            <w:shd w:val="clear" w:color="auto" w:fill="auto"/>
            <w:vAlign w:val="bottom"/>
          </w:tcPr>
          <w:p w:rsidR="00C33110" w:rsidRPr="00812884" w:rsidRDefault="00C33110" w:rsidP="00812884">
            <w:pPr>
              <w:suppressAutoHyphens w:val="0"/>
              <w:spacing w:before="40" w:after="40" w:line="220" w:lineRule="exact"/>
              <w:ind w:right="113"/>
              <w:jc w:val="right"/>
              <w:rPr>
                <w:sz w:val="18"/>
              </w:rPr>
            </w:pPr>
          </w:p>
        </w:tc>
        <w:tc>
          <w:tcPr>
            <w:tcW w:w="1644" w:type="dxa"/>
            <w:tcBorders>
              <w:top w:val="single" w:sz="12" w:space="0" w:color="auto"/>
              <w:bottom w:val="nil"/>
            </w:tcBorders>
            <w:shd w:val="clear" w:color="auto" w:fill="auto"/>
            <w:vAlign w:val="bottom"/>
          </w:tcPr>
          <w:p w:rsidR="00C33110" w:rsidRPr="00812884" w:rsidRDefault="00C33110" w:rsidP="00812884">
            <w:pPr>
              <w:suppressAutoHyphens w:val="0"/>
              <w:spacing w:before="40" w:after="40" w:line="220" w:lineRule="exact"/>
              <w:ind w:right="113"/>
              <w:jc w:val="right"/>
              <w:rPr>
                <w:sz w:val="18"/>
              </w:rPr>
            </w:pPr>
          </w:p>
        </w:tc>
        <w:tc>
          <w:tcPr>
            <w:tcW w:w="1644" w:type="dxa"/>
            <w:tcBorders>
              <w:top w:val="single" w:sz="12" w:space="0" w:color="auto"/>
              <w:bottom w:val="nil"/>
            </w:tcBorders>
            <w:shd w:val="clear" w:color="auto" w:fill="auto"/>
            <w:vAlign w:val="bottom"/>
          </w:tcPr>
          <w:p w:rsidR="00C33110" w:rsidRPr="00812884" w:rsidRDefault="00C33110" w:rsidP="00812884">
            <w:pPr>
              <w:suppressAutoHyphens w:val="0"/>
              <w:spacing w:before="40" w:after="40" w:line="220" w:lineRule="exact"/>
              <w:ind w:right="113"/>
              <w:jc w:val="right"/>
              <w:rPr>
                <w:sz w:val="18"/>
              </w:rPr>
            </w:pPr>
          </w:p>
        </w:tc>
        <w:tc>
          <w:tcPr>
            <w:tcW w:w="1644" w:type="dxa"/>
            <w:tcBorders>
              <w:top w:val="single" w:sz="12" w:space="0" w:color="auto"/>
              <w:bottom w:val="nil"/>
            </w:tcBorders>
            <w:shd w:val="clear" w:color="auto" w:fill="auto"/>
            <w:vAlign w:val="bottom"/>
          </w:tcPr>
          <w:p w:rsidR="00C33110" w:rsidRPr="00812884" w:rsidRDefault="00C33110" w:rsidP="00812884">
            <w:pPr>
              <w:suppressAutoHyphens w:val="0"/>
              <w:spacing w:before="40" w:after="40" w:line="220" w:lineRule="exact"/>
              <w:ind w:right="113"/>
              <w:jc w:val="right"/>
              <w:rPr>
                <w:sz w:val="18"/>
              </w:rPr>
            </w:pPr>
          </w:p>
        </w:tc>
      </w:tr>
      <w:tr w:rsidR="00B66B18" w:rsidRPr="00812884" w:rsidTr="00C33110">
        <w:trPr>
          <w:cantSplit/>
        </w:trPr>
        <w:tc>
          <w:tcPr>
            <w:tcW w:w="1276" w:type="dxa"/>
            <w:tcBorders>
              <w:top w:val="nil"/>
            </w:tcBorders>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ICCPR</w:t>
            </w:r>
          </w:p>
        </w:tc>
        <w:tc>
          <w:tcPr>
            <w:tcW w:w="1162" w:type="dxa"/>
            <w:tcBorders>
              <w:top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43</w:t>
            </w:r>
          </w:p>
        </w:tc>
        <w:tc>
          <w:tcPr>
            <w:tcW w:w="1644" w:type="dxa"/>
            <w:tcBorders>
              <w:top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14 (33%)</w:t>
            </w:r>
          </w:p>
        </w:tc>
        <w:tc>
          <w:tcPr>
            <w:tcW w:w="1644" w:type="dxa"/>
            <w:tcBorders>
              <w:top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11</w:t>
            </w:r>
            <w:r w:rsidR="005119C6">
              <w:rPr>
                <w:sz w:val="18"/>
              </w:rPr>
              <w:t xml:space="preserve"> </w:t>
            </w:r>
            <w:r w:rsidRPr="00812884">
              <w:rPr>
                <w:sz w:val="18"/>
              </w:rPr>
              <w:t>(26%)</w:t>
            </w:r>
          </w:p>
        </w:tc>
        <w:tc>
          <w:tcPr>
            <w:tcW w:w="1644" w:type="dxa"/>
            <w:tcBorders>
              <w:top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18 (42%)</w:t>
            </w:r>
          </w:p>
        </w:tc>
      </w:tr>
      <w:tr w:rsidR="00B66B18" w:rsidRPr="00812884" w:rsidTr="000716A6">
        <w:trPr>
          <w:cantSplit/>
        </w:trPr>
        <w:tc>
          <w:tcPr>
            <w:tcW w:w="1276" w:type="dxa"/>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ICESCR</w:t>
            </w:r>
          </w:p>
        </w:tc>
        <w:tc>
          <w:tcPr>
            <w:tcW w:w="1162"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38</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15 (39%)</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13 (34%)</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10 (26%)</w:t>
            </w:r>
          </w:p>
        </w:tc>
      </w:tr>
      <w:tr w:rsidR="00B66B18" w:rsidRPr="00812884" w:rsidTr="000716A6">
        <w:trPr>
          <w:cantSplit/>
        </w:trPr>
        <w:tc>
          <w:tcPr>
            <w:tcW w:w="1276" w:type="dxa"/>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ICERD</w:t>
            </w:r>
          </w:p>
        </w:tc>
        <w:tc>
          <w:tcPr>
            <w:tcW w:w="1162"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82</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34 (41%)</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21 (25%)</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27 (32%)</w:t>
            </w:r>
          </w:p>
        </w:tc>
      </w:tr>
      <w:tr w:rsidR="00B66B18" w:rsidRPr="00812884" w:rsidTr="000716A6">
        <w:trPr>
          <w:cantSplit/>
        </w:trPr>
        <w:tc>
          <w:tcPr>
            <w:tcW w:w="1276" w:type="dxa"/>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CAT</w:t>
            </w:r>
          </w:p>
        </w:tc>
        <w:tc>
          <w:tcPr>
            <w:tcW w:w="1162"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38</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27 (71%)</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4 (11%)</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7 (18%)</w:t>
            </w:r>
          </w:p>
        </w:tc>
      </w:tr>
      <w:tr w:rsidR="00B66B18" w:rsidRPr="00812884" w:rsidTr="000716A6">
        <w:trPr>
          <w:cantSplit/>
        </w:trPr>
        <w:tc>
          <w:tcPr>
            <w:tcW w:w="1276" w:type="dxa"/>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CEDAW</w:t>
            </w:r>
          </w:p>
        </w:tc>
        <w:tc>
          <w:tcPr>
            <w:tcW w:w="1162"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46</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38 (83%)</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6 (13%)</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2 (4%)</w:t>
            </w:r>
          </w:p>
        </w:tc>
      </w:tr>
      <w:tr w:rsidR="00B66B18" w:rsidRPr="00812884" w:rsidTr="000716A6">
        <w:trPr>
          <w:cantSplit/>
        </w:trPr>
        <w:tc>
          <w:tcPr>
            <w:tcW w:w="1276" w:type="dxa"/>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CRC</w:t>
            </w:r>
          </w:p>
        </w:tc>
        <w:tc>
          <w:tcPr>
            <w:tcW w:w="1162"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40</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22 (55%)</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12 (30%)</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6 (15%)</w:t>
            </w:r>
          </w:p>
        </w:tc>
      </w:tr>
      <w:tr w:rsidR="00B66B18" w:rsidRPr="00812884" w:rsidTr="000716A6">
        <w:trPr>
          <w:cantSplit/>
        </w:trPr>
        <w:tc>
          <w:tcPr>
            <w:tcW w:w="1276" w:type="dxa"/>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OP-CRC-AC</w:t>
            </w:r>
            <w:r w:rsidRPr="009F0B6A">
              <w:rPr>
                <w:i/>
                <w:sz w:val="18"/>
                <w:vertAlign w:val="superscript"/>
              </w:rPr>
              <w:t>a</w:t>
            </w:r>
          </w:p>
        </w:tc>
        <w:tc>
          <w:tcPr>
            <w:tcW w:w="1162"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r>
      <w:tr w:rsidR="00B66B18" w:rsidRPr="00812884" w:rsidTr="000716A6">
        <w:trPr>
          <w:cantSplit/>
        </w:trPr>
        <w:tc>
          <w:tcPr>
            <w:tcW w:w="1276" w:type="dxa"/>
            <w:tcBorders>
              <w:bottom w:val="nil"/>
            </w:tcBorders>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OP-CRC-SC</w:t>
            </w:r>
            <w:r w:rsidRPr="009F0B6A">
              <w:rPr>
                <w:i/>
                <w:sz w:val="18"/>
                <w:vertAlign w:val="superscript"/>
              </w:rPr>
              <w:t>a</w:t>
            </w:r>
          </w:p>
        </w:tc>
        <w:tc>
          <w:tcPr>
            <w:tcW w:w="1162" w:type="dxa"/>
            <w:tcBorders>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r>
      <w:tr w:rsidR="00B66B18" w:rsidRPr="00812884" w:rsidTr="000716A6">
        <w:trPr>
          <w:cantSplit/>
        </w:trPr>
        <w:tc>
          <w:tcPr>
            <w:tcW w:w="1276" w:type="dxa"/>
            <w:tcBorders>
              <w:top w:val="nil"/>
              <w:bottom w:val="nil"/>
            </w:tcBorders>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lastRenderedPageBreak/>
              <w:t>ICRMW</w:t>
            </w:r>
          </w:p>
        </w:tc>
        <w:tc>
          <w:tcPr>
            <w:tcW w:w="1162"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7</w:t>
            </w:r>
          </w:p>
        </w:tc>
        <w:tc>
          <w:tcPr>
            <w:tcW w:w="1644"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5 (71%)</w:t>
            </w:r>
          </w:p>
        </w:tc>
        <w:tc>
          <w:tcPr>
            <w:tcW w:w="1644"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2 (29%)</w:t>
            </w:r>
          </w:p>
        </w:tc>
        <w:tc>
          <w:tcPr>
            <w:tcW w:w="1644"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r>
      <w:tr w:rsidR="00B66B18" w:rsidRPr="00812884" w:rsidTr="000716A6">
        <w:trPr>
          <w:cantSplit/>
        </w:trPr>
        <w:tc>
          <w:tcPr>
            <w:tcW w:w="1276" w:type="dxa"/>
            <w:tcBorders>
              <w:top w:val="nil"/>
              <w:bottom w:val="nil"/>
            </w:tcBorders>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CRPD</w:t>
            </w:r>
          </w:p>
        </w:tc>
        <w:tc>
          <w:tcPr>
            <w:tcW w:w="1162"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5 0</w:t>
            </w:r>
          </w:p>
        </w:tc>
        <w:tc>
          <w:tcPr>
            <w:tcW w:w="1644"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top w:val="nil"/>
              <w:bottom w:val="nil"/>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r>
      <w:tr w:rsidR="00B66B18" w:rsidRPr="00812884" w:rsidTr="00C83E30">
        <w:trPr>
          <w:cantSplit/>
        </w:trPr>
        <w:tc>
          <w:tcPr>
            <w:tcW w:w="1276" w:type="dxa"/>
            <w:tcBorders>
              <w:top w:val="nil"/>
              <w:bottom w:val="single" w:sz="4" w:space="0" w:color="auto"/>
            </w:tcBorders>
            <w:shd w:val="clear" w:color="auto" w:fill="auto"/>
          </w:tcPr>
          <w:p w:rsidR="00B66B18" w:rsidRPr="00812884" w:rsidRDefault="00B66B18" w:rsidP="00812884">
            <w:pPr>
              <w:suppressAutoHyphens w:val="0"/>
              <w:spacing w:before="40" w:after="40" w:line="220" w:lineRule="exact"/>
              <w:ind w:right="113"/>
              <w:rPr>
                <w:sz w:val="18"/>
              </w:rPr>
            </w:pPr>
            <w:r w:rsidRPr="00812884">
              <w:rPr>
                <w:sz w:val="18"/>
              </w:rPr>
              <w:t>ICPPED</w:t>
            </w:r>
            <w:r w:rsidRPr="009F0B6A">
              <w:rPr>
                <w:i/>
                <w:sz w:val="18"/>
                <w:vertAlign w:val="superscript"/>
              </w:rPr>
              <w:t>b</w:t>
            </w:r>
          </w:p>
        </w:tc>
        <w:tc>
          <w:tcPr>
            <w:tcW w:w="1162" w:type="dxa"/>
            <w:tcBorders>
              <w:top w:val="nil"/>
              <w:bottom w:val="single" w:sz="4" w:space="0" w:color="auto"/>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top w:val="nil"/>
              <w:bottom w:val="single" w:sz="4" w:space="0" w:color="auto"/>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top w:val="nil"/>
              <w:bottom w:val="single" w:sz="4" w:space="0" w:color="auto"/>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c>
          <w:tcPr>
            <w:tcW w:w="1644" w:type="dxa"/>
            <w:tcBorders>
              <w:top w:val="nil"/>
              <w:bottom w:val="single" w:sz="4" w:space="0" w:color="auto"/>
            </w:tcBorders>
            <w:shd w:val="clear" w:color="auto" w:fill="auto"/>
            <w:vAlign w:val="bottom"/>
          </w:tcPr>
          <w:p w:rsidR="00B66B18" w:rsidRPr="00812884" w:rsidRDefault="00B66B18" w:rsidP="00812884">
            <w:pPr>
              <w:suppressAutoHyphens w:val="0"/>
              <w:spacing w:before="40" w:after="40" w:line="220" w:lineRule="exact"/>
              <w:ind w:right="113"/>
              <w:jc w:val="right"/>
              <w:rPr>
                <w:sz w:val="18"/>
              </w:rPr>
            </w:pPr>
            <w:r w:rsidRPr="00812884">
              <w:rPr>
                <w:sz w:val="18"/>
              </w:rPr>
              <w:t>0</w:t>
            </w:r>
          </w:p>
        </w:tc>
      </w:tr>
      <w:tr w:rsidR="00B66B18" w:rsidRPr="00812884" w:rsidTr="00C83E30">
        <w:trPr>
          <w:cantSplit/>
        </w:trPr>
        <w:tc>
          <w:tcPr>
            <w:tcW w:w="1276" w:type="dxa"/>
            <w:tcBorders>
              <w:top w:val="single" w:sz="4" w:space="0" w:color="auto"/>
            </w:tcBorders>
            <w:shd w:val="clear" w:color="auto" w:fill="auto"/>
          </w:tcPr>
          <w:p w:rsidR="00B66B18" w:rsidRPr="00C83E30" w:rsidRDefault="00B66B18" w:rsidP="00C83E30">
            <w:pPr>
              <w:suppressAutoHyphens w:val="0"/>
              <w:spacing w:before="80" w:after="80" w:line="220" w:lineRule="exact"/>
              <w:ind w:left="283"/>
              <w:rPr>
                <w:b/>
                <w:sz w:val="18"/>
              </w:rPr>
            </w:pPr>
            <w:r w:rsidRPr="00C83E30">
              <w:rPr>
                <w:b/>
                <w:sz w:val="18"/>
              </w:rPr>
              <w:t>Total</w:t>
            </w:r>
          </w:p>
        </w:tc>
        <w:tc>
          <w:tcPr>
            <w:tcW w:w="1162" w:type="dxa"/>
            <w:tcBorders>
              <w:top w:val="single" w:sz="4" w:space="0" w:color="auto"/>
            </w:tcBorders>
            <w:shd w:val="clear" w:color="auto" w:fill="auto"/>
            <w:vAlign w:val="bottom"/>
          </w:tcPr>
          <w:p w:rsidR="00B66B18" w:rsidRPr="00C83E30" w:rsidRDefault="00B66B18" w:rsidP="00C83E30">
            <w:pPr>
              <w:suppressAutoHyphens w:val="0"/>
              <w:spacing w:before="80" w:after="80" w:line="220" w:lineRule="exact"/>
              <w:ind w:right="113"/>
              <w:jc w:val="right"/>
              <w:rPr>
                <w:b/>
                <w:sz w:val="18"/>
              </w:rPr>
            </w:pPr>
            <w:r w:rsidRPr="00C83E30">
              <w:rPr>
                <w:b/>
                <w:sz w:val="18"/>
              </w:rPr>
              <w:t>294</w:t>
            </w:r>
          </w:p>
        </w:tc>
        <w:tc>
          <w:tcPr>
            <w:tcW w:w="1644" w:type="dxa"/>
            <w:tcBorders>
              <w:top w:val="single" w:sz="4" w:space="0" w:color="auto"/>
            </w:tcBorders>
            <w:shd w:val="clear" w:color="auto" w:fill="auto"/>
            <w:vAlign w:val="bottom"/>
          </w:tcPr>
          <w:p w:rsidR="00B66B18" w:rsidRPr="00C83E30" w:rsidRDefault="00B66B18" w:rsidP="00C83E30">
            <w:pPr>
              <w:suppressAutoHyphens w:val="0"/>
              <w:spacing w:before="80" w:after="80" w:line="220" w:lineRule="exact"/>
              <w:ind w:right="113"/>
              <w:jc w:val="right"/>
              <w:rPr>
                <w:b/>
                <w:sz w:val="18"/>
              </w:rPr>
            </w:pPr>
            <w:r w:rsidRPr="00C83E30">
              <w:rPr>
                <w:b/>
                <w:sz w:val="18"/>
              </w:rPr>
              <w:t>155 (53%)</w:t>
            </w:r>
          </w:p>
        </w:tc>
        <w:tc>
          <w:tcPr>
            <w:tcW w:w="1644" w:type="dxa"/>
            <w:tcBorders>
              <w:top w:val="single" w:sz="4" w:space="0" w:color="auto"/>
            </w:tcBorders>
            <w:shd w:val="clear" w:color="auto" w:fill="auto"/>
            <w:vAlign w:val="bottom"/>
          </w:tcPr>
          <w:p w:rsidR="00B66B18" w:rsidRPr="00C83E30" w:rsidRDefault="00B66B18" w:rsidP="00C83E30">
            <w:pPr>
              <w:suppressAutoHyphens w:val="0"/>
              <w:spacing w:before="80" w:after="80" w:line="220" w:lineRule="exact"/>
              <w:ind w:right="113"/>
              <w:jc w:val="right"/>
              <w:rPr>
                <w:b/>
                <w:sz w:val="18"/>
              </w:rPr>
            </w:pPr>
            <w:r w:rsidRPr="00C83E30">
              <w:rPr>
                <w:b/>
                <w:sz w:val="18"/>
              </w:rPr>
              <w:t>69 (23%)</w:t>
            </w:r>
          </w:p>
        </w:tc>
        <w:tc>
          <w:tcPr>
            <w:tcW w:w="1644" w:type="dxa"/>
            <w:tcBorders>
              <w:top w:val="single" w:sz="4" w:space="0" w:color="auto"/>
            </w:tcBorders>
            <w:shd w:val="clear" w:color="auto" w:fill="auto"/>
            <w:vAlign w:val="bottom"/>
          </w:tcPr>
          <w:p w:rsidR="00B66B18" w:rsidRPr="00C83E30" w:rsidRDefault="00B66B18" w:rsidP="00C83E30">
            <w:pPr>
              <w:suppressAutoHyphens w:val="0"/>
              <w:spacing w:before="80" w:after="80" w:line="220" w:lineRule="exact"/>
              <w:ind w:right="113"/>
              <w:jc w:val="right"/>
              <w:rPr>
                <w:b/>
                <w:sz w:val="18"/>
              </w:rPr>
            </w:pPr>
            <w:r w:rsidRPr="00C83E30">
              <w:rPr>
                <w:b/>
                <w:sz w:val="18"/>
              </w:rPr>
              <w:t>70 (24%)</w:t>
            </w:r>
          </w:p>
        </w:tc>
      </w:tr>
    </w:tbl>
    <w:p w:rsidR="00B66B18" w:rsidRPr="000D0EF4" w:rsidRDefault="00B66B18" w:rsidP="007A7535">
      <w:pPr>
        <w:pStyle w:val="SingleTxtG"/>
        <w:spacing w:before="120" w:after="0"/>
        <w:ind w:firstLine="170"/>
        <w:jc w:val="left"/>
        <w:rPr>
          <w:sz w:val="18"/>
        </w:rPr>
      </w:pPr>
      <w:r w:rsidRPr="007A7535">
        <w:rPr>
          <w:i/>
          <w:sz w:val="18"/>
          <w:vertAlign w:val="superscript"/>
        </w:rPr>
        <w:t>a</w:t>
      </w:r>
      <w:r w:rsidR="00A41919" w:rsidRPr="007A7535">
        <w:rPr>
          <w:sz w:val="18"/>
        </w:rPr>
        <w:t xml:space="preserve"> </w:t>
      </w:r>
      <w:r w:rsidRPr="007A7535">
        <w:rPr>
          <w:sz w:val="18"/>
        </w:rPr>
        <w:t xml:space="preserve">Pursuant to article 12 (2) of the Optional Protocol to the Convention on the Rights of the </w:t>
      </w:r>
      <w:r w:rsidRPr="000D0EF4">
        <w:rPr>
          <w:sz w:val="18"/>
        </w:rPr>
        <w:t>Child on the sale of children, child prostitution and child pornography and article 8 (2) of the Optional Protocol to the Convention on the Rights of the Child on the involvement of children in armed conflict, following the submission of the comprehensive initial report, each State party shall include in the periodic reports submitted to the Committee on the Rights of the Child in</w:t>
      </w:r>
      <w:r w:rsidR="003F11A5" w:rsidRPr="000D0EF4">
        <w:rPr>
          <w:sz w:val="18"/>
        </w:rPr>
        <w:t xml:space="preserve"> </w:t>
      </w:r>
      <w:r w:rsidRPr="000D0EF4">
        <w:rPr>
          <w:sz w:val="18"/>
        </w:rPr>
        <w:t>accordance with article</w:t>
      </w:r>
      <w:r w:rsidR="003F11A5" w:rsidRPr="000D0EF4">
        <w:rPr>
          <w:sz w:val="18"/>
        </w:rPr>
        <w:t xml:space="preserve"> </w:t>
      </w:r>
      <w:r w:rsidRPr="000D0EF4">
        <w:rPr>
          <w:sz w:val="18"/>
        </w:rPr>
        <w:t>44 of the Convention on the Rights of the Child any further information regarding the implementation of the respective protocol.</w:t>
      </w:r>
    </w:p>
    <w:p w:rsidR="00B66B18" w:rsidRPr="000D0EF4" w:rsidRDefault="00B66B18" w:rsidP="000D0EF4">
      <w:pPr>
        <w:pStyle w:val="SingleTxtG"/>
        <w:spacing w:after="0"/>
        <w:ind w:firstLine="170"/>
        <w:jc w:val="left"/>
        <w:rPr>
          <w:sz w:val="18"/>
        </w:rPr>
      </w:pPr>
      <w:r w:rsidRPr="000D0EF4">
        <w:rPr>
          <w:i/>
          <w:sz w:val="18"/>
          <w:vertAlign w:val="superscript"/>
        </w:rPr>
        <w:t>b</w:t>
      </w:r>
      <w:r w:rsidR="00A41919" w:rsidRPr="000D0EF4">
        <w:rPr>
          <w:sz w:val="18"/>
        </w:rPr>
        <w:t xml:space="preserve"> </w:t>
      </w:r>
      <w:r w:rsidRPr="000D0EF4">
        <w:rPr>
          <w:sz w:val="18"/>
        </w:rPr>
        <w:t>Although the International Convention for the Protection of All Persons from Enforced Disappearance does not provide for periodic reports, pursuant to article 29 (4) of the Convention, the Committee on Enforced Disappearances may request States parties to provide additional information on its implementation.</w:t>
      </w:r>
    </w:p>
    <w:p w:rsidR="00513932" w:rsidRPr="00106A43" w:rsidRDefault="00513932">
      <w:pPr>
        <w:spacing w:before="240"/>
        <w:jc w:val="center"/>
        <w:rPr>
          <w:u w:val="single"/>
        </w:rPr>
      </w:pPr>
      <w:r>
        <w:rPr>
          <w:u w:val="single"/>
        </w:rPr>
        <w:tab/>
      </w:r>
      <w:r>
        <w:rPr>
          <w:u w:val="single"/>
        </w:rPr>
        <w:tab/>
      </w:r>
      <w:r>
        <w:rPr>
          <w:u w:val="single"/>
        </w:rPr>
        <w:tab/>
      </w:r>
    </w:p>
    <w:sectPr w:rsidR="00513932" w:rsidRPr="00106A43" w:rsidSect="00C7282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A0" w:rsidRDefault="004A16A0"/>
  </w:endnote>
  <w:endnote w:type="continuationSeparator" w:id="0">
    <w:p w:rsidR="004A16A0" w:rsidRDefault="004A16A0"/>
  </w:endnote>
  <w:endnote w:type="continuationNotice" w:id="1">
    <w:p w:rsidR="004A16A0" w:rsidRDefault="004A1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C72823" w:rsidRDefault="00FC55D4" w:rsidP="00C72823">
    <w:pPr>
      <w:pStyle w:val="Footer"/>
      <w:tabs>
        <w:tab w:val="right" w:pos="9598"/>
      </w:tabs>
    </w:pPr>
    <w:r w:rsidRPr="00C72823">
      <w:rPr>
        <w:b/>
        <w:sz w:val="18"/>
      </w:rPr>
      <w:fldChar w:fldCharType="begin"/>
    </w:r>
    <w:r w:rsidRPr="00C72823">
      <w:rPr>
        <w:b/>
        <w:sz w:val="18"/>
      </w:rPr>
      <w:instrText xml:space="preserve"> PAGE  \* MERGEFORMAT </w:instrText>
    </w:r>
    <w:r w:rsidRPr="00C72823">
      <w:rPr>
        <w:b/>
        <w:sz w:val="18"/>
      </w:rPr>
      <w:fldChar w:fldCharType="separate"/>
    </w:r>
    <w:r w:rsidR="00714C33">
      <w:rPr>
        <w:b/>
        <w:noProof/>
        <w:sz w:val="18"/>
      </w:rPr>
      <w:t>10</w:t>
    </w:r>
    <w:r w:rsidRPr="00C728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C72823" w:rsidRDefault="00FC55D4" w:rsidP="00C72823">
    <w:pPr>
      <w:pStyle w:val="Footer"/>
      <w:tabs>
        <w:tab w:val="right" w:pos="9598"/>
      </w:tabs>
      <w:rPr>
        <w:b/>
        <w:sz w:val="18"/>
      </w:rPr>
    </w:pPr>
    <w:r>
      <w:tab/>
    </w:r>
    <w:r w:rsidRPr="00C72823">
      <w:rPr>
        <w:b/>
        <w:sz w:val="18"/>
      </w:rPr>
      <w:fldChar w:fldCharType="begin"/>
    </w:r>
    <w:r w:rsidRPr="00C72823">
      <w:rPr>
        <w:b/>
        <w:sz w:val="18"/>
      </w:rPr>
      <w:instrText xml:space="preserve"> PAGE  \* MERGEFORMAT </w:instrText>
    </w:r>
    <w:r w:rsidRPr="00C72823">
      <w:rPr>
        <w:b/>
        <w:sz w:val="18"/>
      </w:rPr>
      <w:fldChar w:fldCharType="separate"/>
    </w:r>
    <w:r w:rsidR="00714C33">
      <w:rPr>
        <w:b/>
        <w:noProof/>
        <w:sz w:val="18"/>
      </w:rPr>
      <w:t>9</w:t>
    </w:r>
    <w:r w:rsidRPr="00C728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9A" w:rsidRDefault="000B139A" w:rsidP="000B139A">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B139A" w:rsidRDefault="000B139A" w:rsidP="000B139A">
    <w:pPr>
      <w:pStyle w:val="Footer"/>
      <w:ind w:right="1134"/>
      <w:rPr>
        <w:sz w:val="20"/>
      </w:rPr>
    </w:pPr>
    <w:r>
      <w:rPr>
        <w:sz w:val="20"/>
      </w:rPr>
      <w:t>GE.17-07004(E)</w:t>
    </w:r>
  </w:p>
  <w:p w:rsidR="000B139A" w:rsidRPr="000B139A" w:rsidRDefault="000B139A" w:rsidP="000B13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2" name="Picture 1" descr="https://undocs.org/m2/QRCode.ashx?DS=HRI/MC/20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A0" w:rsidRPr="000B175B" w:rsidRDefault="004A16A0" w:rsidP="000B175B">
      <w:pPr>
        <w:tabs>
          <w:tab w:val="right" w:pos="2155"/>
        </w:tabs>
        <w:spacing w:after="80"/>
        <w:ind w:left="680"/>
        <w:rPr>
          <w:u w:val="single"/>
        </w:rPr>
      </w:pPr>
      <w:r>
        <w:rPr>
          <w:u w:val="single"/>
        </w:rPr>
        <w:tab/>
      </w:r>
    </w:p>
  </w:footnote>
  <w:footnote w:type="continuationSeparator" w:id="0">
    <w:p w:rsidR="004A16A0" w:rsidRPr="00FC68B7" w:rsidRDefault="004A16A0" w:rsidP="00FC68B7">
      <w:pPr>
        <w:tabs>
          <w:tab w:val="left" w:pos="2155"/>
        </w:tabs>
        <w:spacing w:after="80"/>
        <w:ind w:left="680"/>
        <w:rPr>
          <w:u w:val="single"/>
        </w:rPr>
      </w:pPr>
      <w:r>
        <w:rPr>
          <w:u w:val="single"/>
        </w:rPr>
        <w:tab/>
      </w:r>
    </w:p>
  </w:footnote>
  <w:footnote w:type="continuationNotice" w:id="1">
    <w:p w:rsidR="004A16A0" w:rsidRDefault="004A16A0"/>
  </w:footnote>
  <w:footnote w:id="2">
    <w:p w:rsidR="00831FBB" w:rsidRPr="00E80E62" w:rsidRDefault="00831FBB" w:rsidP="00831FBB">
      <w:pPr>
        <w:pStyle w:val="FootnoteText"/>
        <w:rPr>
          <w:lang w:val="en-US"/>
        </w:rPr>
      </w:pPr>
      <w:r>
        <w:rPr>
          <w:rStyle w:val="FootnoteReference"/>
        </w:rPr>
        <w:tab/>
      </w:r>
      <w:r w:rsidRPr="003F0045">
        <w:rPr>
          <w:rStyle w:val="FootnoteReference"/>
          <w:sz w:val="20"/>
          <w:vertAlign w:val="baseline"/>
        </w:rPr>
        <w:t>*</w:t>
      </w:r>
      <w:r>
        <w:rPr>
          <w:rStyle w:val="FootnoteReference"/>
        </w:rPr>
        <w:tab/>
      </w:r>
      <w:r w:rsidRPr="00E80E62">
        <w:rPr>
          <w:color w:val="000000"/>
          <w:szCs w:val="18"/>
          <w:lang w:eastAsia="en-GB"/>
        </w:rPr>
        <w:t xml:space="preserve">The present </w:t>
      </w:r>
      <w:r>
        <w:rPr>
          <w:color w:val="000000"/>
          <w:szCs w:val="18"/>
          <w:lang w:eastAsia="en-GB"/>
        </w:rPr>
        <w:t>document</w:t>
      </w:r>
      <w:r w:rsidRPr="00E80E62">
        <w:rPr>
          <w:color w:val="000000"/>
          <w:szCs w:val="18"/>
          <w:lang w:eastAsia="en-GB"/>
        </w:rPr>
        <w:t xml:space="preserve"> was submitted after the deadline in order to reflect the most recent information</w:t>
      </w:r>
      <w:r>
        <w:rPr>
          <w:color w:val="000000"/>
          <w:szCs w:val="18"/>
          <w:lang w:eastAsia="en-GB"/>
        </w:rPr>
        <w:t>.</w:t>
      </w:r>
    </w:p>
  </w:footnote>
  <w:footnote w:id="3">
    <w:p w:rsidR="00FC55D4" w:rsidRDefault="00FC55D4" w:rsidP="00A51FF2">
      <w:pPr>
        <w:pStyle w:val="FootnoteText"/>
        <w:widowControl w:val="0"/>
        <w:spacing w:after="60"/>
        <w:rPr>
          <w:lang w:val="en-US"/>
        </w:rPr>
      </w:pPr>
      <w:r>
        <w:tab/>
      </w:r>
      <w:r w:rsidRPr="00F47C41">
        <w:rPr>
          <w:rStyle w:val="FootnoteReference"/>
        </w:rPr>
        <w:footnoteRef/>
      </w:r>
      <w:r w:rsidRPr="00F335BD">
        <w:tab/>
      </w:r>
      <w:r>
        <w:rPr>
          <w:lang w:val="en-US"/>
        </w:rPr>
        <w:t>I</w:t>
      </w:r>
      <w:r w:rsidRPr="00AC5953">
        <w:rPr>
          <w:lang w:val="en-US"/>
        </w:rPr>
        <w:t>n tables</w:t>
      </w:r>
      <w:r>
        <w:rPr>
          <w:lang w:val="en-US"/>
        </w:rPr>
        <w:t xml:space="preserve">, the following abbreviations have been used: </w:t>
      </w:r>
    </w:p>
    <w:p w:rsidR="00FC55D4" w:rsidRDefault="00A51FF2" w:rsidP="00A51FF2">
      <w:pPr>
        <w:pStyle w:val="FootnoteText"/>
        <w:widowControl w:val="0"/>
        <w:spacing w:after="60"/>
        <w:rPr>
          <w:szCs w:val="18"/>
        </w:rPr>
      </w:pPr>
      <w:r>
        <w:rPr>
          <w:szCs w:val="18"/>
        </w:rPr>
        <w:tab/>
      </w:r>
      <w:r>
        <w:rPr>
          <w:szCs w:val="18"/>
        </w:rPr>
        <w:tab/>
      </w:r>
      <w:r w:rsidR="00FC55D4" w:rsidRPr="00740B52">
        <w:rPr>
          <w:szCs w:val="18"/>
        </w:rPr>
        <w:t>ICERD</w:t>
      </w:r>
      <w:r>
        <w:rPr>
          <w:szCs w:val="18"/>
        </w:rPr>
        <w:tab/>
      </w:r>
      <w:r w:rsidR="00FC55D4">
        <w:rPr>
          <w:szCs w:val="18"/>
        </w:rPr>
        <w:tab/>
      </w:r>
      <w:r w:rsidR="00FC55D4" w:rsidRPr="00810670">
        <w:rPr>
          <w:szCs w:val="18"/>
        </w:rPr>
        <w:t xml:space="preserve">International Convention on the </w:t>
      </w:r>
      <w:r w:rsidR="00FC55D4" w:rsidRPr="00A51FF2">
        <w:rPr>
          <w:lang w:val="en-US"/>
        </w:rPr>
        <w:t>Elimination</w:t>
      </w:r>
      <w:r w:rsidR="00FC55D4" w:rsidRPr="00810670">
        <w:rPr>
          <w:szCs w:val="18"/>
        </w:rPr>
        <w:t xml:space="preserve"> of All Forms of Racial Discrimination</w:t>
      </w:r>
    </w:p>
    <w:p w:rsidR="00FC55D4" w:rsidRDefault="00FC55D4" w:rsidP="00A51FF2">
      <w:pPr>
        <w:pStyle w:val="FootnoteText"/>
        <w:spacing w:after="60"/>
        <w:ind w:left="2268"/>
        <w:rPr>
          <w:szCs w:val="18"/>
        </w:rPr>
      </w:pPr>
      <w:r w:rsidRPr="00740B52">
        <w:rPr>
          <w:szCs w:val="18"/>
        </w:rPr>
        <w:t>ICESCR</w:t>
      </w:r>
      <w:r>
        <w:rPr>
          <w:szCs w:val="18"/>
        </w:rPr>
        <w:tab/>
      </w:r>
      <w:r w:rsidRPr="001A7F7C">
        <w:t>International Covenant on Economic, Social and Cultural Rights</w:t>
      </w:r>
    </w:p>
    <w:p w:rsidR="00FC55D4" w:rsidRDefault="00FC55D4" w:rsidP="00B66B18">
      <w:pPr>
        <w:pStyle w:val="FootnoteText"/>
        <w:ind w:left="2268"/>
        <w:rPr>
          <w:szCs w:val="18"/>
        </w:rPr>
      </w:pPr>
      <w:r w:rsidRPr="00740B52">
        <w:rPr>
          <w:szCs w:val="18"/>
        </w:rPr>
        <w:t>ICCPR</w:t>
      </w:r>
      <w:r>
        <w:rPr>
          <w:szCs w:val="18"/>
        </w:rPr>
        <w:tab/>
        <w:t>I</w:t>
      </w:r>
      <w:r w:rsidRPr="00810670">
        <w:rPr>
          <w:szCs w:val="18"/>
        </w:rPr>
        <w:t>nternational Covenant on Civil and Political Rights</w:t>
      </w:r>
    </w:p>
    <w:p w:rsidR="00FC55D4" w:rsidRDefault="00FC55D4" w:rsidP="00A51FF2">
      <w:pPr>
        <w:pStyle w:val="FootnoteText"/>
        <w:spacing w:after="60"/>
        <w:ind w:left="2268"/>
        <w:rPr>
          <w:szCs w:val="18"/>
        </w:rPr>
      </w:pPr>
      <w:r w:rsidRPr="00740B52">
        <w:rPr>
          <w:szCs w:val="18"/>
        </w:rPr>
        <w:t>CEDAW</w:t>
      </w:r>
      <w:r>
        <w:rPr>
          <w:szCs w:val="18"/>
        </w:rPr>
        <w:tab/>
        <w:t>Convention</w:t>
      </w:r>
      <w:r w:rsidRPr="00810670">
        <w:rPr>
          <w:szCs w:val="18"/>
        </w:rPr>
        <w:t xml:space="preserve"> on the </w:t>
      </w:r>
      <w:r w:rsidRPr="00A51FF2">
        <w:t>Elimination</w:t>
      </w:r>
      <w:r w:rsidRPr="00810670">
        <w:rPr>
          <w:szCs w:val="18"/>
        </w:rPr>
        <w:t xml:space="preserve"> of </w:t>
      </w:r>
      <w:r>
        <w:rPr>
          <w:szCs w:val="18"/>
        </w:rPr>
        <w:t xml:space="preserve">All Forms of </w:t>
      </w:r>
      <w:r w:rsidRPr="00810670">
        <w:rPr>
          <w:szCs w:val="18"/>
        </w:rPr>
        <w:t>Discrimination against Women</w:t>
      </w:r>
    </w:p>
    <w:p w:rsidR="00FC55D4" w:rsidRDefault="00FC55D4" w:rsidP="00A51FF2">
      <w:pPr>
        <w:pStyle w:val="FootnoteText"/>
        <w:spacing w:after="60"/>
        <w:ind w:left="2268"/>
        <w:rPr>
          <w:szCs w:val="18"/>
        </w:rPr>
      </w:pPr>
      <w:r w:rsidRPr="00740B52">
        <w:rPr>
          <w:szCs w:val="18"/>
        </w:rPr>
        <w:t>CAT</w:t>
      </w:r>
      <w:r>
        <w:rPr>
          <w:rFonts w:ascii="Helvetica" w:hAnsi="Helvetica" w:cs="Helvetica"/>
          <w:color w:val="333333"/>
          <w:sz w:val="21"/>
          <w:szCs w:val="21"/>
          <w:shd w:val="clear" w:color="auto" w:fill="FFFFFF"/>
        </w:rPr>
        <w:tab/>
      </w:r>
      <w:r w:rsidRPr="00810670">
        <w:rPr>
          <w:szCs w:val="18"/>
        </w:rPr>
        <w:t xml:space="preserve">Convention against Torture </w:t>
      </w:r>
      <w:r w:rsidRPr="00A51FF2">
        <w:t>and</w:t>
      </w:r>
      <w:r w:rsidRPr="00810670">
        <w:rPr>
          <w:szCs w:val="18"/>
        </w:rPr>
        <w:t xml:space="preserve"> Other Cruel, Inhuman or Degrading Treatment or Punishment</w:t>
      </w:r>
    </w:p>
    <w:p w:rsidR="00FC55D4" w:rsidRDefault="00FC55D4" w:rsidP="00A51FF2">
      <w:pPr>
        <w:pStyle w:val="FootnoteText"/>
        <w:spacing w:after="60"/>
        <w:ind w:left="2268"/>
        <w:rPr>
          <w:szCs w:val="18"/>
        </w:rPr>
      </w:pPr>
      <w:r w:rsidRPr="00740B52">
        <w:rPr>
          <w:szCs w:val="18"/>
        </w:rPr>
        <w:t>CRC</w:t>
      </w:r>
      <w:r>
        <w:rPr>
          <w:szCs w:val="18"/>
        </w:rPr>
        <w:tab/>
      </w:r>
      <w:r w:rsidRPr="00810670">
        <w:rPr>
          <w:szCs w:val="18"/>
        </w:rPr>
        <w:t xml:space="preserve">Convention on the </w:t>
      </w:r>
      <w:r w:rsidRPr="00A51FF2">
        <w:t>Rights</w:t>
      </w:r>
      <w:r w:rsidRPr="00810670">
        <w:rPr>
          <w:szCs w:val="18"/>
        </w:rPr>
        <w:t xml:space="preserve"> of the Child</w:t>
      </w:r>
    </w:p>
    <w:p w:rsidR="00FC55D4" w:rsidRDefault="00FC55D4" w:rsidP="00A51FF2">
      <w:pPr>
        <w:pStyle w:val="FootnoteText"/>
        <w:spacing w:after="60"/>
        <w:ind w:left="2268"/>
        <w:rPr>
          <w:szCs w:val="18"/>
        </w:rPr>
      </w:pPr>
      <w:r>
        <w:rPr>
          <w:szCs w:val="18"/>
        </w:rPr>
        <w:t>OP-</w:t>
      </w:r>
      <w:r w:rsidRPr="00740B52">
        <w:rPr>
          <w:szCs w:val="18"/>
        </w:rPr>
        <w:t>CRC-SC</w:t>
      </w:r>
      <w:r>
        <w:rPr>
          <w:szCs w:val="18"/>
        </w:rPr>
        <w:tab/>
      </w:r>
      <w:r w:rsidRPr="00810670">
        <w:rPr>
          <w:szCs w:val="18"/>
        </w:rPr>
        <w:t xml:space="preserve">Optional Protocol to </w:t>
      </w:r>
      <w:r>
        <w:rPr>
          <w:szCs w:val="18"/>
        </w:rPr>
        <w:t xml:space="preserve">the </w:t>
      </w:r>
      <w:r w:rsidRPr="00A51FF2">
        <w:t>Convention</w:t>
      </w:r>
      <w:r>
        <w:rPr>
          <w:szCs w:val="18"/>
        </w:rPr>
        <w:t xml:space="preserve"> on the Rights of the Child</w:t>
      </w:r>
      <w:r w:rsidRPr="00810670">
        <w:rPr>
          <w:szCs w:val="18"/>
        </w:rPr>
        <w:t xml:space="preserve"> on the sale of children, child prostitution and child pornography</w:t>
      </w:r>
    </w:p>
    <w:p w:rsidR="00FC55D4" w:rsidRDefault="00FC55D4" w:rsidP="00A51FF2">
      <w:pPr>
        <w:pStyle w:val="FootnoteText"/>
        <w:spacing w:after="60"/>
        <w:ind w:left="2268"/>
        <w:rPr>
          <w:szCs w:val="18"/>
        </w:rPr>
      </w:pPr>
      <w:r>
        <w:rPr>
          <w:szCs w:val="18"/>
        </w:rPr>
        <w:t>OP-</w:t>
      </w:r>
      <w:r w:rsidRPr="00740B52">
        <w:rPr>
          <w:szCs w:val="18"/>
        </w:rPr>
        <w:t>CRC-AC</w:t>
      </w:r>
      <w:r>
        <w:rPr>
          <w:szCs w:val="18"/>
        </w:rPr>
        <w:tab/>
      </w:r>
      <w:r w:rsidRPr="00810670">
        <w:rPr>
          <w:szCs w:val="18"/>
        </w:rPr>
        <w:t xml:space="preserve">Optional Protocol to </w:t>
      </w:r>
      <w:r>
        <w:rPr>
          <w:szCs w:val="18"/>
        </w:rPr>
        <w:t xml:space="preserve">the </w:t>
      </w:r>
      <w:r w:rsidRPr="00A51FF2">
        <w:t>Convention</w:t>
      </w:r>
      <w:r>
        <w:rPr>
          <w:szCs w:val="18"/>
        </w:rPr>
        <w:t xml:space="preserve"> on the Rights of the Child</w:t>
      </w:r>
      <w:r w:rsidRPr="00810670">
        <w:rPr>
          <w:szCs w:val="18"/>
        </w:rPr>
        <w:t xml:space="preserve"> on the involvement of children in </w:t>
      </w:r>
      <w:r w:rsidRPr="00740B52">
        <w:rPr>
          <w:szCs w:val="18"/>
        </w:rPr>
        <w:t>armed conflict</w:t>
      </w:r>
    </w:p>
    <w:p w:rsidR="00FC55D4" w:rsidRDefault="00FC55D4" w:rsidP="00A51FF2">
      <w:pPr>
        <w:pStyle w:val="FootnoteText"/>
        <w:spacing w:after="60"/>
        <w:ind w:left="2268"/>
        <w:rPr>
          <w:szCs w:val="18"/>
        </w:rPr>
      </w:pPr>
      <w:r w:rsidRPr="00740B52">
        <w:rPr>
          <w:szCs w:val="18"/>
        </w:rPr>
        <w:t>ICRMW</w:t>
      </w:r>
      <w:r>
        <w:rPr>
          <w:szCs w:val="18"/>
        </w:rPr>
        <w:tab/>
      </w:r>
      <w:r w:rsidRPr="00810670">
        <w:rPr>
          <w:szCs w:val="18"/>
        </w:rPr>
        <w:t xml:space="preserve">International </w:t>
      </w:r>
      <w:r w:rsidRPr="00A51FF2">
        <w:t>Convention</w:t>
      </w:r>
      <w:r w:rsidRPr="00810670">
        <w:rPr>
          <w:szCs w:val="18"/>
        </w:rPr>
        <w:t xml:space="preserve"> on the Protection of the Rights of All Migrant Workers and Members of Their Families</w:t>
      </w:r>
    </w:p>
    <w:p w:rsidR="00FC55D4" w:rsidRDefault="00FC55D4" w:rsidP="00A51FF2">
      <w:pPr>
        <w:pStyle w:val="FootnoteText"/>
        <w:spacing w:after="60"/>
        <w:ind w:left="2268"/>
        <w:rPr>
          <w:szCs w:val="18"/>
        </w:rPr>
      </w:pPr>
      <w:r w:rsidRPr="00740B52">
        <w:rPr>
          <w:szCs w:val="18"/>
        </w:rPr>
        <w:t>CRPD</w:t>
      </w:r>
      <w:r>
        <w:rPr>
          <w:szCs w:val="18"/>
        </w:rPr>
        <w:tab/>
      </w:r>
      <w:r w:rsidRPr="00740B52">
        <w:rPr>
          <w:szCs w:val="18"/>
        </w:rPr>
        <w:t>Convention on the Rights of Persons with Disabilities</w:t>
      </w:r>
    </w:p>
    <w:p w:rsidR="00FC55D4" w:rsidRPr="00F335BD" w:rsidRDefault="00FC55D4" w:rsidP="00B66B18">
      <w:pPr>
        <w:pStyle w:val="FootnoteText"/>
        <w:ind w:left="2268"/>
      </w:pPr>
      <w:r>
        <w:rPr>
          <w:szCs w:val="18"/>
        </w:rPr>
        <w:t>I</w:t>
      </w:r>
      <w:r w:rsidRPr="00740B52">
        <w:rPr>
          <w:szCs w:val="18"/>
        </w:rPr>
        <w:t>CPPED</w:t>
      </w:r>
      <w:r>
        <w:rPr>
          <w:szCs w:val="18"/>
        </w:rPr>
        <w:tab/>
      </w:r>
      <w:r w:rsidRPr="00740B52">
        <w:rPr>
          <w:szCs w:val="18"/>
        </w:rPr>
        <w:t>International Convention for the Protection of All Persons from Enforced Disappearance.</w:t>
      </w:r>
      <w:r w:rsidRPr="00936BE4">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C72823" w:rsidRDefault="00FC55D4" w:rsidP="00C72823">
    <w:pPr>
      <w:pStyle w:val="Header"/>
    </w:pPr>
    <w:r w:rsidRPr="00C72823">
      <w:t>HRI/MC/2017/2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D4" w:rsidRPr="00C72823" w:rsidRDefault="00FC55D4" w:rsidP="00C72823">
    <w:pPr>
      <w:pStyle w:val="Header"/>
      <w:jc w:val="right"/>
    </w:pPr>
    <w:r w:rsidRPr="00C72823">
      <w:t>HRI/MC/2017/2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D7"/>
    <w:rsid w:val="00000ED7"/>
    <w:rsid w:val="0000168E"/>
    <w:rsid w:val="0001529F"/>
    <w:rsid w:val="00047CD9"/>
    <w:rsid w:val="00050F6B"/>
    <w:rsid w:val="00057E97"/>
    <w:rsid w:val="00060C3A"/>
    <w:rsid w:val="000716A6"/>
    <w:rsid w:val="000726BE"/>
    <w:rsid w:val="00072C8C"/>
    <w:rsid w:val="000733B5"/>
    <w:rsid w:val="00075EF6"/>
    <w:rsid w:val="00081815"/>
    <w:rsid w:val="0008312D"/>
    <w:rsid w:val="0008647E"/>
    <w:rsid w:val="000931C0"/>
    <w:rsid w:val="00095515"/>
    <w:rsid w:val="000A6218"/>
    <w:rsid w:val="000B139A"/>
    <w:rsid w:val="000B13D5"/>
    <w:rsid w:val="000B175B"/>
    <w:rsid w:val="000B3A0F"/>
    <w:rsid w:val="000B4EF7"/>
    <w:rsid w:val="000C26D5"/>
    <w:rsid w:val="000C2C03"/>
    <w:rsid w:val="000C2D2E"/>
    <w:rsid w:val="000C461C"/>
    <w:rsid w:val="000C4C30"/>
    <w:rsid w:val="000D0EF4"/>
    <w:rsid w:val="000E0415"/>
    <w:rsid w:val="000E4473"/>
    <w:rsid w:val="000F1023"/>
    <w:rsid w:val="001103AA"/>
    <w:rsid w:val="001657D0"/>
    <w:rsid w:val="00165F3A"/>
    <w:rsid w:val="00183968"/>
    <w:rsid w:val="001A11B7"/>
    <w:rsid w:val="001A5780"/>
    <w:rsid w:val="001A6686"/>
    <w:rsid w:val="001B4B04"/>
    <w:rsid w:val="001B4E45"/>
    <w:rsid w:val="001C6663"/>
    <w:rsid w:val="001C7895"/>
    <w:rsid w:val="001D0C8C"/>
    <w:rsid w:val="001D12AE"/>
    <w:rsid w:val="001D142B"/>
    <w:rsid w:val="001D26DF"/>
    <w:rsid w:val="001D3776"/>
    <w:rsid w:val="001D3A03"/>
    <w:rsid w:val="001E3A3A"/>
    <w:rsid w:val="001F20C3"/>
    <w:rsid w:val="00202DA8"/>
    <w:rsid w:val="00211E0B"/>
    <w:rsid w:val="0023210C"/>
    <w:rsid w:val="002557F8"/>
    <w:rsid w:val="00267F5F"/>
    <w:rsid w:val="00274608"/>
    <w:rsid w:val="00286B4D"/>
    <w:rsid w:val="002937F7"/>
    <w:rsid w:val="002D75F1"/>
    <w:rsid w:val="002F175C"/>
    <w:rsid w:val="00314242"/>
    <w:rsid w:val="003229D8"/>
    <w:rsid w:val="00352709"/>
    <w:rsid w:val="003635C7"/>
    <w:rsid w:val="00367567"/>
    <w:rsid w:val="00371178"/>
    <w:rsid w:val="00394BB2"/>
    <w:rsid w:val="003A6810"/>
    <w:rsid w:val="003C2CC4"/>
    <w:rsid w:val="003D3599"/>
    <w:rsid w:val="003D4B23"/>
    <w:rsid w:val="003F0045"/>
    <w:rsid w:val="003F11A5"/>
    <w:rsid w:val="003F5C11"/>
    <w:rsid w:val="00410C89"/>
    <w:rsid w:val="0041753B"/>
    <w:rsid w:val="00426B9B"/>
    <w:rsid w:val="004325CB"/>
    <w:rsid w:val="00436B33"/>
    <w:rsid w:val="00442A83"/>
    <w:rsid w:val="0045495B"/>
    <w:rsid w:val="00473512"/>
    <w:rsid w:val="00487488"/>
    <w:rsid w:val="00494317"/>
    <w:rsid w:val="004967B2"/>
    <w:rsid w:val="004A16A0"/>
    <w:rsid w:val="004F0747"/>
    <w:rsid w:val="004F7268"/>
    <w:rsid w:val="005119C6"/>
    <w:rsid w:val="00513932"/>
    <w:rsid w:val="0052136D"/>
    <w:rsid w:val="00525631"/>
    <w:rsid w:val="0052775E"/>
    <w:rsid w:val="005312B4"/>
    <w:rsid w:val="005420F2"/>
    <w:rsid w:val="005628B6"/>
    <w:rsid w:val="005650CE"/>
    <w:rsid w:val="00584036"/>
    <w:rsid w:val="005848B3"/>
    <w:rsid w:val="00584DAE"/>
    <w:rsid w:val="00597051"/>
    <w:rsid w:val="005B3DB3"/>
    <w:rsid w:val="005C430E"/>
    <w:rsid w:val="005F6DD1"/>
    <w:rsid w:val="005F7717"/>
    <w:rsid w:val="005F7B75"/>
    <w:rsid w:val="006001EE"/>
    <w:rsid w:val="00600E2A"/>
    <w:rsid w:val="00605042"/>
    <w:rsid w:val="00611FC4"/>
    <w:rsid w:val="006176FB"/>
    <w:rsid w:val="00632328"/>
    <w:rsid w:val="00640B26"/>
    <w:rsid w:val="00652D0A"/>
    <w:rsid w:val="006624F2"/>
    <w:rsid w:val="00662BB6"/>
    <w:rsid w:val="00684C21"/>
    <w:rsid w:val="0069577F"/>
    <w:rsid w:val="006A4BD3"/>
    <w:rsid w:val="006A5133"/>
    <w:rsid w:val="006A5D24"/>
    <w:rsid w:val="006B3CA9"/>
    <w:rsid w:val="006C5DD3"/>
    <w:rsid w:val="006D37AF"/>
    <w:rsid w:val="006D51D0"/>
    <w:rsid w:val="006E564B"/>
    <w:rsid w:val="006E7191"/>
    <w:rsid w:val="00703577"/>
    <w:rsid w:val="00707AF6"/>
    <w:rsid w:val="00712AA1"/>
    <w:rsid w:val="00714C33"/>
    <w:rsid w:val="0072632A"/>
    <w:rsid w:val="007327D5"/>
    <w:rsid w:val="00733979"/>
    <w:rsid w:val="00754AE5"/>
    <w:rsid w:val="007629C8"/>
    <w:rsid w:val="00780993"/>
    <w:rsid w:val="00782B1B"/>
    <w:rsid w:val="007A51B0"/>
    <w:rsid w:val="007A7535"/>
    <w:rsid w:val="007B4A9C"/>
    <w:rsid w:val="007B6BA5"/>
    <w:rsid w:val="007C3390"/>
    <w:rsid w:val="007C4F4B"/>
    <w:rsid w:val="007C784F"/>
    <w:rsid w:val="007E01B9"/>
    <w:rsid w:val="007E0B2D"/>
    <w:rsid w:val="007F6611"/>
    <w:rsid w:val="00812884"/>
    <w:rsid w:val="008242D7"/>
    <w:rsid w:val="008257B1"/>
    <w:rsid w:val="00831FBB"/>
    <w:rsid w:val="00843767"/>
    <w:rsid w:val="00861D21"/>
    <w:rsid w:val="008679D9"/>
    <w:rsid w:val="00867CBB"/>
    <w:rsid w:val="0087353A"/>
    <w:rsid w:val="00883C4A"/>
    <w:rsid w:val="008979B1"/>
    <w:rsid w:val="008A1DB2"/>
    <w:rsid w:val="008A3120"/>
    <w:rsid w:val="008A6B25"/>
    <w:rsid w:val="008A6C4F"/>
    <w:rsid w:val="008B2335"/>
    <w:rsid w:val="008E0678"/>
    <w:rsid w:val="008E6A73"/>
    <w:rsid w:val="008F7606"/>
    <w:rsid w:val="009024DB"/>
    <w:rsid w:val="00910F40"/>
    <w:rsid w:val="0091168A"/>
    <w:rsid w:val="00912C08"/>
    <w:rsid w:val="009223CA"/>
    <w:rsid w:val="00935479"/>
    <w:rsid w:val="00940F93"/>
    <w:rsid w:val="00950AA4"/>
    <w:rsid w:val="0095347F"/>
    <w:rsid w:val="00967D17"/>
    <w:rsid w:val="009760F3"/>
    <w:rsid w:val="0098746E"/>
    <w:rsid w:val="00987561"/>
    <w:rsid w:val="009909F5"/>
    <w:rsid w:val="0099418B"/>
    <w:rsid w:val="009A0E8D"/>
    <w:rsid w:val="009A4916"/>
    <w:rsid w:val="009B26E7"/>
    <w:rsid w:val="009C0F71"/>
    <w:rsid w:val="009F0B6A"/>
    <w:rsid w:val="00A00A3F"/>
    <w:rsid w:val="00A00E5E"/>
    <w:rsid w:val="00A01489"/>
    <w:rsid w:val="00A030A8"/>
    <w:rsid w:val="00A2046E"/>
    <w:rsid w:val="00A21742"/>
    <w:rsid w:val="00A31B6F"/>
    <w:rsid w:val="00A338F1"/>
    <w:rsid w:val="00A34F50"/>
    <w:rsid w:val="00A36FDF"/>
    <w:rsid w:val="00A404FE"/>
    <w:rsid w:val="00A41919"/>
    <w:rsid w:val="00A512F6"/>
    <w:rsid w:val="00A51FF2"/>
    <w:rsid w:val="00A609B0"/>
    <w:rsid w:val="00A64FD8"/>
    <w:rsid w:val="00A72F22"/>
    <w:rsid w:val="00A7360F"/>
    <w:rsid w:val="00A748A6"/>
    <w:rsid w:val="00A769F4"/>
    <w:rsid w:val="00A776B4"/>
    <w:rsid w:val="00A864AC"/>
    <w:rsid w:val="00A94361"/>
    <w:rsid w:val="00A958AA"/>
    <w:rsid w:val="00AA293C"/>
    <w:rsid w:val="00AB0D18"/>
    <w:rsid w:val="00AB2F36"/>
    <w:rsid w:val="00AC641F"/>
    <w:rsid w:val="00AF59E9"/>
    <w:rsid w:val="00B022B2"/>
    <w:rsid w:val="00B02F06"/>
    <w:rsid w:val="00B13E9B"/>
    <w:rsid w:val="00B166D6"/>
    <w:rsid w:val="00B30179"/>
    <w:rsid w:val="00B30325"/>
    <w:rsid w:val="00B339A7"/>
    <w:rsid w:val="00B55632"/>
    <w:rsid w:val="00B56E4A"/>
    <w:rsid w:val="00B56E9C"/>
    <w:rsid w:val="00B64B1F"/>
    <w:rsid w:val="00B6553F"/>
    <w:rsid w:val="00B66B18"/>
    <w:rsid w:val="00B66E5E"/>
    <w:rsid w:val="00B77D05"/>
    <w:rsid w:val="00B81206"/>
    <w:rsid w:val="00B81E12"/>
    <w:rsid w:val="00B9067B"/>
    <w:rsid w:val="00BB1CB5"/>
    <w:rsid w:val="00BC2C23"/>
    <w:rsid w:val="00BC74E9"/>
    <w:rsid w:val="00BE0C8E"/>
    <w:rsid w:val="00BF5011"/>
    <w:rsid w:val="00BF68A8"/>
    <w:rsid w:val="00C11A03"/>
    <w:rsid w:val="00C31678"/>
    <w:rsid w:val="00C33110"/>
    <w:rsid w:val="00C37F32"/>
    <w:rsid w:val="00C429C5"/>
    <w:rsid w:val="00C463DD"/>
    <w:rsid w:val="00C4724C"/>
    <w:rsid w:val="00C629A0"/>
    <w:rsid w:val="00C72823"/>
    <w:rsid w:val="00C745C3"/>
    <w:rsid w:val="00C74C67"/>
    <w:rsid w:val="00C8355C"/>
    <w:rsid w:val="00C83E30"/>
    <w:rsid w:val="00CC3D81"/>
    <w:rsid w:val="00CE3A23"/>
    <w:rsid w:val="00CE4A8F"/>
    <w:rsid w:val="00CF60E1"/>
    <w:rsid w:val="00D00828"/>
    <w:rsid w:val="00D11A11"/>
    <w:rsid w:val="00D2031B"/>
    <w:rsid w:val="00D25FE2"/>
    <w:rsid w:val="00D35EEF"/>
    <w:rsid w:val="00D41E8D"/>
    <w:rsid w:val="00D43252"/>
    <w:rsid w:val="00D47EEA"/>
    <w:rsid w:val="00D77DC6"/>
    <w:rsid w:val="00D87F85"/>
    <w:rsid w:val="00D95303"/>
    <w:rsid w:val="00D978C6"/>
    <w:rsid w:val="00DA3111"/>
    <w:rsid w:val="00DA3C1C"/>
    <w:rsid w:val="00DB0C79"/>
    <w:rsid w:val="00DC1590"/>
    <w:rsid w:val="00E07185"/>
    <w:rsid w:val="00E27346"/>
    <w:rsid w:val="00E60DF5"/>
    <w:rsid w:val="00E71BC8"/>
    <w:rsid w:val="00E7260F"/>
    <w:rsid w:val="00E779FC"/>
    <w:rsid w:val="00E9639A"/>
    <w:rsid w:val="00E96630"/>
    <w:rsid w:val="00EA4C9B"/>
    <w:rsid w:val="00EB2581"/>
    <w:rsid w:val="00EC6A21"/>
    <w:rsid w:val="00ED7A2A"/>
    <w:rsid w:val="00EF1D7F"/>
    <w:rsid w:val="00F03BAE"/>
    <w:rsid w:val="00F20C3D"/>
    <w:rsid w:val="00F43E9E"/>
    <w:rsid w:val="00F47C41"/>
    <w:rsid w:val="00F7110B"/>
    <w:rsid w:val="00F9057C"/>
    <w:rsid w:val="00F906D7"/>
    <w:rsid w:val="00F92F22"/>
    <w:rsid w:val="00F93781"/>
    <w:rsid w:val="00FB26C5"/>
    <w:rsid w:val="00FB613B"/>
    <w:rsid w:val="00FC55D4"/>
    <w:rsid w:val="00FC68B7"/>
    <w:rsid w:val="00FD2136"/>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 w:val="num" w:pos="360"/>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rsid w:val="00B66B18"/>
    <w:rPr>
      <w:sz w:val="18"/>
      <w:lang w:eastAsia="en-US"/>
    </w:rPr>
  </w:style>
  <w:style w:type="paragraph" w:styleId="BalloonText">
    <w:name w:val="Balloon Text"/>
    <w:basedOn w:val="Normal"/>
    <w:link w:val="BalloonTextChar"/>
    <w:semiHidden/>
    <w:unhideWhenUsed/>
    <w:rsid w:val="0008647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864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 w:val="num" w:pos="360"/>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rsid w:val="00B66B18"/>
    <w:rPr>
      <w:sz w:val="18"/>
      <w:lang w:eastAsia="en-US"/>
    </w:rPr>
  </w:style>
  <w:style w:type="paragraph" w:styleId="BalloonText">
    <w:name w:val="Balloon Text"/>
    <w:basedOn w:val="Normal"/>
    <w:link w:val="BalloonTextChar"/>
    <w:semiHidden/>
    <w:unhideWhenUsed/>
    <w:rsid w:val="0008647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864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A19A62-DDD5-41A7-BD87-8E4903C2C788}"/>
</file>

<file path=customXml/itemProps2.xml><?xml version="1.0" encoding="utf-8"?>
<ds:datastoreItem xmlns:ds="http://schemas.openxmlformats.org/officeDocument/2006/customXml" ds:itemID="{E0EC5B08-1E0E-48EA-B0DA-BAC98279B002}"/>
</file>

<file path=customXml/itemProps3.xml><?xml version="1.0" encoding="utf-8"?>
<ds:datastoreItem xmlns:ds="http://schemas.openxmlformats.org/officeDocument/2006/customXml" ds:itemID="{A4F1C7B5-C9A2-4567-9773-42477EB6DC45}"/>
</file>

<file path=docProps/app.xml><?xml version="1.0" encoding="utf-8"?>
<Properties xmlns="http://schemas.openxmlformats.org/officeDocument/2006/extended-properties" xmlns:vt="http://schemas.openxmlformats.org/officeDocument/2006/docPropsVTypes">
  <Template>HRI.dotm</Template>
  <TotalTime>0</TotalTime>
  <Pages>10</Pages>
  <Words>3544</Words>
  <Characters>20202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1707004</vt:lpstr>
    </vt:vector>
  </TitlesOfParts>
  <Company>CSD</Company>
  <LinksUpToDate>false</LinksUpToDate>
  <CharactersWithSpaces>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1707004</dc:title>
  <dc:subject>HRI/MC/2017/2</dc:subject>
  <dc:creator>Maria Rosario GATMAYTAN</dc:creator>
  <cp:lastModifiedBy>Marie Araksia Gulsadian</cp:lastModifiedBy>
  <cp:revision>2</cp:revision>
  <cp:lastPrinted>2011-07-01T12:27:00Z</cp:lastPrinted>
  <dcterms:created xsi:type="dcterms:W3CDTF">2017-05-09T15:23:00Z</dcterms:created>
  <dcterms:modified xsi:type="dcterms:W3CDTF">2017-05-09T15:23:00Z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