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Layout w:type="fixed"/>
        <w:tblLook w:val="01E0" w:firstRow="1" w:lastRow="1" w:firstColumn="1" w:lastColumn="1" w:noHBand="0" w:noVBand="0"/>
      </w:tblPr>
      <w:tblGrid>
        <w:gridCol w:w="1259"/>
        <w:gridCol w:w="2236"/>
        <w:gridCol w:w="3214"/>
        <w:gridCol w:w="2930"/>
      </w:tblGrid>
      <w:tr w:rsidR="00963CBA" w14:paraId="3757FFEB" w14:textId="77777777" w:rsidTr="00B06FC0">
        <w:trPr>
          <w:trHeight w:val="851"/>
        </w:trPr>
        <w:tc>
          <w:tcPr>
            <w:tcW w:w="1259" w:type="dxa"/>
            <w:tcBorders>
              <w:top w:val="nil"/>
              <w:left w:val="nil"/>
              <w:bottom w:val="single" w:sz="4" w:space="0" w:color="auto"/>
              <w:right w:val="nil"/>
            </w:tcBorders>
          </w:tcPr>
          <w:p w14:paraId="765B1081" w14:textId="33CE3055" w:rsidR="006D2D59" w:rsidRDefault="006D2D59" w:rsidP="00DC1162">
            <w:pPr>
              <w:spacing w:after="80" w:line="340" w:lineRule="exact"/>
            </w:pPr>
          </w:p>
        </w:tc>
        <w:tc>
          <w:tcPr>
            <w:tcW w:w="2236" w:type="dxa"/>
            <w:tcBorders>
              <w:top w:val="nil"/>
              <w:left w:val="nil"/>
              <w:bottom w:val="single" w:sz="4" w:space="0" w:color="auto"/>
              <w:right w:val="nil"/>
            </w:tcBorders>
            <w:vAlign w:val="bottom"/>
          </w:tcPr>
          <w:p w14:paraId="1E951376" w14:textId="315F86CF" w:rsidR="00446DE4" w:rsidRPr="00963CBA" w:rsidRDefault="00446DE4" w:rsidP="00DC1162">
            <w:pPr>
              <w:spacing w:after="80" w:line="340" w:lineRule="exact"/>
              <w:rPr>
                <w:sz w:val="28"/>
                <w:szCs w:val="28"/>
              </w:rPr>
            </w:pPr>
          </w:p>
        </w:tc>
        <w:tc>
          <w:tcPr>
            <w:tcW w:w="6144" w:type="dxa"/>
            <w:gridSpan w:val="2"/>
            <w:tcBorders>
              <w:top w:val="nil"/>
              <w:left w:val="nil"/>
              <w:bottom w:val="single" w:sz="4" w:space="0" w:color="auto"/>
              <w:right w:val="nil"/>
            </w:tcBorders>
            <w:vAlign w:val="bottom"/>
          </w:tcPr>
          <w:p w14:paraId="58184D3D" w14:textId="5626EFF3" w:rsidR="00446DE4" w:rsidRPr="00E53566" w:rsidRDefault="002B66F2" w:rsidP="006E4E16">
            <w:pPr>
              <w:jc w:val="right"/>
            </w:pPr>
            <w:r w:rsidRPr="002B66F2">
              <w:rPr>
                <w:sz w:val="40"/>
              </w:rPr>
              <w:t>HRI</w:t>
            </w:r>
            <w:r>
              <w:t>/MC/201</w:t>
            </w:r>
            <w:r w:rsidR="006E4E16">
              <w:t>9</w:t>
            </w:r>
            <w:r>
              <w:t>/CRP.1</w:t>
            </w:r>
          </w:p>
        </w:tc>
      </w:tr>
      <w:tr w:rsidR="003107FA" w14:paraId="6DA9D241" w14:textId="77777777" w:rsidTr="00B06FC0">
        <w:trPr>
          <w:trHeight w:val="2835"/>
        </w:trPr>
        <w:tc>
          <w:tcPr>
            <w:tcW w:w="1259" w:type="dxa"/>
            <w:tcBorders>
              <w:top w:val="single" w:sz="4" w:space="0" w:color="auto"/>
              <w:left w:val="nil"/>
              <w:bottom w:val="single" w:sz="12" w:space="0" w:color="auto"/>
              <w:right w:val="nil"/>
            </w:tcBorders>
          </w:tcPr>
          <w:p w14:paraId="46019D48" w14:textId="2A80FC65" w:rsidR="003107FA" w:rsidRDefault="003107FA" w:rsidP="00DC1162">
            <w:pPr>
              <w:spacing w:before="120"/>
              <w:jc w:val="center"/>
            </w:pPr>
          </w:p>
        </w:tc>
        <w:tc>
          <w:tcPr>
            <w:tcW w:w="5450" w:type="dxa"/>
            <w:gridSpan w:val="2"/>
            <w:tcBorders>
              <w:top w:val="single" w:sz="4" w:space="0" w:color="auto"/>
              <w:left w:val="nil"/>
              <w:bottom w:val="single" w:sz="12" w:space="0" w:color="auto"/>
              <w:right w:val="nil"/>
            </w:tcBorders>
          </w:tcPr>
          <w:p w14:paraId="46FBB4DD" w14:textId="44DE982E" w:rsidR="003107FA" w:rsidRPr="001C2E97" w:rsidRDefault="003107FA" w:rsidP="00DC1162">
            <w:pPr>
              <w:spacing w:before="120" w:line="380" w:lineRule="exact"/>
              <w:rPr>
                <w:rFonts w:ascii="Times New Roman Bold" w:hAnsi="Times New Roman Bold"/>
                <w:b/>
                <w:sz w:val="34"/>
                <w:szCs w:val="40"/>
              </w:rPr>
            </w:pPr>
          </w:p>
        </w:tc>
        <w:tc>
          <w:tcPr>
            <w:tcW w:w="2930" w:type="dxa"/>
            <w:tcBorders>
              <w:top w:val="single" w:sz="4" w:space="0" w:color="auto"/>
              <w:left w:val="nil"/>
              <w:bottom w:val="single" w:sz="12" w:space="0" w:color="auto"/>
              <w:right w:val="nil"/>
            </w:tcBorders>
          </w:tcPr>
          <w:p w14:paraId="415656BB" w14:textId="3A549814" w:rsidR="003107FA" w:rsidRDefault="002B66F2" w:rsidP="002B66F2">
            <w:pPr>
              <w:spacing w:before="240" w:line="240" w:lineRule="exact"/>
            </w:pPr>
            <w:r>
              <w:t xml:space="preserve">Distr.: </w:t>
            </w:r>
            <w:r w:rsidR="00472645">
              <w:t>General</w:t>
            </w:r>
          </w:p>
          <w:p w14:paraId="284A129C" w14:textId="59774631" w:rsidR="002B66F2" w:rsidRDefault="00C35F24" w:rsidP="002B66F2">
            <w:pPr>
              <w:spacing w:line="240" w:lineRule="exact"/>
            </w:pPr>
            <w:r>
              <w:t>2</w:t>
            </w:r>
            <w:r w:rsidR="00F568FD">
              <w:t>7</w:t>
            </w:r>
            <w:r>
              <w:t xml:space="preserve"> </w:t>
            </w:r>
            <w:r w:rsidR="00B2506C">
              <w:t>March</w:t>
            </w:r>
            <w:r w:rsidR="006E4E16">
              <w:t xml:space="preserve"> 2019</w:t>
            </w:r>
          </w:p>
          <w:p w14:paraId="3CB8B9DF" w14:textId="77777777" w:rsidR="002B66F2" w:rsidRDefault="002B66F2" w:rsidP="002B66F2">
            <w:pPr>
              <w:spacing w:line="240" w:lineRule="exact"/>
            </w:pPr>
          </w:p>
          <w:p w14:paraId="15BF79A1" w14:textId="77743016" w:rsidR="002B66F2" w:rsidRDefault="002B66F2" w:rsidP="002B66F2">
            <w:pPr>
              <w:spacing w:line="240" w:lineRule="exact"/>
            </w:pPr>
            <w:r>
              <w:t>English</w:t>
            </w:r>
            <w:r w:rsidR="004F36D5">
              <w:t xml:space="preserve"> Only</w:t>
            </w:r>
          </w:p>
        </w:tc>
      </w:tr>
    </w:tbl>
    <w:p w14:paraId="26F3ED5E" w14:textId="7EF5726F" w:rsidR="00C2256D" w:rsidRPr="007362BC" w:rsidRDefault="007362BC" w:rsidP="00C2256D">
      <w:pPr>
        <w:spacing w:before="120"/>
        <w:rPr>
          <w:b/>
          <w:sz w:val="24"/>
          <w:szCs w:val="24"/>
        </w:rPr>
      </w:pPr>
      <w:r w:rsidRPr="007362BC">
        <w:rPr>
          <w:b/>
          <w:sz w:val="24"/>
          <w:szCs w:val="24"/>
        </w:rPr>
        <w:t>Thirty-first</w:t>
      </w:r>
      <w:r w:rsidR="00C2256D" w:rsidRPr="007362BC">
        <w:rPr>
          <w:b/>
          <w:sz w:val="24"/>
          <w:szCs w:val="24"/>
        </w:rPr>
        <w:t xml:space="preserve"> meeting of Chairs</w:t>
      </w:r>
      <w:r w:rsidR="00C2256D" w:rsidRPr="007362BC">
        <w:rPr>
          <w:b/>
          <w:sz w:val="24"/>
          <w:szCs w:val="24"/>
        </w:rPr>
        <w:br/>
        <w:t>of the human rights treaty bodies</w:t>
      </w:r>
    </w:p>
    <w:p w14:paraId="76E5FC65" w14:textId="085FE44C" w:rsidR="00C2256D" w:rsidRPr="009B402A" w:rsidRDefault="00C2256D" w:rsidP="00C2256D">
      <w:pPr>
        <w:rPr>
          <w:szCs w:val="24"/>
        </w:rPr>
      </w:pPr>
      <w:r w:rsidRPr="007362BC">
        <w:rPr>
          <w:szCs w:val="24"/>
        </w:rPr>
        <w:t xml:space="preserve">New York, </w:t>
      </w:r>
      <w:r w:rsidR="007362BC" w:rsidRPr="007362BC">
        <w:rPr>
          <w:szCs w:val="24"/>
        </w:rPr>
        <w:t>24-28</w:t>
      </w:r>
      <w:r w:rsidRPr="007362BC">
        <w:rPr>
          <w:szCs w:val="24"/>
        </w:rPr>
        <w:t xml:space="preserve"> June 201</w:t>
      </w:r>
      <w:r w:rsidR="007362BC" w:rsidRPr="007362BC">
        <w:rPr>
          <w:szCs w:val="24"/>
        </w:rPr>
        <w:t>9</w:t>
      </w:r>
    </w:p>
    <w:p w14:paraId="7010B94E" w14:textId="5C82CC8C" w:rsidR="00B06FC0" w:rsidRPr="00EB78A1" w:rsidRDefault="00B06FC0" w:rsidP="00B06FC0">
      <w:pPr>
        <w:rPr>
          <w:bCs/>
        </w:rPr>
      </w:pPr>
      <w:r w:rsidRPr="00EB78A1">
        <w:rPr>
          <w:bCs/>
        </w:rPr>
        <w:t xml:space="preserve">Item </w:t>
      </w:r>
      <w:r w:rsidR="00F568FD" w:rsidRPr="00EB78A1">
        <w:rPr>
          <w:bCs/>
        </w:rPr>
        <w:t>7</w:t>
      </w:r>
      <w:r w:rsidRPr="00EB78A1">
        <w:rPr>
          <w:bCs/>
        </w:rPr>
        <w:t xml:space="preserve"> of the provisional agenda</w:t>
      </w:r>
    </w:p>
    <w:p w14:paraId="4CA1E709" w14:textId="6C6A8E9C" w:rsidR="00B06FC0" w:rsidRPr="00EB78A1" w:rsidRDefault="00EB78A1" w:rsidP="00B06FC0">
      <w:pPr>
        <w:rPr>
          <w:b/>
        </w:rPr>
      </w:pPr>
      <w:r w:rsidRPr="00EB78A1">
        <w:rPr>
          <w:b/>
        </w:rPr>
        <w:t>Progress made in the alignment of working methods</w:t>
      </w:r>
    </w:p>
    <w:p w14:paraId="7A292E4A" w14:textId="59C2850F" w:rsidR="00B06FC0" w:rsidRPr="00EB78A1" w:rsidRDefault="00EB78A1" w:rsidP="00B06FC0">
      <w:pPr>
        <w:rPr>
          <w:b/>
        </w:rPr>
      </w:pPr>
      <w:r w:rsidRPr="00EB78A1">
        <w:rPr>
          <w:b/>
        </w:rPr>
        <w:t>and practices of the treaty bodies, including with regard</w:t>
      </w:r>
    </w:p>
    <w:p w14:paraId="18E1CDE9" w14:textId="2349C55D" w:rsidR="00C2256D" w:rsidRDefault="00EB78A1" w:rsidP="00B06FC0">
      <w:pPr>
        <w:rPr>
          <w:b/>
        </w:rPr>
      </w:pPr>
      <w:r>
        <w:rPr>
          <w:b/>
        </w:rPr>
        <w:t>to the simplified reporting procedure</w:t>
      </w:r>
    </w:p>
    <w:p w14:paraId="29A53565" w14:textId="2505A501" w:rsidR="00B06FC0" w:rsidRDefault="00B06FC0" w:rsidP="00B06FC0">
      <w:pPr>
        <w:pStyle w:val="H1G"/>
        <w:spacing w:before="320"/>
        <w:rPr>
          <w:lang w:val="en-GB"/>
        </w:rPr>
      </w:pPr>
      <w:r>
        <w:rPr>
          <w:sz w:val="28"/>
          <w:lang w:val="en-GB"/>
        </w:rPr>
        <w:tab/>
      </w:r>
      <w:r>
        <w:rPr>
          <w:sz w:val="28"/>
          <w:lang w:val="en-GB"/>
        </w:rPr>
        <w:tab/>
        <w:t xml:space="preserve">Workshop on the </w:t>
      </w:r>
      <w:r w:rsidR="006E4E16">
        <w:rPr>
          <w:sz w:val="28"/>
          <w:lang w:val="en-GB"/>
        </w:rPr>
        <w:t>simplified reporting procedure</w:t>
      </w:r>
      <w:r>
        <w:rPr>
          <w:sz w:val="28"/>
          <w:lang w:val="en-GB"/>
        </w:rPr>
        <w:t xml:space="preserve"> </w:t>
      </w:r>
    </w:p>
    <w:p w14:paraId="41FE1DB0" w14:textId="66346F5E" w:rsidR="00B06FC0" w:rsidRDefault="00B06FC0" w:rsidP="00B06FC0">
      <w:pPr>
        <w:pStyle w:val="H1G"/>
        <w:spacing w:before="320"/>
        <w:rPr>
          <w:lang w:val="en-GB"/>
        </w:rPr>
      </w:pPr>
      <w:r>
        <w:rPr>
          <w:lang w:val="en-GB"/>
        </w:rPr>
        <w:tab/>
      </w:r>
      <w:r>
        <w:rPr>
          <w:lang w:val="en-GB"/>
        </w:rPr>
        <w:tab/>
      </w:r>
      <w:r w:rsidRPr="00B23D65">
        <w:rPr>
          <w:lang w:val="en-GB"/>
        </w:rPr>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33F29" w14:paraId="5772791F" w14:textId="77777777" w:rsidTr="00220960">
        <w:trPr>
          <w:jc w:val="center"/>
        </w:trPr>
        <w:tc>
          <w:tcPr>
            <w:tcW w:w="9637" w:type="dxa"/>
            <w:shd w:val="clear" w:color="auto" w:fill="auto"/>
          </w:tcPr>
          <w:p w14:paraId="4CC5B30B" w14:textId="77777777" w:rsidR="00033F29" w:rsidRPr="00C6263E" w:rsidRDefault="00033F29" w:rsidP="00220960">
            <w:pPr>
              <w:spacing w:before="240" w:after="120"/>
              <w:ind w:left="255"/>
              <w:rPr>
                <w:i/>
                <w:sz w:val="24"/>
              </w:rPr>
            </w:pPr>
            <w:r w:rsidRPr="00C6263E">
              <w:rPr>
                <w:i/>
                <w:sz w:val="24"/>
              </w:rPr>
              <w:t>Summary</w:t>
            </w:r>
          </w:p>
        </w:tc>
      </w:tr>
      <w:tr w:rsidR="00033F29" w14:paraId="7FA0B6E7" w14:textId="77777777" w:rsidTr="00220960">
        <w:trPr>
          <w:jc w:val="center"/>
        </w:trPr>
        <w:tc>
          <w:tcPr>
            <w:tcW w:w="9637" w:type="dxa"/>
            <w:shd w:val="clear" w:color="auto" w:fill="auto"/>
          </w:tcPr>
          <w:p w14:paraId="5D9D8914" w14:textId="5100EE7E" w:rsidR="00033F29" w:rsidRPr="00B2506C" w:rsidRDefault="00033F29" w:rsidP="00B01481">
            <w:pPr>
              <w:pStyle w:val="SingleTxtG"/>
              <w:rPr>
                <w:lang w:val="en-GB"/>
              </w:rPr>
            </w:pPr>
            <w:r w:rsidRPr="00B2506C">
              <w:rPr>
                <w:lang w:val="en-GB"/>
              </w:rPr>
              <w:t xml:space="preserve">As a means of </w:t>
            </w:r>
            <w:r w:rsidR="00B2506C" w:rsidRPr="00B2506C">
              <w:rPr>
                <w:lang w:val="en-GB"/>
              </w:rPr>
              <w:t>aligning working methods and generalising good</w:t>
            </w:r>
            <w:r w:rsidR="00B01481">
              <w:rPr>
                <w:lang w:val="en-GB"/>
              </w:rPr>
              <w:t xml:space="preserve"> practices among the different treaty b</w:t>
            </w:r>
            <w:r w:rsidRPr="00B2506C">
              <w:rPr>
                <w:lang w:val="en-GB"/>
              </w:rPr>
              <w:t xml:space="preserve">odies, pursuant to General Assembly resolution 68/268, a two day workshop was convened by the </w:t>
            </w:r>
            <w:r w:rsidR="00B01481">
              <w:rPr>
                <w:lang w:val="en-GB"/>
              </w:rPr>
              <w:t xml:space="preserve">Human Rights Treaties </w:t>
            </w:r>
            <w:r w:rsidRPr="00B2506C">
              <w:rPr>
                <w:lang w:val="en-GB"/>
              </w:rPr>
              <w:t xml:space="preserve">Branch of OHCHR, in cooperation with the Geneva Academy of International Humanitarian Law and Human Rights on </w:t>
            </w:r>
            <w:r w:rsidR="00B2506C" w:rsidRPr="00B2506C">
              <w:rPr>
                <w:lang w:val="en-GB"/>
              </w:rPr>
              <w:t>10 and 11 December 2018. The present S</w:t>
            </w:r>
            <w:r w:rsidRPr="00B2506C">
              <w:rPr>
                <w:lang w:val="en-GB"/>
              </w:rPr>
              <w:t xml:space="preserve">ecretariat </w:t>
            </w:r>
            <w:r w:rsidR="00B01481">
              <w:rPr>
                <w:lang w:val="en-GB"/>
              </w:rPr>
              <w:t xml:space="preserve">note </w:t>
            </w:r>
            <w:r w:rsidRPr="00B2506C">
              <w:rPr>
                <w:lang w:val="en-GB"/>
              </w:rPr>
              <w:t>provides an overview of key issues discussed during the event.</w:t>
            </w:r>
          </w:p>
        </w:tc>
      </w:tr>
      <w:tr w:rsidR="00033F29" w14:paraId="31DA88F5" w14:textId="77777777" w:rsidTr="00220960">
        <w:trPr>
          <w:jc w:val="center"/>
        </w:trPr>
        <w:tc>
          <w:tcPr>
            <w:tcW w:w="9637" w:type="dxa"/>
            <w:shd w:val="clear" w:color="auto" w:fill="auto"/>
          </w:tcPr>
          <w:p w14:paraId="5395B8AC" w14:textId="77777777" w:rsidR="00033F29" w:rsidRDefault="00033F29" w:rsidP="00220960"/>
        </w:tc>
      </w:tr>
    </w:tbl>
    <w:p w14:paraId="69920A4D" w14:textId="15CD2B8A" w:rsidR="00B06FC0" w:rsidRDefault="00B06FC0" w:rsidP="009B6661">
      <w:pPr>
        <w:rPr>
          <w:b/>
          <w:bCs/>
          <w:sz w:val="28"/>
          <w:szCs w:val="28"/>
        </w:rPr>
      </w:pPr>
    </w:p>
    <w:p w14:paraId="7B0C0387" w14:textId="77777777" w:rsidR="009B6661" w:rsidRDefault="009B6661" w:rsidP="009B6661">
      <w:pPr>
        <w:rPr>
          <w:b/>
          <w:bCs/>
          <w:sz w:val="28"/>
          <w:szCs w:val="28"/>
        </w:rPr>
      </w:pPr>
    </w:p>
    <w:p w14:paraId="72B18ECC" w14:textId="77777777" w:rsidR="003C29A5" w:rsidRDefault="003C29A5" w:rsidP="009B6661">
      <w:pPr>
        <w:rPr>
          <w:b/>
          <w:bCs/>
          <w:sz w:val="28"/>
          <w:szCs w:val="28"/>
        </w:rPr>
      </w:pPr>
    </w:p>
    <w:p w14:paraId="16F04D4E" w14:textId="77777777" w:rsidR="009B6661" w:rsidRDefault="009B6661" w:rsidP="009B6661">
      <w:pPr>
        <w:rPr>
          <w:b/>
          <w:bCs/>
          <w:sz w:val="28"/>
          <w:szCs w:val="28"/>
        </w:rPr>
      </w:pPr>
    </w:p>
    <w:p w14:paraId="1BD2552C" w14:textId="77777777" w:rsidR="009B6661" w:rsidRDefault="009B6661" w:rsidP="009B6661">
      <w:pPr>
        <w:rPr>
          <w:b/>
          <w:bCs/>
          <w:sz w:val="28"/>
          <w:szCs w:val="28"/>
        </w:rPr>
      </w:pPr>
    </w:p>
    <w:p w14:paraId="6F1A366C" w14:textId="77777777" w:rsidR="009B6661" w:rsidRDefault="009B6661" w:rsidP="009B6661">
      <w:pPr>
        <w:rPr>
          <w:b/>
          <w:bCs/>
          <w:sz w:val="28"/>
          <w:szCs w:val="28"/>
        </w:rPr>
      </w:pPr>
    </w:p>
    <w:p w14:paraId="5BA6CB56" w14:textId="77777777" w:rsidR="009B6661" w:rsidRDefault="009B6661" w:rsidP="009B6661">
      <w:pPr>
        <w:rPr>
          <w:b/>
          <w:bCs/>
          <w:sz w:val="28"/>
          <w:szCs w:val="28"/>
        </w:rPr>
      </w:pPr>
    </w:p>
    <w:p w14:paraId="28D3970F" w14:textId="77777777" w:rsidR="009B6661" w:rsidRDefault="009B6661" w:rsidP="009B6661">
      <w:pPr>
        <w:rPr>
          <w:b/>
          <w:bCs/>
          <w:sz w:val="28"/>
          <w:szCs w:val="28"/>
        </w:rPr>
      </w:pPr>
    </w:p>
    <w:p w14:paraId="5856D4BE" w14:textId="77777777" w:rsidR="009B6661" w:rsidRDefault="009B6661" w:rsidP="009B6661">
      <w:pPr>
        <w:rPr>
          <w:b/>
          <w:bCs/>
          <w:sz w:val="28"/>
          <w:szCs w:val="28"/>
        </w:rPr>
      </w:pPr>
    </w:p>
    <w:p w14:paraId="162C6301" w14:textId="77777777" w:rsidR="009B6661" w:rsidRDefault="009B6661" w:rsidP="009B6661">
      <w:pPr>
        <w:rPr>
          <w:b/>
          <w:bCs/>
          <w:sz w:val="28"/>
          <w:szCs w:val="28"/>
        </w:rPr>
      </w:pPr>
    </w:p>
    <w:p w14:paraId="3FDED902" w14:textId="77777777" w:rsidR="009B6661" w:rsidRDefault="009B6661" w:rsidP="009B6661">
      <w:pPr>
        <w:rPr>
          <w:b/>
          <w:bCs/>
          <w:sz w:val="28"/>
          <w:szCs w:val="28"/>
        </w:rPr>
      </w:pPr>
    </w:p>
    <w:p w14:paraId="6337EBAE" w14:textId="77777777" w:rsidR="009B6661" w:rsidRDefault="009B6661" w:rsidP="009B6661">
      <w:pPr>
        <w:rPr>
          <w:b/>
          <w:bCs/>
          <w:sz w:val="28"/>
          <w:szCs w:val="28"/>
        </w:rPr>
      </w:pPr>
    </w:p>
    <w:p w14:paraId="735956C3" w14:textId="4131D66B" w:rsidR="009B6661" w:rsidRDefault="009B6661" w:rsidP="009B6661">
      <w:pPr>
        <w:rPr>
          <w:b/>
          <w:bCs/>
          <w:sz w:val="28"/>
          <w:szCs w:val="28"/>
        </w:rPr>
      </w:pPr>
    </w:p>
    <w:p w14:paraId="2FFB9CD1" w14:textId="77777777" w:rsidR="00C82DF0" w:rsidRDefault="00C82DF0" w:rsidP="009B6661">
      <w:pPr>
        <w:rPr>
          <w:b/>
          <w:bCs/>
          <w:sz w:val="28"/>
          <w:szCs w:val="28"/>
        </w:rPr>
      </w:pPr>
    </w:p>
    <w:p w14:paraId="45626DE7" w14:textId="77777777" w:rsidR="009B6661" w:rsidRDefault="009B6661" w:rsidP="009B6661">
      <w:pPr>
        <w:rPr>
          <w:b/>
          <w:bCs/>
          <w:sz w:val="28"/>
          <w:szCs w:val="28"/>
        </w:rPr>
      </w:pPr>
    </w:p>
    <w:p w14:paraId="22A22E6D" w14:textId="77777777" w:rsidR="00B06FC0" w:rsidRPr="00C01FF0" w:rsidRDefault="00B06FC0" w:rsidP="00033F29">
      <w:pPr>
        <w:pStyle w:val="HChG"/>
        <w:rPr>
          <w:lang w:val="en-GB"/>
        </w:rPr>
      </w:pPr>
      <w:r w:rsidRPr="00C01FF0">
        <w:rPr>
          <w:lang w:val="en-GB"/>
        </w:rPr>
        <w:lastRenderedPageBreak/>
        <w:tab/>
        <w:t>I.</w:t>
      </w:r>
      <w:r w:rsidRPr="00C01FF0">
        <w:rPr>
          <w:lang w:val="en-GB"/>
        </w:rPr>
        <w:tab/>
        <w:t>Introduction</w:t>
      </w:r>
    </w:p>
    <w:p w14:paraId="361E7599" w14:textId="45E3F717" w:rsidR="00C82DF0" w:rsidRDefault="00B03480" w:rsidP="004B2FEB">
      <w:pPr>
        <w:pStyle w:val="SingleTxtG"/>
        <w:rPr>
          <w:rFonts w:eastAsiaTheme="minorEastAsia"/>
          <w:lang w:val="en-GB" w:eastAsia="ja-JP"/>
        </w:rPr>
      </w:pPr>
      <w:r>
        <w:rPr>
          <w:rFonts w:eastAsiaTheme="minorEastAsia"/>
          <w:lang w:val="en-GB" w:eastAsia="ja-JP"/>
        </w:rPr>
        <w:t>1.</w:t>
      </w:r>
      <w:r>
        <w:rPr>
          <w:rFonts w:eastAsiaTheme="minorEastAsia"/>
          <w:lang w:val="en-GB" w:eastAsia="ja-JP"/>
        </w:rPr>
        <w:tab/>
      </w:r>
      <w:r w:rsidR="00C82DF0" w:rsidRPr="00C82DF0">
        <w:rPr>
          <w:rFonts w:eastAsiaTheme="minorEastAsia"/>
          <w:lang w:val="en-GB" w:eastAsia="ja-JP"/>
        </w:rPr>
        <w:t xml:space="preserve">The General Assembly in its resolution 68/268 encourages treaty bodies to offer the simplified reporting procedure </w:t>
      </w:r>
      <w:r w:rsidR="003068CD">
        <w:rPr>
          <w:rFonts w:eastAsiaTheme="minorEastAsia"/>
          <w:lang w:val="en-GB" w:eastAsia="ja-JP"/>
        </w:rPr>
        <w:t xml:space="preserve">(SRP) </w:t>
      </w:r>
      <w:r w:rsidR="00C82DF0" w:rsidRPr="00C82DF0">
        <w:rPr>
          <w:rFonts w:eastAsiaTheme="minorEastAsia"/>
          <w:lang w:val="en-GB" w:eastAsia="ja-JP"/>
        </w:rPr>
        <w:t>to States parties for their consideration and to set a li</w:t>
      </w:r>
      <w:r w:rsidR="003068CD">
        <w:rPr>
          <w:rFonts w:eastAsiaTheme="minorEastAsia"/>
          <w:lang w:val="en-GB" w:eastAsia="ja-JP"/>
        </w:rPr>
        <w:t xml:space="preserve">mit on the number of questions </w:t>
      </w:r>
      <w:r w:rsidR="00C82DF0" w:rsidRPr="00C82DF0">
        <w:rPr>
          <w:rFonts w:eastAsiaTheme="minorEastAsia"/>
          <w:lang w:val="en-GB" w:eastAsia="ja-JP"/>
        </w:rPr>
        <w:t>in the list of issues prior to reporting</w:t>
      </w:r>
      <w:r w:rsidR="003068CD">
        <w:rPr>
          <w:rFonts w:eastAsiaTheme="minorEastAsia"/>
          <w:lang w:val="en-GB" w:eastAsia="ja-JP"/>
        </w:rPr>
        <w:t xml:space="preserve"> (LOIPR</w:t>
      </w:r>
      <w:r w:rsidR="00C82DF0" w:rsidRPr="00C82DF0">
        <w:rPr>
          <w:rFonts w:eastAsiaTheme="minorEastAsia"/>
          <w:lang w:val="en-GB" w:eastAsia="ja-JP"/>
        </w:rPr>
        <w:t xml:space="preserve">) (para. 1). The General Assembly in the same resolution also encourages States parties to consider the possibility of using the </w:t>
      </w:r>
      <w:r w:rsidR="003068CD">
        <w:rPr>
          <w:rFonts w:eastAsiaTheme="minorEastAsia"/>
          <w:lang w:val="en-GB" w:eastAsia="ja-JP"/>
        </w:rPr>
        <w:t>SRP</w:t>
      </w:r>
      <w:r w:rsidR="00C82DF0" w:rsidRPr="00C82DF0">
        <w:rPr>
          <w:rFonts w:eastAsiaTheme="minorEastAsia"/>
          <w:lang w:val="en-GB" w:eastAsia="ja-JP"/>
        </w:rPr>
        <w:t xml:space="preserve"> (para. 2).</w:t>
      </w:r>
    </w:p>
    <w:p w14:paraId="1E90D047" w14:textId="3A908494" w:rsidR="00C82DF0" w:rsidRDefault="00B03480" w:rsidP="004B2FEB">
      <w:pPr>
        <w:pStyle w:val="SingleTxtG"/>
        <w:rPr>
          <w:rFonts w:eastAsiaTheme="minorEastAsia"/>
          <w:lang w:val="en-GB" w:eastAsia="ja-JP"/>
        </w:rPr>
      </w:pPr>
      <w:r>
        <w:rPr>
          <w:rFonts w:eastAsiaTheme="minorEastAsia"/>
          <w:lang w:val="en-GB" w:eastAsia="ja-JP"/>
        </w:rPr>
        <w:t>2.</w:t>
      </w:r>
      <w:r>
        <w:rPr>
          <w:rFonts w:eastAsiaTheme="minorEastAsia"/>
          <w:lang w:val="en-GB" w:eastAsia="ja-JP"/>
        </w:rPr>
        <w:tab/>
      </w:r>
      <w:r w:rsidR="00C82DF0" w:rsidRPr="00C82DF0">
        <w:rPr>
          <w:rFonts w:eastAsiaTheme="minorEastAsia"/>
          <w:lang w:val="en-GB" w:eastAsia="ja-JP"/>
        </w:rPr>
        <w:t xml:space="preserve">Under the standard </w:t>
      </w:r>
      <w:r w:rsidR="003068CD">
        <w:rPr>
          <w:rFonts w:eastAsiaTheme="minorEastAsia"/>
          <w:lang w:val="en-GB" w:eastAsia="ja-JP"/>
        </w:rPr>
        <w:t xml:space="preserve">or regular </w:t>
      </w:r>
      <w:r w:rsidR="00C82DF0" w:rsidRPr="00C82DF0">
        <w:rPr>
          <w:rFonts w:eastAsiaTheme="minorEastAsia"/>
          <w:lang w:val="en-GB" w:eastAsia="ja-JP"/>
        </w:rPr>
        <w:t>reporting procedure</w:t>
      </w:r>
      <w:r w:rsidR="003068CD">
        <w:rPr>
          <w:rFonts w:eastAsiaTheme="minorEastAsia"/>
          <w:lang w:val="en-GB" w:eastAsia="ja-JP"/>
        </w:rPr>
        <w:t xml:space="preserve"> (RRP)</w:t>
      </w:r>
      <w:r w:rsidR="00C82DF0" w:rsidRPr="00C82DF0">
        <w:rPr>
          <w:rFonts w:eastAsiaTheme="minorEastAsia"/>
          <w:lang w:val="en-GB" w:eastAsia="ja-JP"/>
        </w:rPr>
        <w:t xml:space="preserve"> the initiative/obligation for preparation of the report lies with the State party. </w:t>
      </w:r>
      <w:r w:rsidR="008E3CF3">
        <w:rPr>
          <w:rFonts w:eastAsiaTheme="minorEastAsia"/>
          <w:lang w:val="en-GB" w:eastAsia="ja-JP"/>
        </w:rPr>
        <w:t>In general, t</w:t>
      </w:r>
      <w:r w:rsidR="00C82DF0" w:rsidRPr="00C82DF0">
        <w:rPr>
          <w:rFonts w:eastAsiaTheme="minorEastAsia"/>
          <w:lang w:val="en-GB" w:eastAsia="ja-JP"/>
        </w:rPr>
        <w:t xml:space="preserve">hree main documents are exchanged between the State party and the Committee before the interactive dialogue takes place. Namely, the State party report, a list of issues drafted by the Committee and replies by the State to the list of issues. Under the </w:t>
      </w:r>
      <w:r w:rsidR="003068CD">
        <w:rPr>
          <w:rFonts w:eastAsiaTheme="minorEastAsia"/>
          <w:lang w:val="en-GB" w:eastAsia="ja-JP"/>
        </w:rPr>
        <w:t>SRP</w:t>
      </w:r>
      <w:r w:rsidR="00C82DF0" w:rsidRPr="00C82DF0">
        <w:rPr>
          <w:rFonts w:eastAsiaTheme="minorEastAsia"/>
          <w:lang w:val="en-GB" w:eastAsia="ja-JP"/>
        </w:rPr>
        <w:t xml:space="preserve"> it is the Committee that prepares and adopts lists of issues (also known as </w:t>
      </w:r>
      <w:r w:rsidR="003068CD">
        <w:rPr>
          <w:rFonts w:eastAsiaTheme="minorEastAsia"/>
          <w:lang w:val="en-GB" w:eastAsia="ja-JP"/>
        </w:rPr>
        <w:t>LOIPR</w:t>
      </w:r>
      <w:r w:rsidR="00C82DF0" w:rsidRPr="00C82DF0">
        <w:rPr>
          <w:rFonts w:eastAsiaTheme="minorEastAsia"/>
          <w:lang w:val="en-GB" w:eastAsia="ja-JP"/>
        </w:rPr>
        <w:t>) to be transmitted to States parties prior to</w:t>
      </w:r>
      <w:r w:rsidR="00204F07">
        <w:rPr>
          <w:rFonts w:eastAsiaTheme="minorEastAsia"/>
          <w:lang w:val="en-GB" w:eastAsia="ja-JP"/>
        </w:rPr>
        <w:t>, and as a basis for,</w:t>
      </w:r>
      <w:r w:rsidR="00C82DF0" w:rsidRPr="00C82DF0">
        <w:rPr>
          <w:rFonts w:eastAsiaTheme="minorEastAsia"/>
          <w:lang w:val="en-GB" w:eastAsia="ja-JP"/>
        </w:rPr>
        <w:t xml:space="preserve"> the preparation and submission of the State party report. Under the </w:t>
      </w:r>
      <w:r w:rsidR="003068CD">
        <w:rPr>
          <w:rFonts w:eastAsiaTheme="minorEastAsia"/>
          <w:lang w:val="en-GB" w:eastAsia="ja-JP"/>
        </w:rPr>
        <w:t>SRP</w:t>
      </w:r>
      <w:r w:rsidR="00C82DF0" w:rsidRPr="00C82DF0">
        <w:rPr>
          <w:rFonts w:eastAsiaTheme="minorEastAsia"/>
          <w:lang w:val="en-GB" w:eastAsia="ja-JP"/>
        </w:rPr>
        <w:t xml:space="preserve">, two main documents are exchanged between the State party and the Committee before the interactive dialogue, namely, the </w:t>
      </w:r>
      <w:r w:rsidR="003068CD">
        <w:rPr>
          <w:rFonts w:eastAsiaTheme="minorEastAsia"/>
          <w:lang w:val="en-GB" w:eastAsia="ja-JP"/>
        </w:rPr>
        <w:t>LOIPR</w:t>
      </w:r>
      <w:r w:rsidR="00C82DF0" w:rsidRPr="00C82DF0">
        <w:rPr>
          <w:rFonts w:eastAsiaTheme="minorEastAsia"/>
          <w:lang w:val="en-GB" w:eastAsia="ja-JP"/>
        </w:rPr>
        <w:t xml:space="preserve"> drawn by the Committee, with substantive research assistance and support provided by the Secretariat, and the replies by the State which constitute the State party report.</w:t>
      </w:r>
    </w:p>
    <w:p w14:paraId="60DC62DD" w14:textId="5BFD75FF" w:rsidR="00C82DF0" w:rsidRDefault="00B03480" w:rsidP="004B2FEB">
      <w:pPr>
        <w:pStyle w:val="SingleTxtG"/>
        <w:rPr>
          <w:rFonts w:eastAsiaTheme="minorEastAsia"/>
          <w:lang w:val="en-GB" w:eastAsia="ja-JP"/>
        </w:rPr>
      </w:pPr>
      <w:r>
        <w:rPr>
          <w:rFonts w:eastAsiaTheme="minorEastAsia"/>
          <w:lang w:val="en-GB" w:eastAsia="ja-JP"/>
        </w:rPr>
        <w:t>3.</w:t>
      </w:r>
      <w:r>
        <w:rPr>
          <w:rFonts w:eastAsiaTheme="minorEastAsia"/>
          <w:lang w:val="en-GB" w:eastAsia="ja-JP"/>
        </w:rPr>
        <w:tab/>
      </w:r>
      <w:r w:rsidR="00C82DF0" w:rsidRPr="00C82DF0">
        <w:rPr>
          <w:rFonts w:eastAsiaTheme="minorEastAsia"/>
          <w:lang w:val="en-GB" w:eastAsia="ja-JP"/>
        </w:rPr>
        <w:t xml:space="preserve">The </w:t>
      </w:r>
      <w:r w:rsidR="003068CD">
        <w:rPr>
          <w:rFonts w:eastAsiaTheme="minorEastAsia"/>
          <w:lang w:val="en-GB" w:eastAsia="ja-JP"/>
        </w:rPr>
        <w:t>SRP</w:t>
      </w:r>
      <w:r w:rsidR="00C82DF0" w:rsidRPr="00C82DF0">
        <w:rPr>
          <w:rFonts w:eastAsiaTheme="minorEastAsia"/>
          <w:lang w:val="en-GB" w:eastAsia="ja-JP"/>
        </w:rPr>
        <w:t xml:space="preserve"> is meant to assist States parties in preparing and submitting more </w:t>
      </w:r>
      <w:r w:rsidR="00C82DF0">
        <w:rPr>
          <w:rFonts w:eastAsiaTheme="minorEastAsia"/>
          <w:lang w:val="en-GB" w:eastAsia="ja-JP"/>
        </w:rPr>
        <w:t xml:space="preserve">focused reports. </w:t>
      </w:r>
      <w:r w:rsidR="00091AF7">
        <w:rPr>
          <w:rFonts w:eastAsiaTheme="minorEastAsia"/>
          <w:lang w:val="en-GB" w:eastAsia="ja-JP"/>
        </w:rPr>
        <w:t>Eight of ten</w:t>
      </w:r>
      <w:r w:rsidR="00C82DF0">
        <w:rPr>
          <w:rFonts w:eastAsiaTheme="minorEastAsia"/>
          <w:lang w:val="en-GB" w:eastAsia="ja-JP"/>
        </w:rPr>
        <w:t xml:space="preserve"> of the</w:t>
      </w:r>
      <w:r w:rsidR="00C82DF0" w:rsidRPr="00C82DF0">
        <w:rPr>
          <w:rFonts w:eastAsiaTheme="minorEastAsia"/>
          <w:lang w:val="en-GB" w:eastAsia="ja-JP"/>
        </w:rPr>
        <w:t xml:space="preserve"> human rights treaty bodies offer the </w:t>
      </w:r>
      <w:r w:rsidR="003068CD">
        <w:rPr>
          <w:rFonts w:eastAsiaTheme="minorEastAsia"/>
          <w:lang w:val="en-GB" w:eastAsia="ja-JP"/>
        </w:rPr>
        <w:t>SRP</w:t>
      </w:r>
      <w:r w:rsidR="00C82DF0" w:rsidRPr="00C82DF0">
        <w:rPr>
          <w:rFonts w:eastAsiaTheme="minorEastAsia"/>
          <w:lang w:val="en-GB" w:eastAsia="ja-JP"/>
        </w:rPr>
        <w:t>, albeit not in an aligned fashion</w:t>
      </w:r>
      <w:r w:rsidR="00091AF7">
        <w:rPr>
          <w:rFonts w:eastAsiaTheme="minorEastAsia"/>
          <w:lang w:val="en-GB" w:eastAsia="ja-JP"/>
        </w:rPr>
        <w:t>.  T</w:t>
      </w:r>
      <w:r w:rsidR="00C82DF0" w:rsidRPr="00C82DF0">
        <w:rPr>
          <w:rFonts w:eastAsiaTheme="minorEastAsia"/>
          <w:lang w:val="en-GB" w:eastAsia="ja-JP"/>
        </w:rPr>
        <w:t>he Committee on Enforced Disappearances, which does not have a periodic reporting procedure, and the Subcommittee on Prevention of Torture and Other Cruel, Inhuman or Degrading Treatment or Punishment, which does not have a reporting procedure at all</w:t>
      </w:r>
      <w:r w:rsidR="00091AF7">
        <w:rPr>
          <w:rFonts w:eastAsiaTheme="minorEastAsia"/>
          <w:lang w:val="en-GB" w:eastAsia="ja-JP"/>
        </w:rPr>
        <w:t xml:space="preserve"> are not in a position to offer the SRP</w:t>
      </w:r>
      <w:r>
        <w:rPr>
          <w:rFonts w:eastAsiaTheme="minorEastAsia"/>
          <w:lang w:val="en-GB" w:eastAsia="ja-JP"/>
        </w:rPr>
        <w:t>.</w:t>
      </w:r>
    </w:p>
    <w:p w14:paraId="7AD7A35A" w14:textId="39CFA9F0" w:rsidR="00156B1A" w:rsidRDefault="00B03480" w:rsidP="004B2FEB">
      <w:pPr>
        <w:pStyle w:val="SingleTxtG"/>
        <w:rPr>
          <w:rFonts w:eastAsiaTheme="minorEastAsia"/>
          <w:lang w:val="en-GB" w:eastAsia="ja-JP"/>
        </w:rPr>
      </w:pPr>
      <w:r>
        <w:rPr>
          <w:rFonts w:eastAsiaTheme="minorEastAsia"/>
          <w:lang w:val="en-GB" w:eastAsia="ja-JP"/>
        </w:rPr>
        <w:t>4.</w:t>
      </w:r>
      <w:r>
        <w:rPr>
          <w:rFonts w:eastAsiaTheme="minorEastAsia"/>
          <w:lang w:val="en-GB" w:eastAsia="ja-JP"/>
        </w:rPr>
        <w:tab/>
      </w:r>
      <w:r w:rsidR="00C82DF0" w:rsidRPr="00C82DF0">
        <w:rPr>
          <w:rFonts w:eastAsiaTheme="minorEastAsia"/>
          <w:lang w:val="en-GB" w:eastAsia="ja-JP"/>
        </w:rPr>
        <w:t xml:space="preserve">At the 30th meeting of Chairs, the Chairs welcomed the note by the Secretariat on aligning the working methods and practices of the treaty bodies (HRI/MC/2018/3). The Chairs requested the Secretariat to prepare for the 31st annual meeting documents for discussion on possible elements of a common aligned procedure for the </w:t>
      </w:r>
      <w:r w:rsidR="003068CD">
        <w:rPr>
          <w:rFonts w:eastAsiaTheme="minorEastAsia"/>
          <w:lang w:val="en-GB" w:eastAsia="ja-JP"/>
        </w:rPr>
        <w:t>SRP</w:t>
      </w:r>
      <w:r w:rsidR="00C82DF0" w:rsidRPr="00C82DF0">
        <w:rPr>
          <w:rFonts w:eastAsiaTheme="minorEastAsia"/>
          <w:lang w:val="en-GB" w:eastAsia="ja-JP"/>
        </w:rPr>
        <w:t xml:space="preserve"> (A/73/140) with a view of further aligning their working methods and practices.</w:t>
      </w:r>
    </w:p>
    <w:p w14:paraId="70479F9A" w14:textId="19902A94" w:rsidR="00220960" w:rsidRDefault="00B03480" w:rsidP="004B2FEB">
      <w:pPr>
        <w:pStyle w:val="SingleTxtG"/>
        <w:rPr>
          <w:rFonts w:eastAsiaTheme="minorEastAsia"/>
          <w:lang w:val="en-GB" w:eastAsia="ja-JP"/>
        </w:rPr>
      </w:pPr>
      <w:r>
        <w:rPr>
          <w:rFonts w:eastAsiaTheme="minorEastAsia"/>
          <w:lang w:val="en-GB" w:eastAsia="ja-JP"/>
        </w:rPr>
        <w:t>5.</w:t>
      </w:r>
      <w:r>
        <w:rPr>
          <w:rFonts w:eastAsiaTheme="minorEastAsia"/>
          <w:lang w:val="en-GB" w:eastAsia="ja-JP"/>
        </w:rPr>
        <w:tab/>
      </w:r>
      <w:r w:rsidR="00567724">
        <w:rPr>
          <w:rFonts w:eastAsiaTheme="minorEastAsia"/>
          <w:lang w:val="en-GB" w:eastAsia="ja-JP"/>
        </w:rPr>
        <w:t xml:space="preserve">The two-day workshop was convened by the </w:t>
      </w:r>
      <w:r w:rsidR="00B01481">
        <w:rPr>
          <w:rFonts w:eastAsiaTheme="minorEastAsia"/>
          <w:lang w:val="en-GB" w:eastAsia="ja-JP"/>
        </w:rPr>
        <w:t>Human Rights Treaties</w:t>
      </w:r>
      <w:r w:rsidR="00567724">
        <w:rPr>
          <w:rFonts w:eastAsiaTheme="minorEastAsia"/>
          <w:lang w:val="en-GB" w:eastAsia="ja-JP"/>
        </w:rPr>
        <w:t xml:space="preserve"> Branch of </w:t>
      </w:r>
      <w:r w:rsidR="00B01481">
        <w:rPr>
          <w:rFonts w:eastAsiaTheme="minorEastAsia"/>
          <w:lang w:val="en-GB" w:eastAsia="ja-JP"/>
        </w:rPr>
        <w:t>the Office of the High Commissioner for Human Rights (</w:t>
      </w:r>
      <w:r w:rsidR="00567724">
        <w:rPr>
          <w:rFonts w:eastAsiaTheme="minorEastAsia"/>
          <w:lang w:val="en-GB" w:eastAsia="ja-JP"/>
        </w:rPr>
        <w:t>OHCHR</w:t>
      </w:r>
      <w:r w:rsidR="00B01481">
        <w:rPr>
          <w:rFonts w:eastAsiaTheme="minorEastAsia"/>
          <w:lang w:val="en-GB" w:eastAsia="ja-JP"/>
        </w:rPr>
        <w:t>)</w:t>
      </w:r>
      <w:r w:rsidR="00567724">
        <w:rPr>
          <w:rFonts w:eastAsiaTheme="minorEastAsia"/>
          <w:lang w:val="en-GB" w:eastAsia="ja-JP"/>
        </w:rPr>
        <w:t xml:space="preserve">, in cooperation with the Geneva Academy of International Humanitarian Law and Human Rights </w:t>
      </w:r>
      <w:r w:rsidR="003068CD">
        <w:rPr>
          <w:rFonts w:eastAsiaTheme="minorEastAsia"/>
          <w:lang w:val="en-GB" w:eastAsia="ja-JP"/>
        </w:rPr>
        <w:t xml:space="preserve">(Geneva Academy) </w:t>
      </w:r>
      <w:r w:rsidR="00567724">
        <w:rPr>
          <w:rFonts w:eastAsiaTheme="minorEastAsia"/>
          <w:lang w:val="en-GB" w:eastAsia="ja-JP"/>
        </w:rPr>
        <w:t xml:space="preserve">on 10 and 11 December 2018. </w:t>
      </w:r>
      <w:r w:rsidR="00745106" w:rsidRPr="00AD182C">
        <w:rPr>
          <w:lang w:val="en-GB"/>
        </w:rPr>
        <w:t xml:space="preserve">The workshop was made possible thanks to the </w:t>
      </w:r>
      <w:r w:rsidR="00745106">
        <w:rPr>
          <w:lang w:val="en-GB"/>
        </w:rPr>
        <w:t xml:space="preserve">financial </w:t>
      </w:r>
      <w:r w:rsidR="00745106" w:rsidRPr="00AD182C">
        <w:rPr>
          <w:lang w:val="en-GB"/>
        </w:rPr>
        <w:t>support of the Permanent Mission of Germany</w:t>
      </w:r>
      <w:r w:rsidR="00AD182C">
        <w:rPr>
          <w:lang w:val="en-GB"/>
        </w:rPr>
        <w:t>.</w:t>
      </w:r>
      <w:r w:rsidR="00745106">
        <w:rPr>
          <w:rFonts w:eastAsiaTheme="minorEastAsia"/>
          <w:lang w:val="en-GB" w:eastAsia="ja-JP"/>
        </w:rPr>
        <w:t xml:space="preserve"> </w:t>
      </w:r>
      <w:r w:rsidR="00567724">
        <w:rPr>
          <w:rFonts w:eastAsiaTheme="minorEastAsia"/>
          <w:lang w:val="en-GB" w:eastAsia="ja-JP"/>
        </w:rPr>
        <w:t>The closed meeting brought together up to two members from each of the nine treaty bodies that have a reporting procedure</w:t>
      </w:r>
      <w:r w:rsidR="00A87761">
        <w:rPr>
          <w:rFonts w:eastAsiaTheme="minorEastAsia"/>
          <w:lang w:val="en-GB" w:eastAsia="ja-JP"/>
        </w:rPr>
        <w:t xml:space="preserve">, </w:t>
      </w:r>
      <w:r w:rsidR="00AD182C">
        <w:rPr>
          <w:rStyle w:val="FootnoteReference"/>
          <w:rFonts w:eastAsiaTheme="minorEastAsia"/>
          <w:lang w:eastAsia="ja-JP"/>
        </w:rPr>
        <w:footnoteReference w:id="2"/>
      </w:r>
      <w:r w:rsidR="00567724">
        <w:rPr>
          <w:rFonts w:eastAsiaTheme="minorEastAsia"/>
          <w:lang w:val="en-GB" w:eastAsia="ja-JP"/>
        </w:rPr>
        <w:t xml:space="preserve"> along with</w:t>
      </w:r>
      <w:r w:rsidR="00A87761">
        <w:rPr>
          <w:rFonts w:eastAsiaTheme="minorEastAsia"/>
          <w:lang w:val="en-GB" w:eastAsia="ja-JP"/>
        </w:rPr>
        <w:t xml:space="preserve"> OHCHR staff members and a representative from the Geneva Academy</w:t>
      </w:r>
      <w:r>
        <w:rPr>
          <w:rFonts w:eastAsiaTheme="minorEastAsia"/>
          <w:lang w:val="en-GB" w:eastAsia="ja-JP"/>
        </w:rPr>
        <w:t>.</w:t>
      </w:r>
    </w:p>
    <w:p w14:paraId="43E789E8" w14:textId="32AB5205" w:rsidR="00220960" w:rsidRDefault="00B03480" w:rsidP="004B2FEB">
      <w:pPr>
        <w:pStyle w:val="SingleTxtG"/>
        <w:rPr>
          <w:rFonts w:eastAsiaTheme="minorEastAsia"/>
          <w:lang w:val="en-GB" w:eastAsia="ja-JP"/>
        </w:rPr>
      </w:pPr>
      <w:r>
        <w:rPr>
          <w:rFonts w:eastAsiaTheme="minorEastAsia"/>
          <w:lang w:val="en-GB" w:eastAsia="ja-JP"/>
        </w:rPr>
        <w:t>6</w:t>
      </w:r>
      <w:r>
        <w:rPr>
          <w:rFonts w:eastAsiaTheme="minorEastAsia"/>
          <w:lang w:val="en-GB" w:eastAsia="ja-JP"/>
        </w:rPr>
        <w:tab/>
      </w:r>
      <w:r w:rsidR="00220960">
        <w:rPr>
          <w:rFonts w:eastAsiaTheme="minorEastAsia"/>
          <w:lang w:val="en-GB" w:eastAsia="ja-JP"/>
        </w:rPr>
        <w:t xml:space="preserve">A background document, together with nine annexes, was prepared by an external consultant as a means of informing the dialogue. The background document </w:t>
      </w:r>
      <w:r w:rsidR="00FB6616">
        <w:rPr>
          <w:rFonts w:eastAsiaTheme="minorEastAsia"/>
          <w:lang w:val="en-GB" w:eastAsia="ja-JP"/>
        </w:rPr>
        <w:t>and annexes were orally presented to the meeting participants</w:t>
      </w:r>
      <w:r w:rsidR="00AD182C">
        <w:rPr>
          <w:rFonts w:eastAsiaTheme="minorEastAsia"/>
          <w:lang w:val="en-GB" w:eastAsia="ja-JP"/>
        </w:rPr>
        <w:t>, and made available,</w:t>
      </w:r>
      <w:r w:rsidR="00FB6616">
        <w:rPr>
          <w:rFonts w:eastAsiaTheme="minorEastAsia"/>
          <w:lang w:val="en-GB" w:eastAsia="ja-JP"/>
        </w:rPr>
        <w:t xml:space="preserve"> and </w:t>
      </w:r>
      <w:r w:rsidR="00AD182C">
        <w:rPr>
          <w:rFonts w:eastAsiaTheme="minorEastAsia"/>
          <w:lang w:val="en-GB" w:eastAsia="ja-JP"/>
        </w:rPr>
        <w:t xml:space="preserve">also </w:t>
      </w:r>
      <w:r w:rsidR="00136E87">
        <w:rPr>
          <w:rFonts w:eastAsiaTheme="minorEastAsia"/>
          <w:lang w:val="en-GB" w:eastAsia="ja-JP"/>
        </w:rPr>
        <w:t>posted on a dedicated</w:t>
      </w:r>
      <w:r w:rsidR="00136E87" w:rsidRPr="00136E87">
        <w:rPr>
          <w:rFonts w:eastAsiaTheme="minorEastAsia"/>
          <w:lang w:val="en-GB" w:eastAsia="ja-JP"/>
        </w:rPr>
        <w:t xml:space="preserve"> page on the Treaty Body Chai</w:t>
      </w:r>
      <w:r w:rsidR="00091AF7">
        <w:rPr>
          <w:rFonts w:eastAsiaTheme="minorEastAsia"/>
          <w:lang w:val="en-GB" w:eastAsia="ja-JP"/>
        </w:rPr>
        <w:t>r</w:t>
      </w:r>
      <w:r w:rsidR="00136E87" w:rsidRPr="00136E87">
        <w:rPr>
          <w:rFonts w:eastAsiaTheme="minorEastAsia"/>
          <w:lang w:val="en-GB" w:eastAsia="ja-JP"/>
        </w:rPr>
        <w:t>s Extranet</w:t>
      </w:r>
      <w:r w:rsidR="00FB6616">
        <w:rPr>
          <w:rFonts w:eastAsiaTheme="minorEastAsia"/>
          <w:lang w:val="en-GB" w:eastAsia="ja-JP"/>
        </w:rPr>
        <w:t xml:space="preserve"> accessible to all Committee members and HRTB staff.</w:t>
      </w:r>
    </w:p>
    <w:p w14:paraId="4C4D0490" w14:textId="38E23760" w:rsidR="00156B1A" w:rsidRDefault="00B03480" w:rsidP="004B2FEB">
      <w:pPr>
        <w:pStyle w:val="SingleTxtG"/>
        <w:rPr>
          <w:rFonts w:eastAsiaTheme="minorEastAsia"/>
          <w:lang w:val="en-GB" w:eastAsia="ja-JP"/>
        </w:rPr>
      </w:pPr>
      <w:r>
        <w:rPr>
          <w:rFonts w:eastAsiaTheme="minorEastAsia"/>
          <w:lang w:val="en-GB" w:eastAsia="ja-JP"/>
        </w:rPr>
        <w:t>7.</w:t>
      </w:r>
      <w:r>
        <w:rPr>
          <w:rFonts w:eastAsiaTheme="minorEastAsia"/>
          <w:lang w:val="en-GB" w:eastAsia="ja-JP"/>
        </w:rPr>
        <w:tab/>
      </w:r>
      <w:r w:rsidR="00156B1A" w:rsidRPr="00156B1A">
        <w:rPr>
          <w:rFonts w:eastAsiaTheme="minorEastAsia"/>
          <w:lang w:val="en-GB" w:eastAsia="ja-JP"/>
        </w:rPr>
        <w:t xml:space="preserve">The overall objective of the workshop was </w:t>
      </w:r>
      <w:r w:rsidR="00156B1A">
        <w:rPr>
          <w:rFonts w:eastAsiaTheme="minorEastAsia"/>
          <w:lang w:val="en-GB" w:eastAsia="ja-JP"/>
        </w:rPr>
        <w:t>t</w:t>
      </w:r>
      <w:r w:rsidR="00156B1A" w:rsidRPr="00156B1A">
        <w:rPr>
          <w:rFonts w:eastAsiaTheme="minorEastAsia"/>
          <w:lang w:val="en-GB" w:eastAsia="ja-JP"/>
        </w:rPr>
        <w:t xml:space="preserve">o share the experience of those Committees which are already using the </w:t>
      </w:r>
      <w:r w:rsidR="003068CD">
        <w:rPr>
          <w:rFonts w:eastAsiaTheme="minorEastAsia"/>
          <w:lang w:val="en-GB" w:eastAsia="ja-JP"/>
        </w:rPr>
        <w:t>SRP</w:t>
      </w:r>
      <w:r w:rsidR="00156B1A">
        <w:rPr>
          <w:rFonts w:eastAsiaTheme="minorEastAsia"/>
          <w:lang w:val="en-GB" w:eastAsia="ja-JP"/>
        </w:rPr>
        <w:t>, and to i</w:t>
      </w:r>
      <w:r w:rsidR="00156B1A" w:rsidRPr="00156B1A">
        <w:rPr>
          <w:rFonts w:eastAsiaTheme="minorEastAsia"/>
          <w:lang w:val="en-GB" w:eastAsia="ja-JP"/>
        </w:rPr>
        <w:t xml:space="preserve">dentify good practices, and possible elements of a common aligned procedure for the </w:t>
      </w:r>
      <w:r w:rsidR="003068CD">
        <w:rPr>
          <w:rFonts w:eastAsiaTheme="minorEastAsia"/>
          <w:lang w:val="en-GB" w:eastAsia="ja-JP"/>
        </w:rPr>
        <w:t>SRP</w:t>
      </w:r>
      <w:r w:rsidR="00156B1A" w:rsidRPr="00156B1A">
        <w:rPr>
          <w:rFonts w:eastAsiaTheme="minorEastAsia"/>
          <w:lang w:val="en-GB" w:eastAsia="ja-JP"/>
        </w:rPr>
        <w:t xml:space="preserve"> to inform the discussion of the Chairs at the</w:t>
      </w:r>
      <w:r w:rsidR="00FA055D">
        <w:rPr>
          <w:rFonts w:eastAsiaTheme="minorEastAsia"/>
          <w:lang w:val="en-GB" w:eastAsia="ja-JP"/>
        </w:rPr>
        <w:t>ir</w:t>
      </w:r>
      <w:r w:rsidR="00156B1A" w:rsidRPr="00156B1A">
        <w:rPr>
          <w:rFonts w:eastAsiaTheme="minorEastAsia"/>
          <w:lang w:val="en-GB" w:eastAsia="ja-JP"/>
        </w:rPr>
        <w:t xml:space="preserve"> next annual meeting.</w:t>
      </w:r>
      <w:r w:rsidR="00156B1A">
        <w:rPr>
          <w:rFonts w:eastAsiaTheme="minorEastAsia"/>
          <w:lang w:val="en-GB" w:eastAsia="ja-JP"/>
        </w:rPr>
        <w:t xml:space="preserve"> The workshop was Committee member driven with emphasis placed on encouraging free and constructive dialogue and input</w:t>
      </w:r>
      <w:r w:rsidR="00220960">
        <w:rPr>
          <w:rFonts w:eastAsiaTheme="minorEastAsia"/>
          <w:lang w:val="en-GB" w:eastAsia="ja-JP"/>
        </w:rPr>
        <w:t xml:space="preserve">, including </w:t>
      </w:r>
      <w:r w:rsidR="00156B1A">
        <w:rPr>
          <w:rFonts w:eastAsiaTheme="minorEastAsia"/>
          <w:lang w:val="en-GB" w:eastAsia="ja-JP"/>
        </w:rPr>
        <w:t xml:space="preserve">from members of the Secretariat who participated. Discussions were held under the Chatham House </w:t>
      </w:r>
      <w:bookmarkStart w:id="0" w:name="_GoBack"/>
      <w:r w:rsidR="00156B1A">
        <w:rPr>
          <w:rFonts w:eastAsiaTheme="minorEastAsia"/>
          <w:lang w:val="en-GB" w:eastAsia="ja-JP"/>
        </w:rPr>
        <w:t>Rule</w:t>
      </w:r>
      <w:bookmarkEnd w:id="0"/>
      <w:r w:rsidR="00156B1A">
        <w:rPr>
          <w:rFonts w:eastAsiaTheme="minorEastAsia"/>
          <w:lang w:val="en-GB" w:eastAsia="ja-JP"/>
        </w:rPr>
        <w:t>. The</w:t>
      </w:r>
      <w:r w:rsidR="00220960">
        <w:rPr>
          <w:rFonts w:eastAsiaTheme="minorEastAsia"/>
          <w:lang w:val="en-GB" w:eastAsia="ja-JP"/>
        </w:rPr>
        <w:t xml:space="preserve"> different sessions of the</w:t>
      </w:r>
      <w:r w:rsidR="00156B1A">
        <w:rPr>
          <w:rFonts w:eastAsiaTheme="minorEastAsia"/>
          <w:lang w:val="en-GB" w:eastAsia="ja-JP"/>
        </w:rPr>
        <w:t xml:space="preserve"> meeting </w:t>
      </w:r>
      <w:r w:rsidR="00220960">
        <w:rPr>
          <w:rFonts w:eastAsiaTheme="minorEastAsia"/>
          <w:lang w:val="en-GB" w:eastAsia="ja-JP"/>
        </w:rPr>
        <w:t>reflecting the key issues discussed summarised below were moderated by Committee members, including the wrap up of each day’s discussion</w:t>
      </w:r>
      <w:r w:rsidR="00156B1A">
        <w:rPr>
          <w:rFonts w:eastAsiaTheme="minorEastAsia"/>
          <w:lang w:val="en-GB" w:eastAsia="ja-JP"/>
        </w:rPr>
        <w:t>.</w:t>
      </w:r>
      <w:r w:rsidR="00220960">
        <w:rPr>
          <w:rFonts w:eastAsiaTheme="minorEastAsia"/>
          <w:lang w:val="en-GB" w:eastAsia="ja-JP"/>
        </w:rPr>
        <w:t xml:space="preserve"> The </w:t>
      </w:r>
      <w:r w:rsidR="00220960">
        <w:rPr>
          <w:rFonts w:eastAsiaTheme="minorEastAsia"/>
          <w:lang w:val="en-GB" w:eastAsia="ja-JP"/>
        </w:rPr>
        <w:lastRenderedPageBreak/>
        <w:t xml:space="preserve">Chief of the Groups in Focus Section and </w:t>
      </w:r>
      <w:r w:rsidR="00FA055D">
        <w:rPr>
          <w:rFonts w:eastAsiaTheme="minorEastAsia"/>
          <w:lang w:val="en-GB" w:eastAsia="ja-JP"/>
        </w:rPr>
        <w:t>a</w:t>
      </w:r>
      <w:r w:rsidR="00220960">
        <w:rPr>
          <w:rFonts w:eastAsiaTheme="minorEastAsia"/>
          <w:lang w:val="en-GB" w:eastAsia="ja-JP"/>
        </w:rPr>
        <w:t xml:space="preserve"> representative from the Geneva Academy facilitated the meeting.</w:t>
      </w:r>
    </w:p>
    <w:p w14:paraId="4411B0FE" w14:textId="22A17885" w:rsidR="00357CBE" w:rsidRDefault="00B03480" w:rsidP="00357CBE">
      <w:pPr>
        <w:pStyle w:val="SingleTxtG"/>
        <w:rPr>
          <w:rFonts w:eastAsiaTheme="minorEastAsia"/>
          <w:lang w:val="en-GB" w:eastAsia="ja-JP"/>
        </w:rPr>
      </w:pPr>
      <w:r>
        <w:rPr>
          <w:rFonts w:eastAsiaTheme="minorEastAsia"/>
          <w:lang w:val="en-GB" w:eastAsia="ja-JP"/>
        </w:rPr>
        <w:t>8.</w:t>
      </w:r>
      <w:r>
        <w:rPr>
          <w:rFonts w:eastAsiaTheme="minorEastAsia"/>
          <w:lang w:val="en-GB" w:eastAsia="ja-JP"/>
        </w:rPr>
        <w:tab/>
      </w:r>
      <w:r w:rsidR="00357CBE">
        <w:rPr>
          <w:rFonts w:eastAsiaTheme="minorEastAsia"/>
          <w:lang w:val="en-GB" w:eastAsia="ja-JP"/>
        </w:rPr>
        <w:t xml:space="preserve">During the segment on the effective participation of civil society and national human rights institutions </w:t>
      </w:r>
      <w:r w:rsidR="00FA055D">
        <w:rPr>
          <w:rFonts w:eastAsiaTheme="minorEastAsia"/>
          <w:lang w:val="en-GB" w:eastAsia="ja-JP"/>
        </w:rPr>
        <w:t>to be undertaken at an appropriate time</w:t>
      </w:r>
      <w:r w:rsidR="00357CBE">
        <w:rPr>
          <w:rFonts w:eastAsiaTheme="minorEastAsia"/>
          <w:lang w:val="en-GB" w:eastAsia="ja-JP"/>
        </w:rPr>
        <w:t xml:space="preserve"> so that Committees could benefit from the best possible information, the </w:t>
      </w:r>
      <w:r w:rsidR="00FA055D">
        <w:rPr>
          <w:rFonts w:eastAsiaTheme="minorEastAsia"/>
          <w:lang w:val="en-GB" w:eastAsia="ja-JP"/>
        </w:rPr>
        <w:t xml:space="preserve">representative of the </w:t>
      </w:r>
      <w:r w:rsidR="00357CBE">
        <w:rPr>
          <w:rFonts w:eastAsiaTheme="minorEastAsia"/>
          <w:lang w:val="en-GB" w:eastAsia="ja-JP"/>
        </w:rPr>
        <w:t>G</w:t>
      </w:r>
      <w:r w:rsidR="00FA055D">
        <w:rPr>
          <w:rFonts w:eastAsiaTheme="minorEastAsia"/>
          <w:lang w:val="en-GB" w:eastAsia="ja-JP"/>
        </w:rPr>
        <w:t>lobal Alliance of National Human Rights Institutions</w:t>
      </w:r>
      <w:r w:rsidR="00357CBE">
        <w:rPr>
          <w:rFonts w:eastAsiaTheme="minorEastAsia"/>
          <w:lang w:val="en-GB" w:eastAsia="ja-JP"/>
        </w:rPr>
        <w:t xml:space="preserve"> and representatives of non-governmental organisations were invited to interact with the participants.</w:t>
      </w:r>
    </w:p>
    <w:p w14:paraId="611695AA" w14:textId="5D049F06" w:rsidR="00156B1A" w:rsidRPr="00C82DF0" w:rsidRDefault="00B03480" w:rsidP="004B2FEB">
      <w:pPr>
        <w:pStyle w:val="SingleTxtG"/>
        <w:rPr>
          <w:rFonts w:eastAsiaTheme="minorEastAsia"/>
          <w:lang w:val="en-GB" w:eastAsia="ja-JP"/>
        </w:rPr>
      </w:pPr>
      <w:r>
        <w:rPr>
          <w:rFonts w:eastAsiaTheme="minorEastAsia"/>
          <w:lang w:val="en-GB" w:eastAsia="ja-JP"/>
        </w:rPr>
        <w:t>9.</w:t>
      </w:r>
      <w:r>
        <w:rPr>
          <w:rFonts w:eastAsiaTheme="minorEastAsia"/>
          <w:lang w:val="en-GB" w:eastAsia="ja-JP"/>
        </w:rPr>
        <w:tab/>
      </w:r>
      <w:r w:rsidR="00AB64C9">
        <w:rPr>
          <w:rFonts w:eastAsiaTheme="minorEastAsia"/>
          <w:lang w:val="en-GB" w:eastAsia="ja-JP"/>
        </w:rPr>
        <w:t xml:space="preserve">The views expressed by the participants are reflected in the summary below without </w:t>
      </w:r>
      <w:r w:rsidR="00357CBE">
        <w:rPr>
          <w:rFonts w:eastAsiaTheme="minorEastAsia"/>
          <w:lang w:val="en-GB" w:eastAsia="ja-JP"/>
        </w:rPr>
        <w:t>aiming to be</w:t>
      </w:r>
      <w:r w:rsidR="00AB64C9">
        <w:rPr>
          <w:rFonts w:eastAsiaTheme="minorEastAsia"/>
          <w:lang w:val="en-GB" w:eastAsia="ja-JP"/>
        </w:rPr>
        <w:t xml:space="preserve"> exhaustive. </w:t>
      </w:r>
      <w:r w:rsidR="00156B1A">
        <w:rPr>
          <w:rFonts w:eastAsiaTheme="minorEastAsia"/>
          <w:lang w:val="en-GB" w:eastAsia="ja-JP"/>
        </w:rPr>
        <w:t>A number of concrete</w:t>
      </w:r>
      <w:r w:rsidR="00220960">
        <w:rPr>
          <w:rFonts w:eastAsiaTheme="minorEastAsia"/>
          <w:lang w:val="en-GB" w:eastAsia="ja-JP"/>
        </w:rPr>
        <w:t xml:space="preserve"> recommendations were made which are listed at the end of this </w:t>
      </w:r>
      <w:r w:rsidR="00AB64C9">
        <w:rPr>
          <w:rFonts w:eastAsiaTheme="minorEastAsia"/>
          <w:lang w:val="en-GB" w:eastAsia="ja-JP"/>
        </w:rPr>
        <w:t>note</w:t>
      </w:r>
      <w:r w:rsidR="00220960">
        <w:rPr>
          <w:rFonts w:eastAsiaTheme="minorEastAsia"/>
          <w:lang w:val="en-GB" w:eastAsia="ja-JP"/>
        </w:rPr>
        <w:t>.</w:t>
      </w:r>
    </w:p>
    <w:p w14:paraId="0D5D6D47" w14:textId="2CDEEBC0" w:rsidR="00B06FC0" w:rsidRPr="00B90558" w:rsidRDefault="00B06FC0" w:rsidP="00033F29">
      <w:pPr>
        <w:pStyle w:val="HChG"/>
        <w:rPr>
          <w:lang w:val="en-GB"/>
        </w:rPr>
      </w:pPr>
      <w:r w:rsidRPr="006D3C93">
        <w:rPr>
          <w:lang w:val="en-GB"/>
        </w:rPr>
        <w:tab/>
      </w:r>
      <w:r>
        <w:rPr>
          <w:lang w:val="en-GB"/>
        </w:rPr>
        <w:t>I</w:t>
      </w:r>
      <w:r w:rsidRPr="006D3C93">
        <w:rPr>
          <w:lang w:val="en-GB"/>
        </w:rPr>
        <w:t>I.</w:t>
      </w:r>
      <w:r w:rsidRPr="006D3C93">
        <w:rPr>
          <w:lang w:val="en-GB"/>
        </w:rPr>
        <w:tab/>
      </w:r>
      <w:r w:rsidR="00B90558">
        <w:rPr>
          <w:lang w:val="en-GB"/>
        </w:rPr>
        <w:t>Summary of key issues discussed</w:t>
      </w:r>
    </w:p>
    <w:p w14:paraId="5435F3DD" w14:textId="7ECFB0C8" w:rsidR="00B06FC0" w:rsidRPr="00033F29" w:rsidRDefault="00B06FC0" w:rsidP="00033F29">
      <w:pPr>
        <w:pStyle w:val="H1G"/>
        <w:rPr>
          <w:lang w:val="en-GB"/>
        </w:rPr>
      </w:pPr>
      <w:r w:rsidRPr="00C01FF0">
        <w:rPr>
          <w:lang w:val="en-GB"/>
        </w:rPr>
        <w:tab/>
      </w:r>
      <w:r w:rsidR="00990545">
        <w:rPr>
          <w:lang w:val="en-GB"/>
        </w:rPr>
        <w:t>A.</w:t>
      </w:r>
      <w:r w:rsidR="00990545">
        <w:rPr>
          <w:lang w:val="en-GB"/>
        </w:rPr>
        <w:tab/>
      </w:r>
      <w:r w:rsidRPr="00033F29">
        <w:rPr>
          <w:lang w:val="en-GB"/>
        </w:rPr>
        <w:t>General observations</w:t>
      </w:r>
    </w:p>
    <w:p w14:paraId="189A5951" w14:textId="064F13F9" w:rsidR="007C2AD4" w:rsidRDefault="00B03480" w:rsidP="004B2FEB">
      <w:pPr>
        <w:pStyle w:val="SingleTxtG"/>
        <w:rPr>
          <w:rFonts w:eastAsiaTheme="minorEastAsia"/>
          <w:lang w:val="en-GB" w:eastAsia="ja-JP"/>
        </w:rPr>
      </w:pPr>
      <w:r>
        <w:rPr>
          <w:rFonts w:eastAsiaTheme="minorEastAsia"/>
          <w:lang w:val="en-GB" w:eastAsia="ja-JP"/>
        </w:rPr>
        <w:t>10.</w:t>
      </w:r>
      <w:r>
        <w:rPr>
          <w:rFonts w:eastAsiaTheme="minorEastAsia"/>
          <w:lang w:val="en-GB" w:eastAsia="ja-JP"/>
        </w:rPr>
        <w:tab/>
      </w:r>
      <w:r w:rsidR="008477A8">
        <w:rPr>
          <w:rFonts w:eastAsiaTheme="minorEastAsia"/>
          <w:lang w:val="en-GB" w:eastAsia="ja-JP"/>
        </w:rPr>
        <w:t xml:space="preserve">The Director of the Human Rights Council and Treaty Bodies Division </w:t>
      </w:r>
      <w:r w:rsidR="008477A8" w:rsidRPr="008477A8">
        <w:rPr>
          <w:rFonts w:eastAsiaTheme="minorEastAsia"/>
          <w:lang w:val="en-GB" w:eastAsia="ja-JP"/>
        </w:rPr>
        <w:t xml:space="preserve">in </w:t>
      </w:r>
      <w:r w:rsidR="00B01481">
        <w:rPr>
          <w:rFonts w:eastAsiaTheme="minorEastAsia"/>
          <w:lang w:val="en-GB" w:eastAsia="ja-JP"/>
        </w:rPr>
        <w:t xml:space="preserve">his </w:t>
      </w:r>
      <w:r w:rsidR="008477A8" w:rsidRPr="008477A8">
        <w:rPr>
          <w:rFonts w:eastAsiaTheme="minorEastAsia"/>
          <w:lang w:val="en-GB" w:eastAsia="ja-JP"/>
        </w:rPr>
        <w:t xml:space="preserve">opening remarks asked the participants to think about ways to make </w:t>
      </w:r>
      <w:r w:rsidR="008477A8">
        <w:rPr>
          <w:rFonts w:eastAsiaTheme="minorEastAsia"/>
          <w:lang w:val="en-GB" w:eastAsia="ja-JP"/>
        </w:rPr>
        <w:t xml:space="preserve">the </w:t>
      </w:r>
      <w:r w:rsidR="008477A8" w:rsidRPr="008477A8">
        <w:rPr>
          <w:rFonts w:eastAsiaTheme="minorEastAsia"/>
          <w:lang w:val="en-GB" w:eastAsia="ja-JP"/>
        </w:rPr>
        <w:t>work of treaty bodies more visible and ensure that the information and processes are more accessible to the victims of human rights violations.</w:t>
      </w:r>
      <w:r w:rsidR="008477A8">
        <w:rPr>
          <w:rFonts w:eastAsiaTheme="minorEastAsia"/>
          <w:lang w:val="en-GB" w:eastAsia="ja-JP"/>
        </w:rPr>
        <w:t xml:space="preserve"> He e</w:t>
      </w:r>
      <w:r w:rsidR="008477A8" w:rsidRPr="008477A8">
        <w:rPr>
          <w:rFonts w:eastAsiaTheme="minorEastAsia"/>
          <w:lang w:val="en-GB" w:eastAsia="ja-JP"/>
        </w:rPr>
        <w:t>ncouraged participants to think about ways to simplify the reporting procedures for the States</w:t>
      </w:r>
      <w:r w:rsidR="00840566">
        <w:rPr>
          <w:rFonts w:eastAsiaTheme="minorEastAsia"/>
          <w:lang w:val="en-GB" w:eastAsia="ja-JP"/>
        </w:rPr>
        <w:t>.  B</w:t>
      </w:r>
      <w:r w:rsidR="008477A8" w:rsidRPr="008477A8">
        <w:rPr>
          <w:rFonts w:eastAsiaTheme="minorEastAsia"/>
          <w:lang w:val="en-GB" w:eastAsia="ja-JP"/>
        </w:rPr>
        <w:t xml:space="preserve">ut </w:t>
      </w:r>
      <w:r w:rsidR="00840566">
        <w:rPr>
          <w:rFonts w:eastAsiaTheme="minorEastAsia"/>
          <w:lang w:val="en-GB" w:eastAsia="ja-JP"/>
        </w:rPr>
        <w:t xml:space="preserve">also asked to </w:t>
      </w:r>
      <w:r w:rsidR="008477A8" w:rsidRPr="008477A8">
        <w:rPr>
          <w:rFonts w:eastAsiaTheme="minorEastAsia"/>
          <w:lang w:val="en-GB" w:eastAsia="ja-JP"/>
        </w:rPr>
        <w:t>think of the stakeholde</w:t>
      </w:r>
      <w:r w:rsidR="003068CD">
        <w:rPr>
          <w:rFonts w:eastAsiaTheme="minorEastAsia"/>
          <w:lang w:val="en-GB" w:eastAsia="ja-JP"/>
        </w:rPr>
        <w:t>rs who engage with the</w:t>
      </w:r>
      <w:r w:rsidR="008477A8">
        <w:rPr>
          <w:rFonts w:eastAsiaTheme="minorEastAsia"/>
          <w:lang w:val="en-GB" w:eastAsia="ja-JP"/>
        </w:rPr>
        <w:t xml:space="preserve"> different Committees and how they can submit their contributions</w:t>
      </w:r>
      <w:r w:rsidR="00840566">
        <w:rPr>
          <w:rFonts w:eastAsiaTheme="minorEastAsia"/>
          <w:lang w:val="en-GB" w:eastAsia="ja-JP"/>
        </w:rPr>
        <w:t xml:space="preserve">.  This could be done </w:t>
      </w:r>
      <w:r w:rsidR="008477A8" w:rsidRPr="008477A8">
        <w:rPr>
          <w:rFonts w:eastAsiaTheme="minorEastAsia"/>
          <w:lang w:val="en-GB" w:eastAsia="ja-JP"/>
        </w:rPr>
        <w:t>by drawing on</w:t>
      </w:r>
      <w:r w:rsidR="008477A8">
        <w:rPr>
          <w:rFonts w:eastAsiaTheme="minorEastAsia"/>
          <w:lang w:val="en-GB" w:eastAsia="ja-JP"/>
        </w:rPr>
        <w:t xml:space="preserve"> the</w:t>
      </w:r>
      <w:r w:rsidR="008477A8" w:rsidRPr="008477A8">
        <w:rPr>
          <w:rFonts w:eastAsiaTheme="minorEastAsia"/>
          <w:lang w:val="en-GB" w:eastAsia="ja-JP"/>
        </w:rPr>
        <w:t xml:space="preserve"> best practices and experience of those Committees wh</w:t>
      </w:r>
      <w:r w:rsidR="00840566">
        <w:rPr>
          <w:rFonts w:eastAsiaTheme="minorEastAsia"/>
          <w:lang w:val="en-GB" w:eastAsia="ja-JP"/>
        </w:rPr>
        <w:t>ich</w:t>
      </w:r>
      <w:r w:rsidR="008477A8" w:rsidRPr="008477A8">
        <w:rPr>
          <w:rFonts w:eastAsiaTheme="minorEastAsia"/>
          <w:lang w:val="en-GB" w:eastAsia="ja-JP"/>
        </w:rPr>
        <w:t xml:space="preserve"> are already using </w:t>
      </w:r>
      <w:r w:rsidR="008477A8">
        <w:rPr>
          <w:rFonts w:eastAsiaTheme="minorEastAsia"/>
          <w:lang w:val="en-GB" w:eastAsia="ja-JP"/>
        </w:rPr>
        <w:t xml:space="preserve">the </w:t>
      </w:r>
      <w:r w:rsidR="003068CD">
        <w:rPr>
          <w:rFonts w:eastAsiaTheme="minorEastAsia"/>
          <w:lang w:val="en-GB" w:eastAsia="ja-JP"/>
        </w:rPr>
        <w:t>SRP</w:t>
      </w:r>
      <w:r w:rsidR="008477A8" w:rsidRPr="008477A8">
        <w:rPr>
          <w:rFonts w:eastAsiaTheme="minorEastAsia"/>
          <w:lang w:val="en-GB" w:eastAsia="ja-JP"/>
        </w:rPr>
        <w:t>.</w:t>
      </w:r>
    </w:p>
    <w:p w14:paraId="69216787" w14:textId="0F6664D4" w:rsidR="00C26398" w:rsidRPr="007C2AD4" w:rsidRDefault="00B03480" w:rsidP="004B2FEB">
      <w:pPr>
        <w:pStyle w:val="SingleTxtG"/>
        <w:rPr>
          <w:rFonts w:eastAsiaTheme="minorEastAsia"/>
          <w:lang w:val="en-GB" w:eastAsia="ja-JP"/>
        </w:rPr>
      </w:pPr>
      <w:r>
        <w:rPr>
          <w:rFonts w:eastAsiaTheme="minorEastAsia"/>
          <w:lang w:val="en-GB" w:eastAsia="ja-JP"/>
        </w:rPr>
        <w:t>11.</w:t>
      </w:r>
      <w:r>
        <w:rPr>
          <w:rFonts w:eastAsiaTheme="minorEastAsia"/>
          <w:lang w:val="en-GB" w:eastAsia="ja-JP"/>
        </w:rPr>
        <w:tab/>
      </w:r>
      <w:r w:rsidR="00840566">
        <w:rPr>
          <w:rFonts w:eastAsiaTheme="minorEastAsia"/>
          <w:lang w:val="en-GB" w:eastAsia="ja-JP"/>
        </w:rPr>
        <w:t>At</w:t>
      </w:r>
      <w:r w:rsidR="007C2AD4">
        <w:rPr>
          <w:rFonts w:eastAsiaTheme="minorEastAsia"/>
          <w:lang w:val="en-GB" w:eastAsia="ja-JP"/>
        </w:rPr>
        <w:t xml:space="preserve"> the outset, two general points were made by participants. </w:t>
      </w:r>
      <w:r w:rsidR="004E06CF" w:rsidRPr="007C2AD4">
        <w:rPr>
          <w:rFonts w:eastAsiaTheme="minorEastAsia"/>
          <w:lang w:val="en-GB" w:eastAsia="ja-JP"/>
        </w:rPr>
        <w:t xml:space="preserve">Firstly, </w:t>
      </w:r>
      <w:r w:rsidR="007C2AD4">
        <w:rPr>
          <w:rFonts w:eastAsiaTheme="minorEastAsia"/>
          <w:lang w:val="en-GB" w:eastAsia="ja-JP"/>
        </w:rPr>
        <w:t xml:space="preserve">that </w:t>
      </w:r>
      <w:r w:rsidR="004E06CF" w:rsidRPr="007C2AD4">
        <w:rPr>
          <w:rFonts w:eastAsiaTheme="minorEastAsia"/>
          <w:lang w:val="en-GB" w:eastAsia="ja-JP"/>
        </w:rPr>
        <w:t>there is a growing</w:t>
      </w:r>
      <w:r w:rsidR="00C26398" w:rsidRPr="007C2AD4">
        <w:rPr>
          <w:rFonts w:eastAsiaTheme="minorEastAsia"/>
          <w:lang w:val="en-GB" w:eastAsia="ja-JP"/>
        </w:rPr>
        <w:t xml:space="preserve"> </w:t>
      </w:r>
      <w:r w:rsidR="004E06CF" w:rsidRPr="007C2AD4">
        <w:rPr>
          <w:rFonts w:eastAsiaTheme="minorEastAsia"/>
          <w:lang w:val="en-GB" w:eastAsia="ja-JP"/>
        </w:rPr>
        <w:t>demand by States</w:t>
      </w:r>
      <w:r w:rsidR="007C2AD4">
        <w:rPr>
          <w:rFonts w:eastAsiaTheme="minorEastAsia"/>
          <w:lang w:val="en-GB" w:eastAsia="ja-JP"/>
        </w:rPr>
        <w:t xml:space="preserve"> parties</w:t>
      </w:r>
      <w:r w:rsidR="004E06CF" w:rsidRPr="007C2AD4">
        <w:rPr>
          <w:rFonts w:eastAsiaTheme="minorEastAsia"/>
          <w:lang w:val="en-GB" w:eastAsia="ja-JP"/>
        </w:rPr>
        <w:t xml:space="preserve"> </w:t>
      </w:r>
      <w:r w:rsidR="00C26398" w:rsidRPr="007C2AD4">
        <w:rPr>
          <w:rFonts w:eastAsiaTheme="minorEastAsia"/>
          <w:lang w:val="en-GB" w:eastAsia="ja-JP"/>
        </w:rPr>
        <w:t xml:space="preserve">towards broadening the range of States for whom the SRP is made available. Consequently, </w:t>
      </w:r>
      <w:r w:rsidR="004E06CF" w:rsidRPr="007C2AD4">
        <w:rPr>
          <w:rFonts w:eastAsiaTheme="minorEastAsia"/>
          <w:lang w:val="en-GB" w:eastAsia="ja-JP"/>
        </w:rPr>
        <w:t xml:space="preserve">the question for </w:t>
      </w:r>
      <w:r w:rsidR="00C26398" w:rsidRPr="007C2AD4">
        <w:rPr>
          <w:rFonts w:eastAsiaTheme="minorEastAsia"/>
          <w:lang w:val="en-GB" w:eastAsia="ja-JP"/>
        </w:rPr>
        <w:t>treaty bodies</w:t>
      </w:r>
      <w:r w:rsidR="004E06CF" w:rsidRPr="007C2AD4">
        <w:rPr>
          <w:rFonts w:eastAsiaTheme="minorEastAsia"/>
          <w:lang w:val="en-GB" w:eastAsia="ja-JP"/>
        </w:rPr>
        <w:t xml:space="preserve"> is not if it should be made available</w:t>
      </w:r>
      <w:r w:rsidR="00840566">
        <w:rPr>
          <w:rFonts w:eastAsiaTheme="minorEastAsia"/>
          <w:lang w:val="en-GB" w:eastAsia="ja-JP"/>
        </w:rPr>
        <w:t>,</w:t>
      </w:r>
      <w:r w:rsidR="004E06CF" w:rsidRPr="007C2AD4">
        <w:rPr>
          <w:rFonts w:eastAsiaTheme="minorEastAsia"/>
          <w:lang w:val="en-GB" w:eastAsia="ja-JP"/>
        </w:rPr>
        <w:t xml:space="preserve"> but how it should be m</w:t>
      </w:r>
      <w:r w:rsidR="003C01CC" w:rsidRPr="007C2AD4">
        <w:rPr>
          <w:rFonts w:eastAsiaTheme="minorEastAsia"/>
          <w:lang w:val="en-GB" w:eastAsia="ja-JP"/>
        </w:rPr>
        <w:t>ade available</w:t>
      </w:r>
      <w:r w:rsidR="007C2AD4">
        <w:rPr>
          <w:rFonts w:eastAsiaTheme="minorEastAsia"/>
          <w:lang w:val="en-GB" w:eastAsia="ja-JP"/>
        </w:rPr>
        <w:t>. This workshop provided a</w:t>
      </w:r>
      <w:r w:rsidR="004E06CF" w:rsidRPr="007C2AD4">
        <w:rPr>
          <w:rFonts w:eastAsiaTheme="minorEastAsia"/>
          <w:lang w:val="en-GB" w:eastAsia="ja-JP"/>
        </w:rPr>
        <w:t xml:space="preserve"> </w:t>
      </w:r>
      <w:r w:rsidR="007C2AD4" w:rsidRPr="007C2AD4">
        <w:rPr>
          <w:rFonts w:eastAsiaTheme="minorEastAsia"/>
          <w:lang w:val="en-GB" w:eastAsia="ja-JP"/>
        </w:rPr>
        <w:t xml:space="preserve">good opportunity to develop </w:t>
      </w:r>
      <w:r w:rsidR="00960F22">
        <w:rPr>
          <w:rFonts w:eastAsiaTheme="minorEastAsia"/>
          <w:lang w:val="en-GB" w:eastAsia="ja-JP"/>
        </w:rPr>
        <w:t xml:space="preserve">a </w:t>
      </w:r>
      <w:r w:rsidR="007C2AD4">
        <w:rPr>
          <w:rFonts w:eastAsiaTheme="minorEastAsia"/>
          <w:lang w:val="en-GB" w:eastAsia="ja-JP"/>
        </w:rPr>
        <w:t>common methodology</w:t>
      </w:r>
      <w:r w:rsidR="007C2AD4" w:rsidRPr="007C2AD4">
        <w:rPr>
          <w:rFonts w:eastAsiaTheme="minorEastAsia"/>
          <w:lang w:val="en-GB" w:eastAsia="ja-JP"/>
        </w:rPr>
        <w:t xml:space="preserve"> while maintaining the impact of the outputs of each Committee</w:t>
      </w:r>
      <w:r w:rsidR="004E06CF" w:rsidRPr="007C2AD4">
        <w:rPr>
          <w:rFonts w:eastAsiaTheme="minorEastAsia"/>
          <w:lang w:val="en-GB" w:eastAsia="ja-JP"/>
        </w:rPr>
        <w:t xml:space="preserve">. Secondly, </w:t>
      </w:r>
      <w:r w:rsidR="007C2AD4">
        <w:rPr>
          <w:rFonts w:eastAsiaTheme="minorEastAsia"/>
          <w:lang w:val="en-GB" w:eastAsia="ja-JP"/>
        </w:rPr>
        <w:t xml:space="preserve">that </w:t>
      </w:r>
      <w:r w:rsidR="004E06CF" w:rsidRPr="007C2AD4">
        <w:rPr>
          <w:rFonts w:eastAsiaTheme="minorEastAsia"/>
          <w:lang w:val="en-GB" w:eastAsia="ja-JP"/>
        </w:rPr>
        <w:t>treaty bodies and the Se</w:t>
      </w:r>
      <w:r w:rsidR="00C26398" w:rsidRPr="007C2AD4">
        <w:rPr>
          <w:rFonts w:eastAsiaTheme="minorEastAsia"/>
          <w:lang w:val="en-GB" w:eastAsia="ja-JP"/>
        </w:rPr>
        <w:t>cretariat</w:t>
      </w:r>
      <w:r w:rsidR="004E06CF" w:rsidRPr="007C2AD4">
        <w:rPr>
          <w:rFonts w:eastAsiaTheme="minorEastAsia"/>
          <w:lang w:val="en-GB" w:eastAsia="ja-JP"/>
        </w:rPr>
        <w:t xml:space="preserve"> face capacity constraints</w:t>
      </w:r>
      <w:r w:rsidR="00C26398" w:rsidRPr="007C2AD4">
        <w:rPr>
          <w:rFonts w:eastAsiaTheme="minorEastAsia"/>
          <w:lang w:val="en-GB" w:eastAsia="ja-JP"/>
        </w:rPr>
        <w:t xml:space="preserve">. </w:t>
      </w:r>
      <w:r w:rsidR="008E3CF3" w:rsidRPr="00C15950">
        <w:rPr>
          <w:lang w:val="en-GB"/>
        </w:rPr>
        <w:t>Indeed, the only reason that some treaty bodies limit the number of States parties to which the SRP is offered is that resources have not been provided for this additional work, which would occur in parallel to the work of regular reports already in hand.</w:t>
      </w:r>
      <w:r w:rsidR="008E3CF3">
        <w:rPr>
          <w:lang w:val="en-GB"/>
        </w:rPr>
        <w:t xml:space="preserve"> In addition, </w:t>
      </w:r>
      <w:r w:rsidR="008E3CF3" w:rsidRPr="00C15950">
        <w:rPr>
          <w:lang w:val="en-GB"/>
        </w:rPr>
        <w:t xml:space="preserve">the </w:t>
      </w:r>
      <w:r w:rsidR="0067337F">
        <w:rPr>
          <w:lang w:val="en-GB"/>
        </w:rPr>
        <w:t xml:space="preserve">research capacity and </w:t>
      </w:r>
      <w:r w:rsidR="0067337F" w:rsidRPr="0067337F">
        <w:rPr>
          <w:lang w:val="en-GB"/>
        </w:rPr>
        <w:t>analysis</w:t>
      </w:r>
      <w:r w:rsidR="008E3CF3" w:rsidRPr="00C15950">
        <w:rPr>
          <w:lang w:val="en-GB"/>
        </w:rPr>
        <w:t xml:space="preserve"> </w:t>
      </w:r>
      <w:r w:rsidR="0067337F">
        <w:rPr>
          <w:lang w:val="en-GB"/>
        </w:rPr>
        <w:t xml:space="preserve">required </w:t>
      </w:r>
      <w:r w:rsidR="008E3CF3" w:rsidRPr="00C15950">
        <w:rPr>
          <w:lang w:val="en-GB"/>
        </w:rPr>
        <w:t>of the secretariat</w:t>
      </w:r>
      <w:r w:rsidR="0067337F">
        <w:rPr>
          <w:lang w:val="en-GB"/>
        </w:rPr>
        <w:t xml:space="preserve"> and the experts </w:t>
      </w:r>
      <w:r w:rsidR="0067337F" w:rsidRPr="0067337F">
        <w:rPr>
          <w:lang w:val="en-GB"/>
        </w:rPr>
        <w:t>for a LOIPR versus a</w:t>
      </w:r>
      <w:r w:rsidR="008E3CF3" w:rsidRPr="00C15950">
        <w:rPr>
          <w:lang w:val="en-GB"/>
        </w:rPr>
        <w:t xml:space="preserve"> LOI</w:t>
      </w:r>
      <w:r w:rsidR="0067337F">
        <w:rPr>
          <w:lang w:val="en-GB"/>
        </w:rPr>
        <w:t xml:space="preserve"> is greater.</w:t>
      </w:r>
      <w:r w:rsidR="008E3CF3">
        <w:rPr>
          <w:lang w:val="en-GB"/>
        </w:rPr>
        <w:t xml:space="preserve"> </w:t>
      </w:r>
      <w:r w:rsidR="0067337F">
        <w:rPr>
          <w:rFonts w:eastAsiaTheme="minorEastAsia"/>
          <w:lang w:val="en-GB" w:eastAsia="ja-JP"/>
        </w:rPr>
        <w:t>When preparing a LOIPR the experts and OHCHR do not have a recent report by the State available as a basis on which to develop the issues and therefore  this leads to an increase in the workload.</w:t>
      </w:r>
      <w:r w:rsidR="00C26398" w:rsidRPr="007C2AD4">
        <w:rPr>
          <w:rFonts w:eastAsiaTheme="minorEastAsia"/>
          <w:lang w:val="en-GB" w:eastAsia="ja-JP"/>
        </w:rPr>
        <w:t>.</w:t>
      </w:r>
      <w:r w:rsidR="007C2AD4">
        <w:rPr>
          <w:rFonts w:eastAsiaTheme="minorEastAsia"/>
          <w:lang w:val="en-GB" w:eastAsia="ja-JP"/>
        </w:rPr>
        <w:t xml:space="preserve"> However, the financial constraint should not be an impediment to develop</w:t>
      </w:r>
      <w:r w:rsidR="00EE286F">
        <w:rPr>
          <w:rFonts w:eastAsiaTheme="minorEastAsia"/>
          <w:lang w:val="en-GB" w:eastAsia="ja-JP"/>
        </w:rPr>
        <w:t>ment of</w:t>
      </w:r>
      <w:r w:rsidR="007C2AD4">
        <w:rPr>
          <w:rFonts w:eastAsiaTheme="minorEastAsia"/>
          <w:lang w:val="en-GB" w:eastAsia="ja-JP"/>
        </w:rPr>
        <w:t xml:space="preserve"> a common methodology</w:t>
      </w:r>
      <w:r w:rsidR="00EE286F">
        <w:rPr>
          <w:rFonts w:eastAsiaTheme="minorEastAsia"/>
          <w:lang w:val="en-GB" w:eastAsia="ja-JP"/>
        </w:rPr>
        <w:t>.  I</w:t>
      </w:r>
      <w:r w:rsidR="007C2AD4">
        <w:rPr>
          <w:rFonts w:eastAsiaTheme="minorEastAsia"/>
          <w:lang w:val="en-GB" w:eastAsia="ja-JP"/>
        </w:rPr>
        <w:t>n the long-term greater coordination among treaty bodies and applying a common methodology would be beneficial for State parties and stakeholders.</w:t>
      </w:r>
    </w:p>
    <w:p w14:paraId="021EDEAF" w14:textId="5D88EBC2" w:rsidR="00B06FC0" w:rsidRPr="00033F29" w:rsidRDefault="00033F29" w:rsidP="00033F29">
      <w:pPr>
        <w:pStyle w:val="H1G"/>
        <w:rPr>
          <w:rFonts w:eastAsiaTheme="minorHAnsi"/>
          <w:lang w:val="en-GB"/>
        </w:rPr>
      </w:pPr>
      <w:r w:rsidRPr="00C01FF0">
        <w:rPr>
          <w:rFonts w:eastAsiaTheme="minorHAnsi"/>
          <w:lang w:val="en-GB"/>
        </w:rPr>
        <w:tab/>
      </w:r>
      <w:r w:rsidRPr="00033F29">
        <w:rPr>
          <w:rFonts w:eastAsiaTheme="minorHAnsi"/>
          <w:lang w:val="en-GB"/>
        </w:rPr>
        <w:t>B.</w:t>
      </w:r>
      <w:r w:rsidRPr="00033F29">
        <w:rPr>
          <w:rFonts w:eastAsiaTheme="minorHAnsi"/>
          <w:lang w:val="en-GB"/>
        </w:rPr>
        <w:tab/>
      </w:r>
      <w:r w:rsidR="00E26510">
        <w:rPr>
          <w:rFonts w:eastAsiaTheme="minorHAnsi"/>
          <w:lang w:val="en-GB"/>
        </w:rPr>
        <w:t>Criteria for the use of the simplified reporting procedure</w:t>
      </w:r>
    </w:p>
    <w:p w14:paraId="75519BBD" w14:textId="60B1E045" w:rsidR="00E26510" w:rsidRPr="00F568FD" w:rsidRDefault="00B03480" w:rsidP="00B90558">
      <w:pPr>
        <w:pStyle w:val="SingleTxtG"/>
        <w:rPr>
          <w:rFonts w:eastAsiaTheme="minorEastAsia"/>
          <w:lang w:val="en-GB"/>
        </w:rPr>
      </w:pPr>
      <w:r w:rsidRPr="00F568FD">
        <w:rPr>
          <w:rFonts w:eastAsiaTheme="minorEastAsia"/>
          <w:lang w:val="en-GB"/>
        </w:rPr>
        <w:t>12.</w:t>
      </w:r>
      <w:r w:rsidRPr="00F568FD">
        <w:rPr>
          <w:rFonts w:eastAsiaTheme="minorEastAsia"/>
          <w:lang w:val="en-GB"/>
        </w:rPr>
        <w:tab/>
      </w:r>
      <w:r w:rsidR="00AB64C9" w:rsidRPr="00F568FD">
        <w:rPr>
          <w:rFonts w:eastAsiaTheme="minorEastAsia"/>
          <w:lang w:val="en-GB"/>
        </w:rPr>
        <w:t>It was</w:t>
      </w:r>
      <w:r w:rsidR="005C7348" w:rsidRPr="00F568FD">
        <w:rPr>
          <w:rFonts w:eastAsiaTheme="minorEastAsia"/>
          <w:lang w:val="en-GB"/>
        </w:rPr>
        <w:t xml:space="preserve"> stated that the SRP should be offered to States parties who have already submitted an initial report as the Committees can focus on the priority issues. It was also pointed out that a Committee can start offering the SRP if there is no backlog of reports. </w:t>
      </w:r>
      <w:r w:rsidR="004B2FEB" w:rsidRPr="00F568FD">
        <w:rPr>
          <w:rFonts w:eastAsiaTheme="minorEastAsia"/>
          <w:lang w:val="en-GB"/>
        </w:rPr>
        <w:t>It was highlighted</w:t>
      </w:r>
      <w:r w:rsidR="005C7348" w:rsidRPr="00F568FD">
        <w:rPr>
          <w:rFonts w:eastAsiaTheme="minorEastAsia"/>
          <w:lang w:val="en-GB"/>
        </w:rPr>
        <w:t xml:space="preserve"> that there was strong benefit to </w:t>
      </w:r>
      <w:r w:rsidR="00EE286F" w:rsidRPr="00F568FD">
        <w:rPr>
          <w:rFonts w:eastAsiaTheme="minorEastAsia"/>
          <w:lang w:val="en-GB"/>
        </w:rPr>
        <w:t xml:space="preserve">ensure </w:t>
      </w:r>
      <w:r w:rsidR="005C7348" w:rsidRPr="00F568FD">
        <w:rPr>
          <w:rFonts w:eastAsiaTheme="minorEastAsia"/>
          <w:lang w:val="en-GB"/>
        </w:rPr>
        <w:t>align</w:t>
      </w:r>
      <w:r w:rsidR="00EE286F" w:rsidRPr="00F568FD">
        <w:rPr>
          <w:rFonts w:eastAsiaTheme="minorEastAsia"/>
          <w:lang w:val="en-GB"/>
        </w:rPr>
        <w:t>ment of</w:t>
      </w:r>
      <w:r w:rsidR="005C7348" w:rsidRPr="00F568FD">
        <w:rPr>
          <w:rFonts w:eastAsiaTheme="minorEastAsia"/>
          <w:lang w:val="en-GB"/>
        </w:rPr>
        <w:t xml:space="preserve"> the methodology of offering the SRP </w:t>
      </w:r>
      <w:r w:rsidR="00EE286F" w:rsidRPr="00F568FD">
        <w:rPr>
          <w:rFonts w:eastAsiaTheme="minorEastAsia"/>
          <w:lang w:val="en-GB"/>
        </w:rPr>
        <w:t>across</w:t>
      </w:r>
      <w:r w:rsidR="005C7348" w:rsidRPr="00F568FD">
        <w:rPr>
          <w:rFonts w:eastAsiaTheme="minorEastAsia"/>
          <w:lang w:val="en-GB"/>
        </w:rPr>
        <w:t xml:space="preserve"> Committees </w:t>
      </w:r>
      <w:r w:rsidR="00EE286F" w:rsidRPr="00F568FD">
        <w:rPr>
          <w:rFonts w:eastAsiaTheme="minorEastAsia"/>
          <w:lang w:val="en-GB"/>
        </w:rPr>
        <w:t xml:space="preserve">to simply and streamline </w:t>
      </w:r>
      <w:r w:rsidR="005C7348" w:rsidRPr="00F568FD">
        <w:rPr>
          <w:rFonts w:eastAsiaTheme="minorEastAsia"/>
          <w:lang w:val="en-GB"/>
        </w:rPr>
        <w:t>the entire treaty body system</w:t>
      </w:r>
      <w:r w:rsidR="00FE562B" w:rsidRPr="00F568FD">
        <w:rPr>
          <w:rFonts w:eastAsiaTheme="minorEastAsia"/>
          <w:lang w:val="en-GB"/>
        </w:rPr>
        <w:t>, while recognising that Committees are not at the same “point of departure”</w:t>
      </w:r>
      <w:r w:rsidR="00B859F1" w:rsidRPr="00F568FD">
        <w:rPr>
          <w:rFonts w:eastAsiaTheme="minorEastAsia"/>
          <w:lang w:val="en-GB"/>
        </w:rPr>
        <w:t xml:space="preserve"> so to speak</w:t>
      </w:r>
      <w:r w:rsidR="00EE286F" w:rsidRPr="00F568FD">
        <w:rPr>
          <w:rFonts w:eastAsiaTheme="minorEastAsia"/>
          <w:lang w:val="en-GB"/>
        </w:rPr>
        <w:t>.</w:t>
      </w:r>
    </w:p>
    <w:p w14:paraId="07D09471" w14:textId="1000F7C0" w:rsidR="00B06FC0" w:rsidRPr="00033F29" w:rsidRDefault="00033F29" w:rsidP="00033F29">
      <w:pPr>
        <w:pStyle w:val="H1G"/>
        <w:rPr>
          <w:rFonts w:eastAsiaTheme="minorEastAsia"/>
          <w:lang w:val="en-GB" w:eastAsia="ja-JP"/>
        </w:rPr>
      </w:pPr>
      <w:r w:rsidRPr="00C01FF0">
        <w:rPr>
          <w:rFonts w:eastAsiaTheme="minorEastAsia"/>
          <w:lang w:val="en-GB" w:eastAsia="ja-JP"/>
        </w:rPr>
        <w:tab/>
      </w:r>
      <w:r w:rsidR="00B06FC0" w:rsidRPr="00033F29">
        <w:rPr>
          <w:rFonts w:eastAsiaTheme="minorEastAsia"/>
          <w:lang w:val="en-GB" w:eastAsia="ja-JP"/>
        </w:rPr>
        <w:t>C.</w:t>
      </w:r>
      <w:r w:rsidRPr="00033F29">
        <w:rPr>
          <w:rFonts w:eastAsiaTheme="minorEastAsia"/>
          <w:lang w:val="en-GB" w:eastAsia="ja-JP"/>
        </w:rPr>
        <w:tab/>
      </w:r>
      <w:r w:rsidR="00E26510">
        <w:rPr>
          <w:rFonts w:eastAsiaTheme="minorEastAsia"/>
          <w:lang w:val="en-GB" w:eastAsia="ja-JP"/>
        </w:rPr>
        <w:t>Moving to the simplified reporting procedure</w:t>
      </w:r>
    </w:p>
    <w:p w14:paraId="67DB73A3" w14:textId="2D19AF17" w:rsidR="00E26510" w:rsidRPr="00F568FD" w:rsidRDefault="00B03480" w:rsidP="00E26510">
      <w:pPr>
        <w:pStyle w:val="SingleTxtG"/>
        <w:rPr>
          <w:rFonts w:eastAsiaTheme="minorEastAsia"/>
          <w:lang w:val="en-GB"/>
        </w:rPr>
      </w:pPr>
      <w:r w:rsidRPr="00F568FD">
        <w:rPr>
          <w:rFonts w:eastAsiaTheme="minorEastAsia"/>
          <w:lang w:val="en-GB"/>
        </w:rPr>
        <w:t>13.</w:t>
      </w:r>
      <w:r w:rsidRPr="00F568FD">
        <w:rPr>
          <w:rFonts w:eastAsiaTheme="minorEastAsia"/>
          <w:lang w:val="en-GB"/>
        </w:rPr>
        <w:tab/>
      </w:r>
      <w:r w:rsidR="00AB64C9" w:rsidRPr="00F568FD">
        <w:rPr>
          <w:rFonts w:eastAsiaTheme="minorEastAsia"/>
          <w:lang w:val="en-GB"/>
        </w:rPr>
        <w:t>One Committee is</w:t>
      </w:r>
      <w:r w:rsidR="005C7348" w:rsidRPr="00F568FD">
        <w:rPr>
          <w:rFonts w:eastAsiaTheme="minorEastAsia"/>
          <w:lang w:val="en-GB"/>
        </w:rPr>
        <w:t xml:space="preserve"> offering the SRP as a default procedure, namely that a State party ha</w:t>
      </w:r>
      <w:r w:rsidR="007362BC" w:rsidRPr="00F568FD">
        <w:rPr>
          <w:rFonts w:eastAsiaTheme="minorEastAsia"/>
          <w:lang w:val="en-GB"/>
        </w:rPr>
        <w:t>s</w:t>
      </w:r>
      <w:r w:rsidR="005C7348" w:rsidRPr="00F568FD">
        <w:rPr>
          <w:rFonts w:eastAsiaTheme="minorEastAsia"/>
          <w:lang w:val="en-GB"/>
        </w:rPr>
        <w:t xml:space="preserve"> to opt out as opposed to opt in. The experience </w:t>
      </w:r>
      <w:r w:rsidR="00AB64C9" w:rsidRPr="00F568FD">
        <w:rPr>
          <w:rFonts w:eastAsiaTheme="minorEastAsia"/>
          <w:lang w:val="en-GB"/>
        </w:rPr>
        <w:t xml:space="preserve">shared </w:t>
      </w:r>
      <w:r w:rsidR="005C7348" w:rsidRPr="00F568FD">
        <w:rPr>
          <w:rFonts w:eastAsiaTheme="minorEastAsia"/>
          <w:lang w:val="en-GB"/>
        </w:rPr>
        <w:t xml:space="preserve">was </w:t>
      </w:r>
      <w:r w:rsidR="00434B64" w:rsidRPr="00F568FD">
        <w:rPr>
          <w:rFonts w:eastAsiaTheme="minorEastAsia"/>
          <w:lang w:val="en-GB"/>
        </w:rPr>
        <w:t xml:space="preserve">generally </w:t>
      </w:r>
      <w:r w:rsidR="005C7348" w:rsidRPr="00F568FD">
        <w:rPr>
          <w:rFonts w:eastAsiaTheme="minorEastAsia"/>
          <w:lang w:val="en-GB"/>
        </w:rPr>
        <w:t xml:space="preserve">a positive one as once the Committee </w:t>
      </w:r>
      <w:r w:rsidR="00BA4A31" w:rsidRPr="00F568FD">
        <w:rPr>
          <w:rFonts w:eastAsiaTheme="minorEastAsia"/>
          <w:lang w:val="en-GB"/>
        </w:rPr>
        <w:t xml:space="preserve">and the Secretariat </w:t>
      </w:r>
      <w:r w:rsidR="005C7348" w:rsidRPr="00F568FD">
        <w:rPr>
          <w:rFonts w:eastAsiaTheme="minorEastAsia"/>
          <w:lang w:val="en-GB"/>
        </w:rPr>
        <w:t>get over the initial hurdle of</w:t>
      </w:r>
      <w:r w:rsidR="00BA4A31" w:rsidRPr="00F568FD">
        <w:rPr>
          <w:rFonts w:eastAsiaTheme="minorEastAsia"/>
          <w:lang w:val="en-GB"/>
        </w:rPr>
        <w:t xml:space="preserve"> preparing LOIPR throughout its reporting cycle to cover all the States that will be reviewed under the SRP</w:t>
      </w:r>
      <w:r w:rsidR="005C7348" w:rsidRPr="00F568FD">
        <w:rPr>
          <w:rFonts w:eastAsiaTheme="minorEastAsia"/>
          <w:lang w:val="en-GB"/>
        </w:rPr>
        <w:t xml:space="preserve"> </w:t>
      </w:r>
      <w:r w:rsidR="005E435D" w:rsidRPr="00F568FD">
        <w:rPr>
          <w:rFonts w:eastAsiaTheme="minorEastAsia"/>
          <w:lang w:val="en-GB"/>
        </w:rPr>
        <w:t>most States parties are usually receptive and actually report</w:t>
      </w:r>
      <w:r w:rsidR="00BA4A31" w:rsidRPr="00F568FD">
        <w:rPr>
          <w:rFonts w:eastAsiaTheme="minorEastAsia"/>
          <w:lang w:val="en-GB"/>
        </w:rPr>
        <w:t xml:space="preserve"> under the LOIPR</w:t>
      </w:r>
      <w:r w:rsidR="004B2FEB" w:rsidRPr="00F568FD">
        <w:rPr>
          <w:rFonts w:eastAsiaTheme="minorEastAsia"/>
          <w:lang w:val="en-GB"/>
        </w:rPr>
        <w:t>.</w:t>
      </w:r>
      <w:r w:rsidR="006355EA" w:rsidRPr="00F568FD">
        <w:rPr>
          <w:rFonts w:eastAsiaTheme="minorEastAsia"/>
          <w:lang w:val="en-GB"/>
        </w:rPr>
        <w:t xml:space="preserve"> However, it was stated that some States will continue to report under the RRP, which has to run in parallel.</w:t>
      </w:r>
      <w:r w:rsidR="004B2FEB" w:rsidRPr="00F568FD">
        <w:rPr>
          <w:rFonts w:eastAsiaTheme="minorEastAsia"/>
          <w:lang w:val="en-GB"/>
        </w:rPr>
        <w:t xml:space="preserve"> It was recognised that</w:t>
      </w:r>
      <w:r w:rsidR="00033435" w:rsidRPr="00F568FD">
        <w:rPr>
          <w:rFonts w:eastAsiaTheme="minorEastAsia"/>
          <w:lang w:val="en-GB"/>
        </w:rPr>
        <w:t xml:space="preserve"> there is an initial huge investment effort to prepare </w:t>
      </w:r>
      <w:r w:rsidR="00D27A63" w:rsidRPr="00F568FD">
        <w:rPr>
          <w:rFonts w:eastAsiaTheme="minorEastAsia"/>
          <w:lang w:val="en-GB"/>
        </w:rPr>
        <w:t>the initial</w:t>
      </w:r>
      <w:r w:rsidR="00033435" w:rsidRPr="00F568FD">
        <w:rPr>
          <w:rFonts w:eastAsiaTheme="minorEastAsia"/>
          <w:lang w:val="en-GB"/>
        </w:rPr>
        <w:t xml:space="preserve"> LOIPR, and this is currently not foreseen in the meeting time assessment and review formula provided in General Assembly resolution 68/268, which uses the historic number of reports received to determine future needs and resources</w:t>
      </w:r>
      <w:r w:rsidR="00D27A63" w:rsidRPr="00F568FD">
        <w:rPr>
          <w:rFonts w:eastAsiaTheme="minorEastAsia"/>
          <w:lang w:val="en-GB"/>
        </w:rPr>
        <w:t>, including staff</w:t>
      </w:r>
      <w:r w:rsidR="00033435" w:rsidRPr="00F568FD">
        <w:rPr>
          <w:rFonts w:eastAsiaTheme="minorEastAsia"/>
          <w:lang w:val="en-GB"/>
        </w:rPr>
        <w:t xml:space="preserve">. It was also stated </w:t>
      </w:r>
      <w:r w:rsidR="00637F41" w:rsidRPr="00F568FD">
        <w:rPr>
          <w:rFonts w:eastAsiaTheme="minorEastAsia"/>
          <w:lang w:val="en-GB"/>
        </w:rPr>
        <w:t>that quantity</w:t>
      </w:r>
      <w:r w:rsidR="004B2FEB" w:rsidRPr="00F568FD">
        <w:rPr>
          <w:rFonts w:eastAsiaTheme="minorEastAsia"/>
          <w:lang w:val="en-GB"/>
        </w:rPr>
        <w:t xml:space="preserve"> should not comprise quality</w:t>
      </w:r>
      <w:r w:rsidR="005E435D" w:rsidRPr="00F568FD">
        <w:rPr>
          <w:rFonts w:eastAsiaTheme="minorEastAsia"/>
          <w:lang w:val="en-GB"/>
        </w:rPr>
        <w:t xml:space="preserve">. </w:t>
      </w:r>
      <w:r w:rsidR="00AB64C9" w:rsidRPr="00F568FD">
        <w:rPr>
          <w:rFonts w:eastAsiaTheme="minorEastAsia"/>
          <w:lang w:val="en-GB"/>
        </w:rPr>
        <w:t>It was pointed out that</w:t>
      </w:r>
      <w:r w:rsidR="004B2FEB" w:rsidRPr="00F568FD">
        <w:rPr>
          <w:rFonts w:eastAsiaTheme="minorEastAsia"/>
          <w:lang w:val="en-GB"/>
        </w:rPr>
        <w:t xml:space="preserve"> to make the SRP as the default procedure </w:t>
      </w:r>
      <w:r w:rsidR="007362BC" w:rsidRPr="00F568FD">
        <w:rPr>
          <w:rFonts w:eastAsiaTheme="minorEastAsia"/>
          <w:lang w:val="en-GB"/>
        </w:rPr>
        <w:t>it would be necessary to have more</w:t>
      </w:r>
      <w:r w:rsidR="004B2FEB" w:rsidRPr="00F568FD">
        <w:rPr>
          <w:rFonts w:eastAsiaTheme="minorEastAsia"/>
          <w:lang w:val="en-GB"/>
        </w:rPr>
        <w:t xml:space="preserve"> </w:t>
      </w:r>
      <w:r w:rsidR="00033435" w:rsidRPr="00F568FD">
        <w:rPr>
          <w:rFonts w:eastAsiaTheme="minorEastAsia"/>
          <w:lang w:val="en-GB"/>
        </w:rPr>
        <w:t xml:space="preserve">staff to do the work, </w:t>
      </w:r>
      <w:r w:rsidR="004B2FEB" w:rsidRPr="00F568FD">
        <w:rPr>
          <w:rFonts w:eastAsiaTheme="minorEastAsia"/>
          <w:lang w:val="en-GB"/>
        </w:rPr>
        <w:t xml:space="preserve">cross-fertilisation across Committees to make it easier for States parties to report, </w:t>
      </w:r>
      <w:r w:rsidR="00181495" w:rsidRPr="00F568FD">
        <w:rPr>
          <w:rFonts w:eastAsiaTheme="minorEastAsia"/>
          <w:lang w:val="en-GB"/>
        </w:rPr>
        <w:t xml:space="preserve">and </w:t>
      </w:r>
      <w:r w:rsidR="004B2FEB" w:rsidRPr="00F568FD">
        <w:rPr>
          <w:rFonts w:eastAsiaTheme="minorEastAsia"/>
          <w:lang w:val="en-GB"/>
        </w:rPr>
        <w:t>more cost effective so that it can be introduced gradually</w:t>
      </w:r>
      <w:r w:rsidR="004927AD" w:rsidRPr="00F568FD">
        <w:rPr>
          <w:rFonts w:eastAsiaTheme="minorEastAsia"/>
          <w:lang w:val="en-GB"/>
        </w:rPr>
        <w:t>.</w:t>
      </w:r>
      <w:r w:rsidR="005E435D" w:rsidRPr="00F568FD">
        <w:rPr>
          <w:rFonts w:eastAsiaTheme="minorEastAsia"/>
          <w:lang w:val="en-GB"/>
        </w:rPr>
        <w:t xml:space="preserve"> </w:t>
      </w:r>
    </w:p>
    <w:p w14:paraId="5FA51ABC" w14:textId="20DD6DBB" w:rsidR="00B06FC0" w:rsidRPr="00033F29" w:rsidRDefault="00033F29" w:rsidP="00033F29">
      <w:pPr>
        <w:pStyle w:val="H1G"/>
        <w:rPr>
          <w:rFonts w:eastAsiaTheme="minorEastAsia"/>
          <w:lang w:val="en-GB" w:eastAsia="ja-JP"/>
        </w:rPr>
      </w:pPr>
      <w:r w:rsidRPr="00C01FF0">
        <w:rPr>
          <w:rFonts w:eastAsiaTheme="minorEastAsia"/>
          <w:lang w:val="en-GB" w:eastAsia="ja-JP"/>
        </w:rPr>
        <w:tab/>
      </w:r>
      <w:r w:rsidRPr="00033F29">
        <w:rPr>
          <w:rFonts w:eastAsiaTheme="minorEastAsia"/>
          <w:lang w:val="en-GB" w:eastAsia="ja-JP"/>
        </w:rPr>
        <w:t>D.</w:t>
      </w:r>
      <w:r w:rsidRPr="00033F29">
        <w:rPr>
          <w:rFonts w:eastAsiaTheme="minorEastAsia"/>
          <w:lang w:val="en-GB" w:eastAsia="ja-JP"/>
        </w:rPr>
        <w:tab/>
      </w:r>
      <w:r w:rsidR="00E26510">
        <w:rPr>
          <w:rFonts w:eastAsiaTheme="minorEastAsia"/>
          <w:lang w:val="en-GB" w:eastAsia="ja-JP"/>
        </w:rPr>
        <w:t>Information to be taken into consideration</w:t>
      </w:r>
    </w:p>
    <w:p w14:paraId="221178DC" w14:textId="6291B324" w:rsidR="008F74DE" w:rsidRPr="00F568FD" w:rsidRDefault="00B03480" w:rsidP="00E26510">
      <w:pPr>
        <w:pStyle w:val="SingleTxtG"/>
        <w:rPr>
          <w:rFonts w:eastAsiaTheme="minorEastAsia"/>
          <w:lang w:val="en-GB"/>
        </w:rPr>
      </w:pPr>
      <w:r w:rsidRPr="00F568FD">
        <w:rPr>
          <w:rFonts w:eastAsiaTheme="minorEastAsia"/>
          <w:lang w:val="en-GB"/>
        </w:rPr>
        <w:t>14.</w:t>
      </w:r>
      <w:r w:rsidRPr="00F568FD">
        <w:rPr>
          <w:rFonts w:eastAsiaTheme="minorEastAsia"/>
          <w:lang w:val="en-GB"/>
        </w:rPr>
        <w:tab/>
      </w:r>
      <w:r w:rsidR="004B2FEB" w:rsidRPr="00F568FD">
        <w:rPr>
          <w:rFonts w:eastAsiaTheme="minorEastAsia"/>
          <w:lang w:val="en-GB"/>
        </w:rPr>
        <w:t xml:space="preserve">In relation to the current use by Committees of the common core document, </w:t>
      </w:r>
      <w:r w:rsidR="00AB64C9" w:rsidRPr="00F568FD">
        <w:rPr>
          <w:rFonts w:eastAsiaTheme="minorEastAsia"/>
          <w:lang w:val="en-GB"/>
        </w:rPr>
        <w:t xml:space="preserve">in the experience of one Committee, </w:t>
      </w:r>
      <w:r w:rsidR="004927AD" w:rsidRPr="00F568FD">
        <w:rPr>
          <w:rFonts w:eastAsiaTheme="minorEastAsia"/>
          <w:lang w:val="en-GB"/>
        </w:rPr>
        <w:t>it</w:t>
      </w:r>
      <w:r w:rsidR="007362BC" w:rsidRPr="00F568FD">
        <w:rPr>
          <w:rFonts w:eastAsiaTheme="minorEastAsia"/>
          <w:lang w:val="en-GB"/>
        </w:rPr>
        <w:t xml:space="preserve"> decided to make as a prerequisite</w:t>
      </w:r>
      <w:r w:rsidR="004B2FEB" w:rsidRPr="00F568FD">
        <w:rPr>
          <w:rFonts w:eastAsiaTheme="minorEastAsia"/>
          <w:lang w:val="en-GB"/>
        </w:rPr>
        <w:t xml:space="preserve"> an updated common core document</w:t>
      </w:r>
      <w:r w:rsidR="00430970" w:rsidRPr="00F568FD">
        <w:rPr>
          <w:rFonts w:eastAsiaTheme="minorEastAsia"/>
          <w:lang w:val="en-GB"/>
        </w:rPr>
        <w:t>.</w:t>
      </w:r>
      <w:r w:rsidR="004B2FEB" w:rsidRPr="00F568FD">
        <w:rPr>
          <w:rFonts w:eastAsiaTheme="minorEastAsia"/>
          <w:lang w:val="en-GB"/>
        </w:rPr>
        <w:t>. Other Committee</w:t>
      </w:r>
      <w:r w:rsidR="00AB64C9" w:rsidRPr="00F568FD">
        <w:rPr>
          <w:rFonts w:eastAsiaTheme="minorEastAsia"/>
          <w:lang w:val="en-GB"/>
        </w:rPr>
        <w:t>s</w:t>
      </w:r>
      <w:r w:rsidR="004B2FEB" w:rsidRPr="00F568FD">
        <w:rPr>
          <w:rFonts w:eastAsiaTheme="minorEastAsia"/>
          <w:lang w:val="en-GB"/>
        </w:rPr>
        <w:t xml:space="preserve"> </w:t>
      </w:r>
      <w:r w:rsidR="00AB64C9" w:rsidRPr="00F568FD">
        <w:rPr>
          <w:rFonts w:eastAsiaTheme="minorEastAsia"/>
          <w:lang w:val="en-GB"/>
        </w:rPr>
        <w:t>shared their own experience by explaining</w:t>
      </w:r>
      <w:r w:rsidR="004B2FEB" w:rsidRPr="00F568FD">
        <w:rPr>
          <w:rFonts w:eastAsiaTheme="minorEastAsia"/>
          <w:lang w:val="en-GB"/>
        </w:rPr>
        <w:t xml:space="preserve"> that they do not have a consistent approach as to the use of the </w:t>
      </w:r>
      <w:r w:rsidR="008F74DE" w:rsidRPr="00F568FD">
        <w:rPr>
          <w:rFonts w:eastAsiaTheme="minorEastAsia"/>
          <w:lang w:val="en-GB"/>
        </w:rPr>
        <w:t xml:space="preserve">common core document as in most cases </w:t>
      </w:r>
      <w:r w:rsidR="004B2FEB" w:rsidRPr="00F568FD">
        <w:rPr>
          <w:rFonts w:eastAsiaTheme="minorEastAsia"/>
          <w:lang w:val="en-GB"/>
        </w:rPr>
        <w:t xml:space="preserve">there was enough information already in the public domain that </w:t>
      </w:r>
      <w:r w:rsidR="008F74DE" w:rsidRPr="00F568FD">
        <w:rPr>
          <w:rFonts w:eastAsiaTheme="minorEastAsia"/>
          <w:lang w:val="en-GB"/>
        </w:rPr>
        <w:t xml:space="preserve">Committees could access. </w:t>
      </w:r>
      <w:r w:rsidR="00E62FDF" w:rsidRPr="00F568FD">
        <w:rPr>
          <w:rFonts w:eastAsiaTheme="minorEastAsia"/>
          <w:lang w:val="en-GB"/>
        </w:rPr>
        <w:t>However, it was pointed out that for some States parties it was very difficult to find publicly available information, which is reliable and verifiable</w:t>
      </w:r>
      <w:r w:rsidR="00A608CB" w:rsidRPr="00F568FD">
        <w:rPr>
          <w:rFonts w:eastAsiaTheme="minorEastAsia"/>
          <w:lang w:val="en-GB"/>
        </w:rPr>
        <w:t xml:space="preserve"> and the common core document was useful to get a general overview if updated</w:t>
      </w:r>
      <w:r w:rsidR="00E62FDF" w:rsidRPr="00F568FD">
        <w:rPr>
          <w:rFonts w:eastAsiaTheme="minorEastAsia"/>
          <w:lang w:val="en-GB"/>
        </w:rPr>
        <w:t xml:space="preserve">. </w:t>
      </w:r>
      <w:r w:rsidR="00AB64C9" w:rsidRPr="00F568FD">
        <w:rPr>
          <w:rFonts w:eastAsiaTheme="minorEastAsia"/>
          <w:lang w:val="en-GB"/>
        </w:rPr>
        <w:t>It was</w:t>
      </w:r>
      <w:r w:rsidR="008F74DE" w:rsidRPr="00F568FD">
        <w:rPr>
          <w:rFonts w:eastAsiaTheme="minorEastAsia"/>
          <w:lang w:val="en-GB"/>
        </w:rPr>
        <w:t xml:space="preserve"> stated that once the priority issues are identified, the country task force can look at the issues and</w:t>
      </w:r>
      <w:r w:rsidR="00033435" w:rsidRPr="00F568FD">
        <w:rPr>
          <w:rFonts w:eastAsiaTheme="minorEastAsia"/>
          <w:lang w:val="en-GB"/>
        </w:rPr>
        <w:t xml:space="preserve"> try to</w:t>
      </w:r>
      <w:r w:rsidR="008F74DE" w:rsidRPr="00F568FD">
        <w:rPr>
          <w:rFonts w:eastAsiaTheme="minorEastAsia"/>
          <w:lang w:val="en-GB"/>
        </w:rPr>
        <w:t xml:space="preserve"> find the information, including </w:t>
      </w:r>
      <w:r w:rsidR="00033435" w:rsidRPr="00F568FD">
        <w:rPr>
          <w:rFonts w:eastAsiaTheme="minorEastAsia"/>
          <w:lang w:val="en-GB"/>
        </w:rPr>
        <w:t xml:space="preserve">asking the State party to focus on the priority issues, and </w:t>
      </w:r>
      <w:r w:rsidR="00D27A63" w:rsidRPr="00F568FD">
        <w:rPr>
          <w:rFonts w:eastAsiaTheme="minorEastAsia"/>
          <w:lang w:val="en-GB"/>
        </w:rPr>
        <w:t xml:space="preserve">by getting </w:t>
      </w:r>
      <w:r w:rsidR="008F74DE" w:rsidRPr="00F568FD">
        <w:rPr>
          <w:rFonts w:eastAsiaTheme="minorEastAsia"/>
          <w:lang w:val="en-GB"/>
        </w:rPr>
        <w:t xml:space="preserve">inputs from stakeholders. </w:t>
      </w:r>
    </w:p>
    <w:p w14:paraId="5BFF87B8" w14:textId="1417FDFD" w:rsidR="00E26510" w:rsidRPr="00F568FD" w:rsidRDefault="00B03480" w:rsidP="00E26510">
      <w:pPr>
        <w:pStyle w:val="SingleTxtG"/>
        <w:rPr>
          <w:rFonts w:eastAsiaTheme="minorEastAsia"/>
          <w:lang w:val="en-GB"/>
        </w:rPr>
      </w:pPr>
      <w:r w:rsidRPr="00F568FD">
        <w:rPr>
          <w:rFonts w:eastAsiaTheme="minorEastAsia"/>
          <w:lang w:val="en-GB"/>
        </w:rPr>
        <w:t>15.</w:t>
      </w:r>
      <w:r w:rsidRPr="00F568FD">
        <w:rPr>
          <w:rFonts w:eastAsiaTheme="minorEastAsia"/>
          <w:lang w:val="en-GB"/>
        </w:rPr>
        <w:tab/>
      </w:r>
      <w:r w:rsidR="00430970" w:rsidRPr="00F568FD">
        <w:rPr>
          <w:rFonts w:eastAsiaTheme="minorEastAsia"/>
          <w:lang w:val="en-GB"/>
        </w:rPr>
        <w:t>It was suggested that a</w:t>
      </w:r>
      <w:r w:rsidR="00610591" w:rsidRPr="00F568FD">
        <w:rPr>
          <w:rFonts w:eastAsiaTheme="minorEastAsia"/>
          <w:lang w:val="en-GB"/>
        </w:rPr>
        <w:t xml:space="preserve"> Committee</w:t>
      </w:r>
      <w:r w:rsidR="00430970" w:rsidRPr="00F568FD">
        <w:rPr>
          <w:rFonts w:eastAsiaTheme="minorEastAsia"/>
          <w:lang w:val="en-GB"/>
        </w:rPr>
        <w:t xml:space="preserve"> should mak</w:t>
      </w:r>
      <w:r w:rsidR="00610591" w:rsidRPr="00F568FD">
        <w:rPr>
          <w:rFonts w:eastAsiaTheme="minorEastAsia"/>
          <w:lang w:val="en-GB"/>
        </w:rPr>
        <w:t>e</w:t>
      </w:r>
      <w:r w:rsidR="00895586" w:rsidRPr="00F568FD">
        <w:rPr>
          <w:rFonts w:eastAsiaTheme="minorEastAsia"/>
          <w:lang w:val="en-GB"/>
        </w:rPr>
        <w:t xml:space="preserve"> it clear in the LOIPR that</w:t>
      </w:r>
      <w:r w:rsidR="00D450D5" w:rsidRPr="00F568FD">
        <w:rPr>
          <w:rFonts w:eastAsiaTheme="minorEastAsia"/>
          <w:lang w:val="en-GB"/>
        </w:rPr>
        <w:t xml:space="preserve"> it</w:t>
      </w:r>
      <w:r w:rsidR="00895586" w:rsidRPr="00F568FD">
        <w:rPr>
          <w:rFonts w:eastAsiaTheme="minorEastAsia"/>
          <w:lang w:val="en-GB"/>
        </w:rPr>
        <w:t xml:space="preserve"> ha</w:t>
      </w:r>
      <w:r w:rsidR="00D450D5" w:rsidRPr="00F568FD">
        <w:rPr>
          <w:rFonts w:eastAsiaTheme="minorEastAsia"/>
          <w:lang w:val="en-GB"/>
        </w:rPr>
        <w:t>s</w:t>
      </w:r>
      <w:r w:rsidR="00895586" w:rsidRPr="00F568FD">
        <w:rPr>
          <w:rFonts w:eastAsiaTheme="minorEastAsia"/>
          <w:lang w:val="en-GB"/>
        </w:rPr>
        <w:t xml:space="preserve"> the flexibility to address any issue during the dialogue</w:t>
      </w:r>
      <w:r w:rsidR="00430970" w:rsidRPr="00F568FD">
        <w:rPr>
          <w:rFonts w:eastAsiaTheme="minorEastAsia"/>
          <w:lang w:val="en-GB"/>
        </w:rPr>
        <w:t xml:space="preserve">. This would </w:t>
      </w:r>
      <w:r w:rsidR="00895586" w:rsidRPr="00F568FD">
        <w:rPr>
          <w:rFonts w:eastAsiaTheme="minorEastAsia"/>
          <w:lang w:val="en-GB"/>
        </w:rPr>
        <w:t>rem</w:t>
      </w:r>
      <w:r w:rsidR="00610591" w:rsidRPr="00F568FD">
        <w:rPr>
          <w:rFonts w:eastAsiaTheme="minorEastAsia"/>
          <w:lang w:val="en-GB"/>
        </w:rPr>
        <w:t xml:space="preserve">ove some of the pressure to </w:t>
      </w:r>
      <w:r w:rsidR="00895586" w:rsidRPr="00F568FD">
        <w:rPr>
          <w:rFonts w:eastAsiaTheme="minorEastAsia"/>
          <w:lang w:val="en-GB"/>
        </w:rPr>
        <w:t>exhaustively cover all issues in the LOIPR.</w:t>
      </w:r>
      <w:r w:rsidR="00610591" w:rsidRPr="00F568FD">
        <w:rPr>
          <w:rFonts w:eastAsiaTheme="minorEastAsia"/>
          <w:lang w:val="en-GB"/>
        </w:rPr>
        <w:t xml:space="preserve"> Some Committees have the practice of explaining</w:t>
      </w:r>
      <w:r w:rsidR="00895586" w:rsidRPr="00F568FD">
        <w:rPr>
          <w:rFonts w:eastAsiaTheme="minorEastAsia"/>
          <w:lang w:val="en-GB"/>
        </w:rPr>
        <w:t xml:space="preserve"> </w:t>
      </w:r>
      <w:r w:rsidR="00FE09A2" w:rsidRPr="00F568FD">
        <w:rPr>
          <w:rFonts w:eastAsiaTheme="minorEastAsia"/>
          <w:lang w:val="en-GB"/>
        </w:rPr>
        <w:t>to the State party why a new issue is raised in the dialogue.</w:t>
      </w:r>
      <w:r w:rsidR="007343EB" w:rsidRPr="00F568FD">
        <w:rPr>
          <w:rFonts w:eastAsiaTheme="minorEastAsia"/>
          <w:lang w:val="en-GB"/>
        </w:rPr>
        <w:t xml:space="preserve"> </w:t>
      </w:r>
      <w:r w:rsidR="00D450D5" w:rsidRPr="00F568FD">
        <w:rPr>
          <w:rFonts w:eastAsiaTheme="minorEastAsia"/>
          <w:lang w:val="en-GB"/>
        </w:rPr>
        <w:t xml:space="preserve">  </w:t>
      </w:r>
      <w:r w:rsidR="00C53905" w:rsidRPr="00F568FD">
        <w:rPr>
          <w:rFonts w:eastAsiaTheme="minorEastAsia"/>
          <w:lang w:val="en-GB"/>
        </w:rPr>
        <w:t xml:space="preserve">It was also stated that </w:t>
      </w:r>
      <w:r w:rsidR="007343EB" w:rsidRPr="00F568FD">
        <w:rPr>
          <w:rFonts w:eastAsiaTheme="minorEastAsia"/>
          <w:lang w:val="en-GB"/>
        </w:rPr>
        <w:t xml:space="preserve">a database should be used </w:t>
      </w:r>
      <w:r w:rsidR="00265A56" w:rsidRPr="00F568FD">
        <w:rPr>
          <w:rFonts w:eastAsiaTheme="minorEastAsia"/>
          <w:lang w:val="en-GB"/>
        </w:rPr>
        <w:t>to keep an overview of the Committees</w:t>
      </w:r>
      <w:r w:rsidR="001921C7" w:rsidRPr="00F568FD">
        <w:rPr>
          <w:rFonts w:eastAsiaTheme="minorEastAsia"/>
          <w:lang w:val="en-GB"/>
        </w:rPr>
        <w:t xml:space="preserve"> and States parties</w:t>
      </w:r>
      <w:r w:rsidR="00265A56" w:rsidRPr="00F568FD">
        <w:rPr>
          <w:rFonts w:eastAsiaTheme="minorEastAsia"/>
          <w:lang w:val="en-GB"/>
        </w:rPr>
        <w:t xml:space="preserve"> that are using the LOIPR, and </w:t>
      </w:r>
      <w:r w:rsidR="001921C7" w:rsidRPr="00F568FD">
        <w:rPr>
          <w:rFonts w:eastAsiaTheme="minorEastAsia"/>
          <w:lang w:val="en-GB"/>
        </w:rPr>
        <w:t xml:space="preserve">to keep track of </w:t>
      </w:r>
      <w:r w:rsidR="00265A56" w:rsidRPr="00F568FD">
        <w:rPr>
          <w:rFonts w:eastAsiaTheme="minorEastAsia"/>
          <w:lang w:val="en-GB"/>
        </w:rPr>
        <w:t>the LOIPR</w:t>
      </w:r>
      <w:r w:rsidR="001921C7" w:rsidRPr="00F568FD">
        <w:rPr>
          <w:rFonts w:eastAsiaTheme="minorEastAsia"/>
          <w:lang w:val="en-GB"/>
        </w:rPr>
        <w:t xml:space="preserve"> in terms of deadlines and content</w:t>
      </w:r>
      <w:r w:rsidR="007343EB" w:rsidRPr="00F568FD">
        <w:rPr>
          <w:rFonts w:eastAsiaTheme="minorEastAsia"/>
          <w:lang w:val="en-GB"/>
        </w:rPr>
        <w:t>.</w:t>
      </w:r>
    </w:p>
    <w:p w14:paraId="2FBCC60F" w14:textId="1C21FEF7" w:rsidR="00B34B50" w:rsidRPr="00F568FD" w:rsidRDefault="00B03480" w:rsidP="00E26510">
      <w:pPr>
        <w:pStyle w:val="SingleTxtG"/>
        <w:rPr>
          <w:rFonts w:eastAsiaTheme="minorEastAsia"/>
          <w:lang w:val="en-GB"/>
        </w:rPr>
      </w:pPr>
      <w:r w:rsidRPr="00F568FD">
        <w:rPr>
          <w:rFonts w:eastAsiaTheme="minorEastAsia"/>
          <w:lang w:val="en-GB"/>
        </w:rPr>
        <w:t>16.</w:t>
      </w:r>
      <w:r w:rsidRPr="00F568FD">
        <w:rPr>
          <w:rFonts w:eastAsiaTheme="minorEastAsia"/>
          <w:lang w:val="en-GB"/>
        </w:rPr>
        <w:tab/>
      </w:r>
      <w:r w:rsidR="00B34B50" w:rsidRPr="00F568FD">
        <w:rPr>
          <w:rFonts w:eastAsiaTheme="minorEastAsia"/>
          <w:lang w:val="en-GB"/>
        </w:rPr>
        <w:t xml:space="preserve">In relation to the need to cross-reference information, </w:t>
      </w:r>
      <w:r w:rsidR="00C53905" w:rsidRPr="00F568FD">
        <w:rPr>
          <w:rFonts w:eastAsiaTheme="minorEastAsia"/>
          <w:lang w:val="en-GB"/>
        </w:rPr>
        <w:t>admittedly</w:t>
      </w:r>
      <w:r w:rsidR="00B34B50" w:rsidRPr="00F568FD">
        <w:rPr>
          <w:rFonts w:eastAsiaTheme="minorEastAsia"/>
          <w:lang w:val="en-GB"/>
        </w:rPr>
        <w:t xml:space="preserve"> Committees </w:t>
      </w:r>
      <w:r w:rsidR="00D450D5" w:rsidRPr="00F568FD">
        <w:rPr>
          <w:rFonts w:eastAsiaTheme="minorEastAsia"/>
          <w:lang w:val="en-GB"/>
        </w:rPr>
        <w:t xml:space="preserve">noted there could be improvement in this area. </w:t>
      </w:r>
      <w:r w:rsidR="00C53905" w:rsidRPr="00F568FD">
        <w:rPr>
          <w:rFonts w:eastAsiaTheme="minorEastAsia"/>
          <w:lang w:val="en-GB"/>
        </w:rPr>
        <w:t xml:space="preserve"> Therefore, there </w:t>
      </w:r>
      <w:r w:rsidR="003068CD" w:rsidRPr="00F568FD">
        <w:rPr>
          <w:rFonts w:eastAsiaTheme="minorEastAsia"/>
          <w:lang w:val="en-GB"/>
        </w:rPr>
        <w:t>was a need for Committees to</w:t>
      </w:r>
      <w:r w:rsidR="00D450D5" w:rsidRPr="00F568FD">
        <w:rPr>
          <w:rFonts w:eastAsiaTheme="minorEastAsia"/>
          <w:lang w:val="en-GB"/>
        </w:rPr>
        <w:t xml:space="preserve"> better</w:t>
      </w:r>
      <w:r w:rsidR="003068CD" w:rsidRPr="00F568FD">
        <w:rPr>
          <w:rFonts w:eastAsiaTheme="minorEastAsia"/>
          <w:lang w:val="en-GB"/>
        </w:rPr>
        <w:t xml:space="preserve"> coordinate </w:t>
      </w:r>
      <w:r w:rsidR="00C53905" w:rsidRPr="00F568FD">
        <w:rPr>
          <w:rFonts w:eastAsiaTheme="minorEastAsia"/>
          <w:lang w:val="en-GB"/>
        </w:rPr>
        <w:t>if a State was</w:t>
      </w:r>
      <w:r w:rsidR="003068CD" w:rsidRPr="00F568FD">
        <w:rPr>
          <w:rFonts w:eastAsiaTheme="minorEastAsia"/>
          <w:lang w:val="en-GB"/>
        </w:rPr>
        <w:t xml:space="preserve"> being reviewed by different Committees within a short time frame, for example during a </w:t>
      </w:r>
      <w:r w:rsidR="00430970" w:rsidRPr="00F568FD">
        <w:rPr>
          <w:rFonts w:eastAsiaTheme="minorEastAsia"/>
          <w:lang w:val="en-GB"/>
        </w:rPr>
        <w:t>two-year</w:t>
      </w:r>
      <w:r w:rsidR="003068CD" w:rsidRPr="00F568FD">
        <w:rPr>
          <w:rFonts w:eastAsiaTheme="minorEastAsia"/>
          <w:lang w:val="en-GB"/>
        </w:rPr>
        <w:t xml:space="preserve"> period. </w:t>
      </w:r>
      <w:r w:rsidR="00FB3D43" w:rsidRPr="00F568FD">
        <w:rPr>
          <w:rFonts w:eastAsiaTheme="minorEastAsia"/>
          <w:lang w:val="en-GB"/>
        </w:rPr>
        <w:t>The point was als</w:t>
      </w:r>
      <w:r w:rsidR="00C53905" w:rsidRPr="00F568FD">
        <w:rPr>
          <w:rFonts w:eastAsiaTheme="minorEastAsia"/>
          <w:lang w:val="en-GB"/>
        </w:rPr>
        <w:t>o made that there is a difference</w:t>
      </w:r>
      <w:r w:rsidR="00FB3D43" w:rsidRPr="00F568FD">
        <w:rPr>
          <w:rFonts w:eastAsiaTheme="minorEastAsia"/>
          <w:lang w:val="en-GB"/>
        </w:rPr>
        <w:t xml:space="preserve"> between</w:t>
      </w:r>
      <w:r w:rsidR="00430970" w:rsidRPr="00F568FD">
        <w:rPr>
          <w:rFonts w:eastAsiaTheme="minorEastAsia"/>
          <w:lang w:val="en-GB"/>
        </w:rPr>
        <w:t xml:space="preserve"> negative</w:t>
      </w:r>
      <w:r w:rsidR="00FB3D43" w:rsidRPr="00F568FD">
        <w:rPr>
          <w:rFonts w:eastAsiaTheme="minorEastAsia"/>
          <w:lang w:val="en-GB"/>
        </w:rPr>
        <w:t xml:space="preserve"> duplication or </w:t>
      </w:r>
      <w:r w:rsidR="00A608CB" w:rsidRPr="00F568FD">
        <w:rPr>
          <w:rFonts w:eastAsiaTheme="minorEastAsia"/>
          <w:lang w:val="en-GB"/>
        </w:rPr>
        <w:t>overlap</w:t>
      </w:r>
      <w:r w:rsidR="00FB3D43" w:rsidRPr="00F568FD">
        <w:rPr>
          <w:rFonts w:eastAsiaTheme="minorEastAsia"/>
          <w:lang w:val="en-GB"/>
        </w:rPr>
        <w:t xml:space="preserve"> which is unnecessary if not done on purpose and </w:t>
      </w:r>
      <w:r w:rsidR="00430970" w:rsidRPr="00F568FD">
        <w:rPr>
          <w:rFonts w:eastAsiaTheme="minorEastAsia"/>
          <w:lang w:val="en-GB"/>
        </w:rPr>
        <w:t xml:space="preserve">positive </w:t>
      </w:r>
      <w:r w:rsidR="00FB3D43" w:rsidRPr="00F568FD">
        <w:rPr>
          <w:rFonts w:eastAsiaTheme="minorEastAsia"/>
          <w:lang w:val="en-GB"/>
        </w:rPr>
        <w:t>reinforcement or repetition which is intentional because something needs to be</w:t>
      </w:r>
      <w:r w:rsidR="00E62FDF" w:rsidRPr="00F568FD">
        <w:rPr>
          <w:rFonts w:eastAsiaTheme="minorEastAsia"/>
          <w:lang w:val="en-GB"/>
        </w:rPr>
        <w:t xml:space="preserve"> repeatedly</w:t>
      </w:r>
      <w:r w:rsidR="00FB3D43" w:rsidRPr="00F568FD">
        <w:rPr>
          <w:rFonts w:eastAsiaTheme="minorEastAsia"/>
          <w:lang w:val="en-GB"/>
        </w:rPr>
        <w:t xml:space="preserve"> highlighted.</w:t>
      </w:r>
      <w:r w:rsidR="003068CD" w:rsidRPr="00F568FD">
        <w:rPr>
          <w:rFonts w:eastAsiaTheme="minorEastAsia"/>
          <w:lang w:val="en-GB"/>
        </w:rPr>
        <w:t xml:space="preserve"> </w:t>
      </w:r>
    </w:p>
    <w:p w14:paraId="56B7423E" w14:textId="4B3EC58D" w:rsidR="004B2FEB" w:rsidRPr="00F568FD" w:rsidRDefault="00B03480" w:rsidP="00E26510">
      <w:pPr>
        <w:pStyle w:val="SingleTxtG"/>
        <w:rPr>
          <w:rFonts w:eastAsiaTheme="minorEastAsia"/>
          <w:lang w:val="en-GB"/>
        </w:rPr>
      </w:pPr>
      <w:r w:rsidRPr="00F568FD">
        <w:rPr>
          <w:rFonts w:eastAsiaTheme="minorEastAsia"/>
          <w:lang w:val="en-GB"/>
        </w:rPr>
        <w:t>17.</w:t>
      </w:r>
      <w:r w:rsidRPr="00F568FD">
        <w:rPr>
          <w:rFonts w:eastAsiaTheme="minorEastAsia"/>
          <w:lang w:val="en-GB"/>
        </w:rPr>
        <w:tab/>
      </w:r>
      <w:r w:rsidR="00CC7E04" w:rsidRPr="00F568FD">
        <w:rPr>
          <w:rFonts w:eastAsiaTheme="minorEastAsia"/>
          <w:lang w:val="en-GB"/>
        </w:rPr>
        <w:t xml:space="preserve">It was pointed </w:t>
      </w:r>
      <w:r w:rsidR="00B859F1" w:rsidRPr="00F568FD">
        <w:rPr>
          <w:rFonts w:eastAsiaTheme="minorEastAsia"/>
          <w:lang w:val="en-GB"/>
        </w:rPr>
        <w:t>out</w:t>
      </w:r>
      <w:r w:rsidR="00CC7E04" w:rsidRPr="00F568FD">
        <w:rPr>
          <w:rFonts w:eastAsiaTheme="minorEastAsia"/>
          <w:lang w:val="en-GB"/>
        </w:rPr>
        <w:t xml:space="preserve"> that to ensure </w:t>
      </w:r>
      <w:r w:rsidR="00A608CB" w:rsidRPr="00F568FD">
        <w:rPr>
          <w:rFonts w:eastAsiaTheme="minorEastAsia"/>
          <w:lang w:val="en-GB"/>
        </w:rPr>
        <w:t>the e</w:t>
      </w:r>
      <w:r w:rsidR="00E62FDF" w:rsidRPr="00F568FD">
        <w:rPr>
          <w:rFonts w:eastAsiaTheme="minorEastAsia"/>
          <w:lang w:val="en-GB"/>
        </w:rPr>
        <w:t xml:space="preserve">ffective participation of civil society </w:t>
      </w:r>
      <w:r w:rsidR="00A608CB" w:rsidRPr="00F568FD">
        <w:rPr>
          <w:rFonts w:eastAsiaTheme="minorEastAsia"/>
          <w:lang w:val="en-GB"/>
        </w:rPr>
        <w:t>and nat</w:t>
      </w:r>
      <w:r w:rsidR="00CC7E04" w:rsidRPr="00F568FD">
        <w:rPr>
          <w:rFonts w:eastAsiaTheme="minorEastAsia"/>
          <w:lang w:val="en-GB"/>
        </w:rPr>
        <w:t xml:space="preserve">ional human rights institutions, there needed to be </w:t>
      </w:r>
      <w:r w:rsidR="00A608CB" w:rsidRPr="00F568FD">
        <w:rPr>
          <w:rFonts w:eastAsiaTheme="minorEastAsia"/>
          <w:lang w:val="en-GB"/>
        </w:rPr>
        <w:t>a</w:t>
      </w:r>
      <w:r w:rsidR="00D450D5" w:rsidRPr="00F568FD">
        <w:rPr>
          <w:rFonts w:eastAsiaTheme="minorEastAsia"/>
          <w:lang w:val="en-GB"/>
        </w:rPr>
        <w:t>n appropriate timeframe</w:t>
      </w:r>
      <w:r w:rsidR="00A608CB" w:rsidRPr="00F568FD">
        <w:rPr>
          <w:rFonts w:eastAsiaTheme="minorEastAsia"/>
          <w:lang w:val="en-GB"/>
        </w:rPr>
        <w:t xml:space="preserve"> so that Committees could benefit from the best poss</w:t>
      </w:r>
      <w:r w:rsidR="00357CBE" w:rsidRPr="00F568FD">
        <w:rPr>
          <w:rFonts w:eastAsiaTheme="minorEastAsia"/>
          <w:lang w:val="en-GB"/>
        </w:rPr>
        <w:t>ible information</w:t>
      </w:r>
      <w:r w:rsidR="0027696B" w:rsidRPr="00F568FD">
        <w:rPr>
          <w:rFonts w:eastAsiaTheme="minorEastAsia"/>
          <w:lang w:val="en-GB"/>
        </w:rPr>
        <w:t>.  I</w:t>
      </w:r>
      <w:r w:rsidR="00960D8A" w:rsidRPr="00F568FD">
        <w:rPr>
          <w:rFonts w:eastAsiaTheme="minorEastAsia"/>
          <w:lang w:val="en-GB"/>
        </w:rPr>
        <w:t xml:space="preserve">t was highlighted that the SRP needs to be planned in advance, be well organised, and deadlines need to be respected so that civil society can have the opportunity to </w:t>
      </w:r>
      <w:r w:rsidR="00B859F1" w:rsidRPr="00F568FD">
        <w:rPr>
          <w:rFonts w:eastAsiaTheme="minorEastAsia"/>
          <w:lang w:val="en-GB"/>
        </w:rPr>
        <w:t xml:space="preserve">submit information in advance of the adoption of the </w:t>
      </w:r>
      <w:r w:rsidR="00960D8A" w:rsidRPr="00F568FD">
        <w:rPr>
          <w:rFonts w:eastAsiaTheme="minorEastAsia"/>
          <w:lang w:val="en-GB"/>
        </w:rPr>
        <w:t>LOIPR. The input to the draft LOIPR is usually</w:t>
      </w:r>
      <w:r w:rsidR="00F00D12" w:rsidRPr="00F568FD">
        <w:rPr>
          <w:rFonts w:eastAsiaTheme="minorEastAsia"/>
          <w:lang w:val="en-GB"/>
        </w:rPr>
        <w:t xml:space="preserve"> more than</w:t>
      </w:r>
      <w:r w:rsidR="00960D8A" w:rsidRPr="00F568FD">
        <w:rPr>
          <w:rFonts w:eastAsiaTheme="minorEastAsia"/>
          <w:lang w:val="en-GB"/>
        </w:rPr>
        <w:t xml:space="preserve"> one year in adva</w:t>
      </w:r>
      <w:r w:rsidR="00430970" w:rsidRPr="00F568FD">
        <w:rPr>
          <w:rFonts w:eastAsiaTheme="minorEastAsia"/>
          <w:lang w:val="en-GB"/>
        </w:rPr>
        <w:t xml:space="preserve">nce of the dialogue. It was also pointed out that </w:t>
      </w:r>
      <w:r w:rsidR="00960D8A" w:rsidRPr="00F568FD">
        <w:rPr>
          <w:rFonts w:eastAsiaTheme="minorEastAsia"/>
          <w:lang w:val="en-GB"/>
        </w:rPr>
        <w:t xml:space="preserve">there needs to be another opportunity to provide input </w:t>
      </w:r>
      <w:r w:rsidR="00430970" w:rsidRPr="00F568FD">
        <w:rPr>
          <w:rFonts w:eastAsiaTheme="minorEastAsia"/>
          <w:lang w:val="en-GB"/>
        </w:rPr>
        <w:t xml:space="preserve">to the Committee </w:t>
      </w:r>
      <w:r w:rsidR="00960D8A" w:rsidRPr="00F568FD">
        <w:rPr>
          <w:rFonts w:eastAsiaTheme="minorEastAsia"/>
          <w:lang w:val="en-GB"/>
        </w:rPr>
        <w:t xml:space="preserve">just prior to the dialogue taking place. In most Committees, civil society has the opportunity to interact with the members either in person or remotely, </w:t>
      </w:r>
      <w:r w:rsidR="00E62FDF" w:rsidRPr="00F568FD">
        <w:rPr>
          <w:rFonts w:eastAsiaTheme="minorEastAsia"/>
          <w:lang w:val="en-GB"/>
        </w:rPr>
        <w:t xml:space="preserve">through </w:t>
      </w:r>
      <w:r w:rsidR="00960D8A" w:rsidRPr="00F568FD">
        <w:rPr>
          <w:rFonts w:eastAsiaTheme="minorEastAsia"/>
          <w:lang w:val="en-GB"/>
        </w:rPr>
        <w:t xml:space="preserve">telephone, </w:t>
      </w:r>
      <w:r w:rsidR="00E62FDF" w:rsidRPr="00F568FD">
        <w:rPr>
          <w:rFonts w:eastAsiaTheme="minorEastAsia"/>
          <w:lang w:val="en-GB"/>
        </w:rPr>
        <w:t>video or skype</w:t>
      </w:r>
      <w:r w:rsidR="00960D8A" w:rsidRPr="00F568FD">
        <w:rPr>
          <w:rFonts w:eastAsiaTheme="minorEastAsia"/>
          <w:lang w:val="en-GB"/>
        </w:rPr>
        <w:t>.</w:t>
      </w:r>
    </w:p>
    <w:p w14:paraId="0EE0168A" w14:textId="4BBA67C4" w:rsidR="00B06FC0" w:rsidRPr="00033F29" w:rsidRDefault="00033F29" w:rsidP="00033F29">
      <w:pPr>
        <w:pStyle w:val="H1G"/>
        <w:rPr>
          <w:rFonts w:eastAsiaTheme="minorEastAsia"/>
          <w:lang w:val="en-GB" w:eastAsia="ja-JP"/>
        </w:rPr>
      </w:pPr>
      <w:r w:rsidRPr="00C01FF0">
        <w:rPr>
          <w:rFonts w:eastAsiaTheme="minorEastAsia"/>
          <w:lang w:val="en-GB" w:eastAsia="ja-JP"/>
        </w:rPr>
        <w:tab/>
      </w:r>
      <w:r w:rsidR="00B06FC0" w:rsidRPr="00033F29">
        <w:rPr>
          <w:rFonts w:eastAsiaTheme="minorEastAsia"/>
          <w:lang w:val="en-GB" w:eastAsia="ja-JP"/>
        </w:rPr>
        <w:t>E.</w:t>
      </w:r>
      <w:r>
        <w:rPr>
          <w:rFonts w:eastAsiaTheme="minorEastAsia"/>
          <w:lang w:val="en-GB" w:eastAsia="ja-JP"/>
        </w:rPr>
        <w:tab/>
      </w:r>
      <w:r w:rsidR="00E26510">
        <w:rPr>
          <w:rFonts w:eastAsiaTheme="minorEastAsia"/>
          <w:lang w:val="en-GB" w:eastAsia="ja-JP"/>
        </w:rPr>
        <w:t>Internal methodology, external guidelines and deadlines</w:t>
      </w:r>
    </w:p>
    <w:p w14:paraId="0BB9A3FF" w14:textId="2DF9ADC0" w:rsidR="00B06FC0" w:rsidRPr="00F568FD" w:rsidRDefault="00B03480" w:rsidP="00945FFC">
      <w:pPr>
        <w:pStyle w:val="SingleTxtG"/>
        <w:rPr>
          <w:rFonts w:eastAsiaTheme="minorEastAsia"/>
          <w:lang w:val="en-GB"/>
        </w:rPr>
      </w:pPr>
      <w:r w:rsidRPr="00F568FD">
        <w:rPr>
          <w:rFonts w:eastAsiaTheme="minorEastAsia"/>
          <w:lang w:val="en-GB"/>
        </w:rPr>
        <w:t>18.</w:t>
      </w:r>
      <w:r w:rsidRPr="00F568FD">
        <w:rPr>
          <w:rFonts w:eastAsiaTheme="minorEastAsia"/>
          <w:lang w:val="en-GB"/>
        </w:rPr>
        <w:tab/>
      </w:r>
      <w:r w:rsidR="00AC2567" w:rsidRPr="00F568FD">
        <w:rPr>
          <w:rFonts w:eastAsiaTheme="minorEastAsia"/>
          <w:lang w:val="en-GB"/>
        </w:rPr>
        <w:t xml:space="preserve">It was thought that there needs to be a common methodology and a common website for all Committees, including deadlines for inputs by stakeholders. The methodology needs to clarify what is </w:t>
      </w:r>
      <w:r w:rsidR="00BE0007" w:rsidRPr="00F568FD">
        <w:rPr>
          <w:rFonts w:eastAsiaTheme="minorEastAsia"/>
          <w:lang w:val="en-GB"/>
        </w:rPr>
        <w:t xml:space="preserve">unnecessary </w:t>
      </w:r>
      <w:r w:rsidR="00AC2567" w:rsidRPr="00F568FD">
        <w:rPr>
          <w:rFonts w:eastAsiaTheme="minorEastAsia"/>
          <w:lang w:val="en-GB"/>
        </w:rPr>
        <w:t xml:space="preserve">overlap and what is positive reinforcement of recommendations. A standard LOIPR, and the schedule of State parties to be reviewed </w:t>
      </w:r>
      <w:r w:rsidR="00E548DB" w:rsidRPr="00F568FD">
        <w:rPr>
          <w:rFonts w:eastAsiaTheme="minorEastAsia"/>
          <w:lang w:val="en-GB"/>
        </w:rPr>
        <w:t xml:space="preserve">over two years </w:t>
      </w:r>
      <w:r w:rsidR="00AC2567" w:rsidRPr="00F568FD">
        <w:rPr>
          <w:rFonts w:eastAsiaTheme="minorEastAsia"/>
          <w:lang w:val="en-GB"/>
        </w:rPr>
        <w:t xml:space="preserve">would be important methodological tools to develop by a small group of </w:t>
      </w:r>
      <w:r w:rsidR="00CC7E04" w:rsidRPr="00F568FD">
        <w:rPr>
          <w:rFonts w:eastAsiaTheme="minorEastAsia"/>
          <w:lang w:val="en-GB"/>
        </w:rPr>
        <w:t xml:space="preserve">treaty body members, for example, some of the </w:t>
      </w:r>
      <w:r w:rsidR="00AC2567" w:rsidRPr="00F568FD">
        <w:rPr>
          <w:rFonts w:eastAsiaTheme="minorEastAsia"/>
          <w:lang w:val="en-GB"/>
        </w:rPr>
        <w:t>participants</w:t>
      </w:r>
      <w:r w:rsidR="00CC7E04" w:rsidRPr="00F568FD">
        <w:rPr>
          <w:rFonts w:eastAsiaTheme="minorEastAsia"/>
          <w:lang w:val="en-GB"/>
        </w:rPr>
        <w:t>,</w:t>
      </w:r>
      <w:r w:rsidR="00AC2567" w:rsidRPr="00F568FD">
        <w:rPr>
          <w:rFonts w:eastAsiaTheme="minorEastAsia"/>
          <w:lang w:val="en-GB"/>
        </w:rPr>
        <w:t xml:space="preserve"> which could work inter-sessionally.</w:t>
      </w:r>
    </w:p>
    <w:p w14:paraId="6BD52CCD" w14:textId="3FEE3F8B" w:rsidR="00B06FC0" w:rsidRPr="00033F29" w:rsidRDefault="00033F29" w:rsidP="00033F29">
      <w:pPr>
        <w:pStyle w:val="H1G"/>
        <w:rPr>
          <w:rFonts w:eastAsiaTheme="minorEastAsia"/>
          <w:lang w:val="en-GB" w:eastAsia="ja-JP"/>
        </w:rPr>
      </w:pPr>
      <w:r w:rsidRPr="00C01FF0">
        <w:rPr>
          <w:rFonts w:eastAsiaTheme="minorEastAsia"/>
          <w:lang w:val="en-GB" w:eastAsia="ja-JP"/>
        </w:rPr>
        <w:tab/>
      </w:r>
      <w:r w:rsidRPr="00033F29">
        <w:rPr>
          <w:rFonts w:eastAsiaTheme="minorEastAsia"/>
          <w:lang w:val="en-GB" w:eastAsia="ja-JP"/>
        </w:rPr>
        <w:t>F.</w:t>
      </w:r>
      <w:r w:rsidRPr="00033F29">
        <w:rPr>
          <w:rFonts w:eastAsiaTheme="minorEastAsia"/>
          <w:lang w:val="en-GB" w:eastAsia="ja-JP"/>
        </w:rPr>
        <w:tab/>
      </w:r>
      <w:r w:rsidR="00E26510">
        <w:rPr>
          <w:rFonts w:eastAsiaTheme="minorEastAsia"/>
          <w:lang w:val="en-GB" w:eastAsia="ja-JP"/>
        </w:rPr>
        <w:t>Simplified reporting procedure and coordination</w:t>
      </w:r>
    </w:p>
    <w:p w14:paraId="6C249308" w14:textId="39CFF575" w:rsidR="00A608CB" w:rsidRPr="00C01FF0" w:rsidRDefault="00B03480" w:rsidP="00A608CB">
      <w:pPr>
        <w:pStyle w:val="SingleTxtG"/>
        <w:rPr>
          <w:rFonts w:eastAsiaTheme="minorEastAsia"/>
          <w:lang w:val="en-GB" w:eastAsia="ja-JP"/>
        </w:rPr>
      </w:pPr>
      <w:r>
        <w:rPr>
          <w:rFonts w:eastAsiaTheme="minorEastAsia"/>
          <w:lang w:val="en-GB" w:eastAsia="ja-JP"/>
        </w:rPr>
        <w:t>19.</w:t>
      </w:r>
      <w:r>
        <w:rPr>
          <w:rFonts w:eastAsiaTheme="minorEastAsia"/>
          <w:lang w:val="en-GB" w:eastAsia="ja-JP"/>
        </w:rPr>
        <w:tab/>
      </w:r>
      <w:r w:rsidR="00C477B7">
        <w:rPr>
          <w:rFonts w:eastAsiaTheme="minorEastAsia"/>
          <w:lang w:val="en-GB" w:eastAsia="ja-JP"/>
        </w:rPr>
        <w:t xml:space="preserve">Those Committees which adopt LOIPR in a pre-sessional working group thought that this was a good practice which works well The Committee on the Rights of the Child is the only one which has a working group composed of the full membership, and </w:t>
      </w:r>
      <w:r w:rsidR="0027696B">
        <w:rPr>
          <w:rFonts w:eastAsiaTheme="minorEastAsia"/>
          <w:lang w:val="en-GB" w:eastAsia="ja-JP"/>
        </w:rPr>
        <w:t>its</w:t>
      </w:r>
      <w:r w:rsidR="00C477B7">
        <w:rPr>
          <w:rFonts w:eastAsiaTheme="minorEastAsia"/>
          <w:lang w:val="en-GB" w:eastAsia="ja-JP"/>
        </w:rPr>
        <w:t xml:space="preserve"> work is organised through task forces of country rapporteurs.</w:t>
      </w:r>
    </w:p>
    <w:p w14:paraId="52297CBC" w14:textId="5E38FBDC" w:rsidR="00B06FC0" w:rsidRPr="00C01FF0" w:rsidRDefault="00B03480" w:rsidP="00033F29">
      <w:pPr>
        <w:pStyle w:val="SingleTxtG"/>
        <w:rPr>
          <w:rFonts w:eastAsiaTheme="minorEastAsia"/>
          <w:lang w:val="en-GB" w:eastAsia="ja-JP"/>
        </w:rPr>
      </w:pPr>
      <w:r>
        <w:rPr>
          <w:rFonts w:eastAsiaTheme="minorEastAsia"/>
          <w:lang w:val="en-GB" w:eastAsia="ja-JP"/>
        </w:rPr>
        <w:t>20.</w:t>
      </w:r>
      <w:r>
        <w:rPr>
          <w:rFonts w:eastAsiaTheme="minorEastAsia"/>
          <w:lang w:val="en-GB" w:eastAsia="ja-JP"/>
        </w:rPr>
        <w:tab/>
      </w:r>
      <w:r w:rsidR="00C477B7">
        <w:rPr>
          <w:rFonts w:eastAsiaTheme="minorEastAsia"/>
          <w:lang w:val="en-GB" w:eastAsia="ja-JP"/>
        </w:rPr>
        <w:t xml:space="preserve">Knowledge management was also raised as an issue, as coordination requires the creation of a common </w:t>
      </w:r>
      <w:r w:rsidR="00E548DB">
        <w:rPr>
          <w:rFonts w:eastAsiaTheme="minorEastAsia"/>
          <w:lang w:val="en-GB" w:eastAsia="ja-JP"/>
        </w:rPr>
        <w:t xml:space="preserve">electronic </w:t>
      </w:r>
      <w:r w:rsidR="00C477B7">
        <w:rPr>
          <w:rFonts w:eastAsiaTheme="minorEastAsia"/>
          <w:lang w:val="en-GB" w:eastAsia="ja-JP"/>
        </w:rPr>
        <w:t>rep</w:t>
      </w:r>
      <w:r w:rsidR="00F32FE7">
        <w:rPr>
          <w:rFonts w:eastAsiaTheme="minorEastAsia"/>
          <w:lang w:val="en-GB" w:eastAsia="ja-JP"/>
        </w:rPr>
        <w:t>ository of country information,</w:t>
      </w:r>
    </w:p>
    <w:p w14:paraId="1CA3289E" w14:textId="64016E7B" w:rsidR="00B06FC0" w:rsidRPr="00033F29" w:rsidRDefault="00033F29" w:rsidP="00033F29">
      <w:pPr>
        <w:pStyle w:val="H1G"/>
        <w:rPr>
          <w:rFonts w:eastAsiaTheme="minorEastAsia"/>
          <w:lang w:val="en-GB" w:eastAsia="ja-JP"/>
        </w:rPr>
      </w:pPr>
      <w:r w:rsidRPr="00C01FF0">
        <w:rPr>
          <w:rFonts w:eastAsiaTheme="minorEastAsia"/>
          <w:lang w:val="en-GB" w:eastAsia="ja-JP"/>
        </w:rPr>
        <w:tab/>
      </w:r>
      <w:r w:rsidRPr="00033F29">
        <w:rPr>
          <w:rFonts w:eastAsiaTheme="minorEastAsia"/>
          <w:lang w:val="en-GB" w:eastAsia="ja-JP"/>
        </w:rPr>
        <w:t>G.</w:t>
      </w:r>
      <w:r w:rsidRPr="00033F29">
        <w:rPr>
          <w:rFonts w:eastAsiaTheme="minorEastAsia"/>
          <w:lang w:val="en-GB" w:eastAsia="ja-JP"/>
        </w:rPr>
        <w:tab/>
      </w:r>
      <w:r w:rsidR="00E26510">
        <w:rPr>
          <w:rFonts w:eastAsiaTheme="minorEastAsia"/>
          <w:lang w:val="en-GB" w:eastAsia="ja-JP"/>
        </w:rPr>
        <w:t>Length of questions, focus dialogue on priority issues, length of concluding observations</w:t>
      </w:r>
    </w:p>
    <w:p w14:paraId="36D2F66F" w14:textId="66BA23FA" w:rsidR="00945FFC" w:rsidRDefault="00B03480" w:rsidP="00E26510">
      <w:pPr>
        <w:pStyle w:val="SingleTxtG"/>
        <w:rPr>
          <w:rFonts w:eastAsiaTheme="minorEastAsia"/>
          <w:lang w:val="en-GB" w:eastAsia="ja-JP"/>
        </w:rPr>
      </w:pPr>
      <w:r>
        <w:rPr>
          <w:rFonts w:eastAsiaTheme="minorEastAsia"/>
          <w:lang w:val="en-GB" w:eastAsia="ja-JP"/>
        </w:rPr>
        <w:t>21.</w:t>
      </w:r>
      <w:r>
        <w:rPr>
          <w:rFonts w:eastAsiaTheme="minorEastAsia"/>
          <w:lang w:val="en-GB" w:eastAsia="ja-JP"/>
        </w:rPr>
        <w:tab/>
      </w:r>
      <w:r w:rsidR="00945FFC">
        <w:rPr>
          <w:rFonts w:eastAsiaTheme="minorEastAsia"/>
          <w:lang w:val="en-GB" w:eastAsia="ja-JP"/>
        </w:rPr>
        <w:t>It was acknowledged that it was very challenging to limit the length of questions either in terms of a maximum number of questions</w:t>
      </w:r>
      <w:r w:rsidR="00F00D12">
        <w:rPr>
          <w:rFonts w:eastAsiaTheme="minorEastAsia"/>
          <w:lang w:val="en-GB" w:eastAsia="ja-JP"/>
        </w:rPr>
        <w:t>, or in terms of scope.</w:t>
      </w:r>
      <w:r w:rsidR="00945FFC">
        <w:rPr>
          <w:rFonts w:eastAsiaTheme="minorEastAsia"/>
          <w:lang w:val="en-GB" w:eastAsia="ja-JP"/>
        </w:rPr>
        <w:t xml:space="preserve"> Questions include sub-questions as many of the issues are complex and need in-depth analysis.</w:t>
      </w:r>
    </w:p>
    <w:p w14:paraId="3A59F397" w14:textId="5B92C8C0" w:rsidR="00E26510" w:rsidRPr="00C01FF0" w:rsidRDefault="00B03480" w:rsidP="00E26510">
      <w:pPr>
        <w:pStyle w:val="SingleTxtG"/>
        <w:rPr>
          <w:rFonts w:eastAsiaTheme="minorEastAsia"/>
          <w:lang w:val="en-GB" w:eastAsia="ja-JP"/>
        </w:rPr>
      </w:pPr>
      <w:r>
        <w:rPr>
          <w:rFonts w:eastAsiaTheme="minorEastAsia"/>
          <w:lang w:val="en-GB" w:eastAsia="ja-JP"/>
        </w:rPr>
        <w:t>22.</w:t>
      </w:r>
      <w:r>
        <w:rPr>
          <w:rFonts w:eastAsiaTheme="minorEastAsia"/>
          <w:lang w:val="en-GB" w:eastAsia="ja-JP"/>
        </w:rPr>
        <w:tab/>
      </w:r>
      <w:r w:rsidR="00945FFC">
        <w:rPr>
          <w:rFonts w:eastAsiaTheme="minorEastAsia"/>
          <w:lang w:val="en-GB" w:eastAsia="ja-JP"/>
        </w:rPr>
        <w:t>There was a discussion as to the n</w:t>
      </w:r>
      <w:r w:rsidR="00960D8A">
        <w:rPr>
          <w:rFonts w:eastAsiaTheme="minorEastAsia"/>
          <w:lang w:val="en-GB" w:eastAsia="ja-JP"/>
        </w:rPr>
        <w:t xml:space="preserve">eed to focus and be strategic </w:t>
      </w:r>
      <w:r w:rsidR="00945FFC">
        <w:rPr>
          <w:rFonts w:eastAsiaTheme="minorEastAsia"/>
          <w:lang w:val="en-GB" w:eastAsia="ja-JP"/>
        </w:rPr>
        <w:t xml:space="preserve">during the SRP </w:t>
      </w:r>
      <w:r w:rsidR="00960D8A">
        <w:rPr>
          <w:rFonts w:eastAsiaTheme="minorEastAsia"/>
          <w:lang w:val="en-GB" w:eastAsia="ja-JP"/>
        </w:rPr>
        <w:t>versus monitoring the comprehensive implementation of the treaties.</w:t>
      </w:r>
      <w:r w:rsidR="00945FFC">
        <w:rPr>
          <w:rFonts w:eastAsiaTheme="minorEastAsia"/>
          <w:lang w:val="en-GB" w:eastAsia="ja-JP"/>
        </w:rPr>
        <w:t xml:space="preserve"> It was thought that if the SRP became a default procedure, at some stage the Committees would need to do an overall </w:t>
      </w:r>
      <w:r w:rsidR="00945FFC" w:rsidRPr="00B01481">
        <w:rPr>
          <w:rFonts w:eastAsiaTheme="minorEastAsia"/>
          <w:lang w:val="en-GB" w:eastAsia="ja-JP"/>
        </w:rPr>
        <w:t>review</w:t>
      </w:r>
      <w:r w:rsidR="00CC7E04" w:rsidRPr="00B01481">
        <w:rPr>
          <w:rFonts w:eastAsiaTheme="minorEastAsia"/>
          <w:lang w:val="en-GB" w:eastAsia="ja-JP"/>
        </w:rPr>
        <w:t xml:space="preserve"> under the RRP</w:t>
      </w:r>
      <w:r w:rsidR="00945FFC" w:rsidRPr="00B01481">
        <w:rPr>
          <w:rFonts w:eastAsiaTheme="minorEastAsia"/>
          <w:lang w:val="en-GB" w:eastAsia="ja-JP"/>
        </w:rPr>
        <w:t>, for example</w:t>
      </w:r>
      <w:r w:rsidR="00945FFC">
        <w:rPr>
          <w:rFonts w:eastAsiaTheme="minorEastAsia"/>
          <w:lang w:val="en-GB" w:eastAsia="ja-JP"/>
        </w:rPr>
        <w:t>, every 10 years</w:t>
      </w:r>
      <w:r w:rsidR="005B035C">
        <w:rPr>
          <w:rFonts w:eastAsiaTheme="minorEastAsia"/>
          <w:lang w:val="en-GB" w:eastAsia="ja-JP"/>
        </w:rPr>
        <w:t>, or every “other” cycle</w:t>
      </w:r>
      <w:r w:rsidR="00945FFC">
        <w:rPr>
          <w:rFonts w:eastAsiaTheme="minorEastAsia"/>
          <w:lang w:val="en-GB" w:eastAsia="ja-JP"/>
        </w:rPr>
        <w:t>.</w:t>
      </w:r>
    </w:p>
    <w:p w14:paraId="3045DB57" w14:textId="5513CD95" w:rsidR="00B06FC0" w:rsidRDefault="00B03480" w:rsidP="00033F29">
      <w:pPr>
        <w:pStyle w:val="SingleTxtG"/>
        <w:rPr>
          <w:rFonts w:eastAsiaTheme="minorEastAsia"/>
          <w:lang w:val="en-GB" w:eastAsia="ja-JP"/>
        </w:rPr>
      </w:pPr>
      <w:r>
        <w:rPr>
          <w:rFonts w:eastAsiaTheme="minorEastAsia"/>
          <w:lang w:val="en-GB" w:eastAsia="ja-JP"/>
        </w:rPr>
        <w:t>23.</w:t>
      </w:r>
      <w:r>
        <w:rPr>
          <w:rFonts w:eastAsiaTheme="minorEastAsia"/>
          <w:lang w:val="en-GB" w:eastAsia="ja-JP"/>
        </w:rPr>
        <w:tab/>
      </w:r>
      <w:r w:rsidR="00945FFC">
        <w:rPr>
          <w:rFonts w:eastAsiaTheme="minorEastAsia"/>
          <w:lang w:val="en-GB" w:eastAsia="ja-JP"/>
        </w:rPr>
        <w:t xml:space="preserve">The issue of focusing the dialogue was also raised and whether the dialogue could be shortened by one hour if the information </w:t>
      </w:r>
      <w:r w:rsidR="00F00D12">
        <w:rPr>
          <w:rFonts w:eastAsiaTheme="minorEastAsia"/>
          <w:lang w:val="en-GB" w:eastAsia="ja-JP"/>
        </w:rPr>
        <w:t xml:space="preserve">requested from the State party </w:t>
      </w:r>
      <w:r w:rsidR="00945FFC">
        <w:rPr>
          <w:rFonts w:eastAsiaTheme="minorEastAsia"/>
          <w:lang w:val="en-GB" w:eastAsia="ja-JP"/>
        </w:rPr>
        <w:t xml:space="preserve">was already provided in writing and in advance. </w:t>
      </w:r>
      <w:r w:rsidR="00326A2A">
        <w:rPr>
          <w:rFonts w:eastAsiaTheme="minorEastAsia"/>
          <w:lang w:val="en-GB" w:eastAsia="ja-JP"/>
        </w:rPr>
        <w:t>Issues</w:t>
      </w:r>
      <w:r w:rsidR="00945FFC">
        <w:rPr>
          <w:rFonts w:eastAsiaTheme="minorEastAsia"/>
          <w:lang w:val="en-GB" w:eastAsia="ja-JP"/>
        </w:rPr>
        <w:t xml:space="preserve"> of</w:t>
      </w:r>
      <w:r w:rsidR="00326A2A">
        <w:rPr>
          <w:rFonts w:eastAsiaTheme="minorEastAsia"/>
          <w:lang w:val="en-GB" w:eastAsia="ja-JP"/>
        </w:rPr>
        <w:t xml:space="preserve"> division of labour between Committee members and the </w:t>
      </w:r>
      <w:r w:rsidR="00BA16C5">
        <w:rPr>
          <w:rFonts w:eastAsiaTheme="minorEastAsia"/>
          <w:lang w:val="en-GB" w:eastAsia="ja-JP"/>
        </w:rPr>
        <w:t xml:space="preserve">overall </w:t>
      </w:r>
      <w:r w:rsidR="00326A2A">
        <w:rPr>
          <w:rFonts w:eastAsiaTheme="minorEastAsia"/>
          <w:lang w:val="en-GB" w:eastAsia="ja-JP"/>
        </w:rPr>
        <w:t>allocation of time during the dialogue with the State party were discussed</w:t>
      </w:r>
      <w:r w:rsidR="00945FFC">
        <w:rPr>
          <w:rFonts w:eastAsiaTheme="minorEastAsia"/>
          <w:lang w:val="en-GB" w:eastAsia="ja-JP"/>
        </w:rPr>
        <w:t>.</w:t>
      </w:r>
    </w:p>
    <w:p w14:paraId="32372A01" w14:textId="6C918960" w:rsidR="00945FFC" w:rsidRPr="00C01FF0" w:rsidRDefault="00B03480" w:rsidP="00033F29">
      <w:pPr>
        <w:pStyle w:val="SingleTxtG"/>
        <w:rPr>
          <w:rFonts w:eastAsiaTheme="minorEastAsia"/>
          <w:lang w:val="en-GB" w:eastAsia="ja-JP"/>
        </w:rPr>
      </w:pPr>
      <w:r>
        <w:rPr>
          <w:rFonts w:eastAsiaTheme="minorEastAsia"/>
          <w:lang w:val="en-GB" w:eastAsia="ja-JP"/>
        </w:rPr>
        <w:t>24.</w:t>
      </w:r>
      <w:r>
        <w:rPr>
          <w:rFonts w:eastAsiaTheme="minorEastAsia"/>
          <w:lang w:val="en-GB" w:eastAsia="ja-JP"/>
        </w:rPr>
        <w:tab/>
      </w:r>
      <w:r w:rsidR="00945FFC">
        <w:rPr>
          <w:rFonts w:eastAsiaTheme="minorEastAsia"/>
          <w:lang w:val="en-GB" w:eastAsia="ja-JP"/>
        </w:rPr>
        <w:t xml:space="preserve">In relation to the length of concluding observations, it was agreed that they needed to be </w:t>
      </w:r>
      <w:r w:rsidR="009F1A47">
        <w:rPr>
          <w:rFonts w:eastAsiaTheme="minorEastAsia"/>
          <w:lang w:val="en-GB" w:eastAsia="ja-JP"/>
        </w:rPr>
        <w:t xml:space="preserve">short, </w:t>
      </w:r>
      <w:r w:rsidR="00945FFC">
        <w:rPr>
          <w:rFonts w:eastAsiaTheme="minorEastAsia"/>
          <w:lang w:val="en-GB" w:eastAsia="ja-JP"/>
        </w:rPr>
        <w:t>concrete and implementable so that the impact of the recommendations could be measured in terms of what action the State party has taken.</w:t>
      </w:r>
    </w:p>
    <w:p w14:paraId="02FC6C02" w14:textId="1DE47F27" w:rsidR="00B06FC0" w:rsidRPr="00B90558" w:rsidRDefault="00033F29" w:rsidP="00033F29">
      <w:pPr>
        <w:pStyle w:val="H1G"/>
        <w:rPr>
          <w:rFonts w:eastAsiaTheme="minorEastAsia"/>
          <w:lang w:val="en-GB" w:eastAsia="ja-JP"/>
        </w:rPr>
      </w:pPr>
      <w:r w:rsidRPr="00C01FF0">
        <w:rPr>
          <w:rFonts w:eastAsiaTheme="minorHAnsi"/>
          <w:lang w:val="en-GB"/>
        </w:rPr>
        <w:tab/>
      </w:r>
      <w:r w:rsidR="00B06FC0" w:rsidRPr="00B90558">
        <w:rPr>
          <w:rFonts w:eastAsiaTheme="minorEastAsia"/>
          <w:lang w:val="en-GB" w:eastAsia="ja-JP"/>
        </w:rPr>
        <w:t>H.</w:t>
      </w:r>
      <w:r w:rsidRPr="00B90558">
        <w:rPr>
          <w:rFonts w:eastAsiaTheme="minorEastAsia"/>
          <w:lang w:val="en-GB" w:eastAsia="ja-JP"/>
        </w:rPr>
        <w:tab/>
      </w:r>
      <w:r w:rsidR="00E26510" w:rsidRPr="00B90558">
        <w:rPr>
          <w:rFonts w:eastAsiaTheme="minorEastAsia"/>
          <w:lang w:val="en-GB" w:eastAsia="ja-JP"/>
        </w:rPr>
        <w:t xml:space="preserve">Current </w:t>
      </w:r>
      <w:r w:rsidR="005B035C" w:rsidRPr="00B90558">
        <w:rPr>
          <w:rFonts w:eastAsiaTheme="minorEastAsia"/>
          <w:lang w:val="en-GB" w:eastAsia="ja-JP"/>
        </w:rPr>
        <w:t xml:space="preserve">compilation of </w:t>
      </w:r>
      <w:r w:rsidR="00E26510" w:rsidRPr="00B90558">
        <w:rPr>
          <w:rFonts w:eastAsiaTheme="minorEastAsia"/>
          <w:lang w:val="en-GB" w:eastAsia="ja-JP"/>
        </w:rPr>
        <w:t>reporting guidelines of 2009, document HRI/GEN/2/Rev.6</w:t>
      </w:r>
    </w:p>
    <w:p w14:paraId="28C82A99" w14:textId="2E9DC849" w:rsidR="00E26510" w:rsidRDefault="00B03480" w:rsidP="00E26510">
      <w:pPr>
        <w:pStyle w:val="SingleTxtG"/>
        <w:rPr>
          <w:rFonts w:eastAsiaTheme="minorEastAsia"/>
          <w:lang w:val="en-GB" w:eastAsia="ja-JP"/>
        </w:rPr>
      </w:pPr>
      <w:r>
        <w:rPr>
          <w:rFonts w:eastAsiaTheme="minorEastAsia"/>
          <w:lang w:val="en-GB" w:eastAsia="ja-JP"/>
        </w:rPr>
        <w:t>25.</w:t>
      </w:r>
      <w:r>
        <w:rPr>
          <w:rFonts w:eastAsiaTheme="minorEastAsia"/>
          <w:lang w:val="en-GB" w:eastAsia="ja-JP"/>
        </w:rPr>
        <w:tab/>
      </w:r>
      <w:r w:rsidR="002A5453">
        <w:rPr>
          <w:rFonts w:eastAsiaTheme="minorEastAsia"/>
          <w:lang w:val="en-GB" w:eastAsia="ja-JP"/>
        </w:rPr>
        <w:t>The current</w:t>
      </w:r>
      <w:r w:rsidR="005B035C">
        <w:rPr>
          <w:rFonts w:eastAsiaTheme="minorEastAsia"/>
          <w:lang w:val="en-GB" w:eastAsia="ja-JP"/>
        </w:rPr>
        <w:t xml:space="preserve"> compilation of</w:t>
      </w:r>
      <w:r w:rsidR="002A5453">
        <w:rPr>
          <w:rFonts w:eastAsiaTheme="minorEastAsia"/>
          <w:lang w:val="en-GB" w:eastAsia="ja-JP"/>
        </w:rPr>
        <w:t xml:space="preserve"> reporting guidelines of 2009 need to be revised as they do not include treaties </w:t>
      </w:r>
      <w:r w:rsidR="005B035C">
        <w:rPr>
          <w:rFonts w:eastAsiaTheme="minorEastAsia"/>
          <w:lang w:val="en-GB" w:eastAsia="ja-JP"/>
        </w:rPr>
        <w:t xml:space="preserve">which entered into force </w:t>
      </w:r>
      <w:r w:rsidR="009F1A47">
        <w:rPr>
          <w:rFonts w:eastAsiaTheme="minorEastAsia"/>
          <w:lang w:val="en-GB" w:eastAsia="ja-JP"/>
        </w:rPr>
        <w:t>since</w:t>
      </w:r>
      <w:r w:rsidR="005B035C">
        <w:rPr>
          <w:rFonts w:eastAsiaTheme="minorEastAsia"/>
          <w:lang w:val="en-GB" w:eastAsia="ja-JP"/>
        </w:rPr>
        <w:t xml:space="preserve">, </w:t>
      </w:r>
      <w:r w:rsidR="002A5453">
        <w:rPr>
          <w:rFonts w:eastAsiaTheme="minorEastAsia"/>
          <w:lang w:val="en-GB" w:eastAsia="ja-JP"/>
        </w:rPr>
        <w:t xml:space="preserve">such as the Convention on the Rights of Persons with Disabilities and the Convention on Enforced Disappearances. </w:t>
      </w:r>
    </w:p>
    <w:p w14:paraId="7AADC671" w14:textId="0FBFA8D7" w:rsidR="002A5453" w:rsidRDefault="00B03480" w:rsidP="00E26510">
      <w:pPr>
        <w:pStyle w:val="SingleTxtG"/>
        <w:rPr>
          <w:rFonts w:eastAsiaTheme="minorEastAsia"/>
          <w:lang w:val="en-GB" w:eastAsia="ja-JP"/>
        </w:rPr>
      </w:pPr>
      <w:r>
        <w:rPr>
          <w:rFonts w:eastAsiaTheme="minorEastAsia"/>
          <w:lang w:val="en-GB" w:eastAsia="ja-JP"/>
        </w:rPr>
        <w:t>26.</w:t>
      </w:r>
      <w:r>
        <w:rPr>
          <w:rFonts w:eastAsiaTheme="minorEastAsia"/>
          <w:lang w:val="en-GB" w:eastAsia="ja-JP"/>
        </w:rPr>
        <w:tab/>
      </w:r>
      <w:r w:rsidR="002A5453">
        <w:rPr>
          <w:rFonts w:eastAsiaTheme="minorEastAsia"/>
          <w:lang w:val="en-GB" w:eastAsia="ja-JP"/>
        </w:rPr>
        <w:t xml:space="preserve">It was thought that </w:t>
      </w:r>
      <w:r w:rsidR="00E548DB">
        <w:rPr>
          <w:rFonts w:eastAsiaTheme="minorEastAsia"/>
          <w:lang w:val="en-GB" w:eastAsia="ja-JP"/>
        </w:rPr>
        <w:t>in addition to having</w:t>
      </w:r>
      <w:r w:rsidR="002A5453">
        <w:rPr>
          <w:rFonts w:eastAsiaTheme="minorEastAsia"/>
          <w:lang w:val="en-GB" w:eastAsia="ja-JP"/>
        </w:rPr>
        <w:t xml:space="preserve"> new guidelines </w:t>
      </w:r>
      <w:r w:rsidR="00FA6F45">
        <w:rPr>
          <w:rFonts w:eastAsiaTheme="minorEastAsia"/>
          <w:lang w:val="en-GB" w:eastAsia="ja-JP"/>
        </w:rPr>
        <w:t xml:space="preserve">for </w:t>
      </w:r>
      <w:r w:rsidR="002A5453">
        <w:rPr>
          <w:rFonts w:eastAsiaTheme="minorEastAsia"/>
          <w:lang w:val="en-GB" w:eastAsia="ja-JP"/>
        </w:rPr>
        <w:t>States and stakeholders on the SRP</w:t>
      </w:r>
      <w:r w:rsidR="00E548DB">
        <w:rPr>
          <w:rFonts w:eastAsiaTheme="minorEastAsia"/>
          <w:lang w:val="en-GB" w:eastAsia="ja-JP"/>
        </w:rPr>
        <w:t xml:space="preserve">, there was a need for new </w:t>
      </w:r>
      <w:r w:rsidR="002A5453">
        <w:rPr>
          <w:rFonts w:eastAsiaTheme="minorEastAsia"/>
          <w:lang w:val="en-GB" w:eastAsia="ja-JP"/>
        </w:rPr>
        <w:t>internal guidelines common to all Committees on drafting LOIPR and concluding observations</w:t>
      </w:r>
      <w:r w:rsidR="00E548DB">
        <w:rPr>
          <w:rFonts w:eastAsiaTheme="minorEastAsia"/>
          <w:lang w:val="en-GB" w:eastAsia="ja-JP"/>
        </w:rPr>
        <w:t xml:space="preserve"> in a </w:t>
      </w:r>
      <w:r w:rsidR="00FA6F45">
        <w:rPr>
          <w:rFonts w:eastAsiaTheme="minorEastAsia"/>
          <w:lang w:val="en-GB" w:eastAsia="ja-JP"/>
        </w:rPr>
        <w:t xml:space="preserve">more </w:t>
      </w:r>
      <w:r w:rsidR="00E548DB">
        <w:rPr>
          <w:rFonts w:eastAsiaTheme="minorEastAsia"/>
          <w:lang w:val="en-GB" w:eastAsia="ja-JP"/>
        </w:rPr>
        <w:t>coordinated manner</w:t>
      </w:r>
      <w:r w:rsidR="002A5453">
        <w:rPr>
          <w:rFonts w:eastAsiaTheme="minorEastAsia"/>
          <w:lang w:val="en-GB" w:eastAsia="ja-JP"/>
        </w:rPr>
        <w:t>.</w:t>
      </w:r>
    </w:p>
    <w:p w14:paraId="63A71866" w14:textId="068B63BA" w:rsidR="00B06FC0" w:rsidRPr="00033F29" w:rsidRDefault="00B03480" w:rsidP="00E548DB">
      <w:pPr>
        <w:pStyle w:val="SingleTxtG"/>
        <w:rPr>
          <w:rFonts w:eastAsiaTheme="minorEastAsia"/>
          <w:lang w:val="en-GB" w:eastAsia="ja-JP"/>
        </w:rPr>
      </w:pPr>
      <w:r>
        <w:rPr>
          <w:rFonts w:eastAsiaTheme="minorEastAsia"/>
          <w:lang w:val="en-GB" w:eastAsia="ja-JP"/>
        </w:rPr>
        <w:t>27.</w:t>
      </w:r>
      <w:r>
        <w:rPr>
          <w:rFonts w:eastAsiaTheme="minorEastAsia"/>
          <w:lang w:val="en-GB" w:eastAsia="ja-JP"/>
        </w:rPr>
        <w:tab/>
      </w:r>
      <w:r w:rsidR="00E548DB">
        <w:rPr>
          <w:rFonts w:eastAsiaTheme="minorEastAsia"/>
          <w:lang w:val="en-GB" w:eastAsia="ja-JP"/>
        </w:rPr>
        <w:t>It was important for new members of Committees to receive substantive training on the methodology for both the SRP and the RRP.</w:t>
      </w:r>
    </w:p>
    <w:p w14:paraId="1C5FE144" w14:textId="47600A50" w:rsidR="00B06FC0" w:rsidRPr="006D18AE" w:rsidRDefault="00033F29" w:rsidP="006D18AE">
      <w:pPr>
        <w:pStyle w:val="HChG"/>
        <w:rPr>
          <w:lang w:val="en-GB"/>
        </w:rPr>
      </w:pPr>
      <w:r w:rsidRPr="00033F29">
        <w:rPr>
          <w:lang w:val="en-GB"/>
        </w:rPr>
        <w:tab/>
        <w:t>III.</w:t>
      </w:r>
      <w:r w:rsidRPr="00033F29">
        <w:rPr>
          <w:lang w:val="en-GB"/>
        </w:rPr>
        <w:tab/>
      </w:r>
      <w:r w:rsidR="006D18AE">
        <w:rPr>
          <w:rFonts w:eastAsiaTheme="majorEastAsia"/>
          <w:lang w:val="en-GB"/>
        </w:rPr>
        <w:t>Recommendations by workshop participants</w:t>
      </w:r>
      <w:r w:rsidR="006D18AE" w:rsidRPr="00EF6126">
        <w:rPr>
          <w:rFonts w:eastAsiaTheme="majorEastAsia"/>
          <w:lang w:val="en-GB"/>
        </w:rPr>
        <w:t>, including identifying gaps, areas for cross-fertilization and systematizing good practice</w:t>
      </w:r>
    </w:p>
    <w:p w14:paraId="2551A9DF" w14:textId="5CB4B835" w:rsidR="00B06FC0" w:rsidRPr="00033F29" w:rsidRDefault="00B03480" w:rsidP="00033F29">
      <w:pPr>
        <w:pStyle w:val="SingleTxtG"/>
        <w:rPr>
          <w:rFonts w:eastAsiaTheme="minorEastAsia"/>
          <w:b/>
          <w:lang w:val="en-US" w:eastAsia="ja-JP"/>
        </w:rPr>
      </w:pPr>
      <w:r>
        <w:rPr>
          <w:rFonts w:eastAsiaTheme="minorEastAsia"/>
          <w:lang w:val="en-US" w:eastAsia="ja-JP"/>
        </w:rPr>
        <w:t>28</w:t>
      </w:r>
      <w:r w:rsidR="00033F29" w:rsidRPr="00EE3BD7">
        <w:rPr>
          <w:rFonts w:eastAsiaTheme="minorEastAsia"/>
          <w:lang w:val="en-US" w:eastAsia="ja-JP"/>
        </w:rPr>
        <w:t>.</w:t>
      </w:r>
      <w:r w:rsidR="00033F29" w:rsidRPr="00EE3BD7">
        <w:rPr>
          <w:rFonts w:eastAsiaTheme="minorEastAsia"/>
          <w:lang w:val="en-US" w:eastAsia="ja-JP"/>
        </w:rPr>
        <w:tab/>
      </w:r>
      <w:r w:rsidR="00B06FC0" w:rsidRPr="00033F29">
        <w:rPr>
          <w:b/>
          <w:lang w:val="en-GB"/>
        </w:rPr>
        <w:t xml:space="preserve">On the basis of existing practices and with a view to ensuring coherence across the treaty bodies and </w:t>
      </w:r>
      <w:r w:rsidR="006D18AE">
        <w:rPr>
          <w:b/>
          <w:lang w:val="en-GB"/>
        </w:rPr>
        <w:t xml:space="preserve">further align </w:t>
      </w:r>
      <w:r w:rsidR="00B06FC0" w:rsidRPr="00033F29">
        <w:rPr>
          <w:b/>
          <w:lang w:val="en-GB"/>
        </w:rPr>
        <w:t>working methods</w:t>
      </w:r>
      <w:r w:rsidR="006D18AE">
        <w:rPr>
          <w:b/>
          <w:lang w:val="en-GB"/>
        </w:rPr>
        <w:t xml:space="preserve"> and practices</w:t>
      </w:r>
      <w:r w:rsidR="00B06FC0" w:rsidRPr="00033F29">
        <w:rPr>
          <w:b/>
          <w:lang w:val="en-GB"/>
        </w:rPr>
        <w:t>, the following was noted as key by workshop participants</w:t>
      </w:r>
      <w:r w:rsidR="009F1A47">
        <w:rPr>
          <w:b/>
          <w:lang w:val="en-GB"/>
        </w:rPr>
        <w:t>, subject to available resources</w:t>
      </w:r>
      <w:r w:rsidR="006D18AE">
        <w:rPr>
          <w:b/>
          <w:lang w:val="en-GB"/>
        </w:rPr>
        <w:t>.</w:t>
      </w:r>
      <w:r w:rsidR="00B06FC0" w:rsidRPr="00033F29">
        <w:rPr>
          <w:b/>
          <w:lang w:val="en-GB"/>
        </w:rPr>
        <w:t xml:space="preserve"> </w:t>
      </w:r>
    </w:p>
    <w:p w14:paraId="29214633" w14:textId="64271EBD" w:rsidR="00714DCF" w:rsidRDefault="00B06FC0" w:rsidP="00033F29">
      <w:pPr>
        <w:pStyle w:val="SingleTxtG"/>
        <w:ind w:firstLine="567"/>
        <w:rPr>
          <w:b/>
          <w:lang w:val="en-GB"/>
        </w:rPr>
      </w:pPr>
      <w:r w:rsidRPr="00AB64C9">
        <w:rPr>
          <w:b/>
          <w:bCs/>
          <w:lang w:val="en-GB"/>
        </w:rPr>
        <w:t>(a)</w:t>
      </w:r>
      <w:r w:rsidRPr="00AB64C9">
        <w:rPr>
          <w:b/>
          <w:lang w:val="en-GB"/>
        </w:rPr>
        <w:tab/>
      </w:r>
      <w:r w:rsidR="00430970">
        <w:rPr>
          <w:b/>
          <w:lang w:val="en-GB"/>
        </w:rPr>
        <w:t xml:space="preserve">The </w:t>
      </w:r>
      <w:r w:rsidR="00714DCF">
        <w:rPr>
          <w:b/>
          <w:lang w:val="en-GB"/>
        </w:rPr>
        <w:t xml:space="preserve">SRP </w:t>
      </w:r>
      <w:r w:rsidR="00430970">
        <w:rPr>
          <w:b/>
          <w:lang w:val="en-GB"/>
        </w:rPr>
        <w:t xml:space="preserve">should be offered </w:t>
      </w:r>
      <w:r w:rsidR="00714DCF">
        <w:rPr>
          <w:b/>
          <w:lang w:val="en-GB"/>
        </w:rPr>
        <w:t>to those State parties wh</w:t>
      </w:r>
      <w:r w:rsidR="00FA6F45">
        <w:rPr>
          <w:b/>
          <w:lang w:val="en-GB"/>
        </w:rPr>
        <w:t>ich</w:t>
      </w:r>
      <w:r w:rsidR="00714DCF">
        <w:rPr>
          <w:b/>
          <w:lang w:val="en-GB"/>
        </w:rPr>
        <w:t xml:space="preserve"> have submitted </w:t>
      </w:r>
      <w:r w:rsidR="00FA6F45">
        <w:rPr>
          <w:b/>
          <w:lang w:val="en-GB"/>
        </w:rPr>
        <w:t>an</w:t>
      </w:r>
      <w:r w:rsidR="00714DCF">
        <w:rPr>
          <w:b/>
          <w:lang w:val="en-GB"/>
        </w:rPr>
        <w:t xml:space="preserve"> initial report</w:t>
      </w:r>
      <w:r w:rsidR="00B90558">
        <w:rPr>
          <w:b/>
          <w:lang w:val="en-GB"/>
        </w:rPr>
        <w:t>;</w:t>
      </w:r>
    </w:p>
    <w:p w14:paraId="48EEA461" w14:textId="755CC248" w:rsidR="00B06FC0" w:rsidRPr="00AB64C9" w:rsidRDefault="00714DCF" w:rsidP="00033F29">
      <w:pPr>
        <w:pStyle w:val="SingleTxtG"/>
        <w:ind w:firstLine="567"/>
        <w:rPr>
          <w:b/>
          <w:bCs/>
          <w:lang w:val="en-GB"/>
        </w:rPr>
      </w:pPr>
      <w:r>
        <w:rPr>
          <w:b/>
          <w:lang w:val="en-GB"/>
        </w:rPr>
        <w:t>(b)</w:t>
      </w:r>
      <w:r>
        <w:rPr>
          <w:b/>
          <w:lang w:val="en-GB"/>
        </w:rPr>
        <w:tab/>
      </w:r>
      <w:r w:rsidR="00AB64C9" w:rsidRPr="00AB64C9">
        <w:rPr>
          <w:rFonts w:eastAsiaTheme="minorEastAsia"/>
          <w:b/>
          <w:lang w:val="en-GB" w:eastAsia="ja-JP"/>
        </w:rPr>
        <w:t xml:space="preserve">Committees </w:t>
      </w:r>
      <w:r w:rsidR="004A35A3">
        <w:rPr>
          <w:rFonts w:eastAsiaTheme="minorEastAsia"/>
          <w:b/>
          <w:lang w:val="en-GB" w:eastAsia="ja-JP"/>
        </w:rPr>
        <w:t xml:space="preserve">should </w:t>
      </w:r>
      <w:r w:rsidR="00FA6F45">
        <w:rPr>
          <w:rFonts w:eastAsiaTheme="minorEastAsia"/>
          <w:b/>
          <w:lang w:val="en-GB" w:eastAsia="ja-JP"/>
        </w:rPr>
        <w:t xml:space="preserve"> reflect on </w:t>
      </w:r>
      <w:r w:rsidR="00AB64C9" w:rsidRPr="00AB64C9">
        <w:rPr>
          <w:rFonts w:eastAsiaTheme="minorEastAsia"/>
          <w:b/>
          <w:lang w:val="en-GB" w:eastAsia="ja-JP"/>
        </w:rPr>
        <w:t>what type of common core document they need with the SRP and what type of LOIPR template they can develop so that they can get the focused information they need from States</w:t>
      </w:r>
      <w:r w:rsidR="00B06FC0" w:rsidRPr="00AB64C9">
        <w:rPr>
          <w:b/>
          <w:bCs/>
          <w:lang w:val="en-GB"/>
        </w:rPr>
        <w:t>;</w:t>
      </w:r>
    </w:p>
    <w:p w14:paraId="06250B50" w14:textId="50CB3792" w:rsidR="00B06FC0" w:rsidRPr="00C53905" w:rsidRDefault="00714DCF" w:rsidP="00033F29">
      <w:pPr>
        <w:pStyle w:val="SingleTxtG"/>
        <w:ind w:firstLine="567"/>
        <w:rPr>
          <w:b/>
          <w:bCs/>
          <w:lang w:val="en-GB"/>
        </w:rPr>
      </w:pPr>
      <w:r>
        <w:rPr>
          <w:b/>
          <w:lang w:val="en-GB"/>
        </w:rPr>
        <w:t>(c</w:t>
      </w:r>
      <w:r w:rsidR="00B06FC0" w:rsidRPr="00C53905">
        <w:rPr>
          <w:b/>
          <w:lang w:val="en-GB"/>
        </w:rPr>
        <w:t>)</w:t>
      </w:r>
      <w:r w:rsidR="00B06FC0" w:rsidRPr="00C53905">
        <w:rPr>
          <w:b/>
          <w:bCs/>
          <w:lang w:val="en-GB"/>
        </w:rPr>
        <w:tab/>
      </w:r>
      <w:r w:rsidR="00C53905" w:rsidRPr="00C53905">
        <w:rPr>
          <w:rFonts w:eastAsiaTheme="minorEastAsia"/>
          <w:b/>
          <w:lang w:val="en-GB" w:eastAsia="ja-JP"/>
        </w:rPr>
        <w:t xml:space="preserve">Committees </w:t>
      </w:r>
      <w:r w:rsidR="006C352A">
        <w:rPr>
          <w:rFonts w:eastAsiaTheme="minorEastAsia"/>
          <w:b/>
          <w:lang w:val="en-GB" w:eastAsia="ja-JP"/>
        </w:rPr>
        <w:t>could</w:t>
      </w:r>
      <w:r w:rsidR="00C53905" w:rsidRPr="00C53905">
        <w:rPr>
          <w:rFonts w:eastAsiaTheme="minorEastAsia"/>
          <w:b/>
          <w:lang w:val="en-GB" w:eastAsia="ja-JP"/>
        </w:rPr>
        <w:t xml:space="preserve"> clarify in the LOIPR that </w:t>
      </w:r>
      <w:r w:rsidR="00430970">
        <w:rPr>
          <w:rFonts w:eastAsiaTheme="minorEastAsia"/>
          <w:b/>
          <w:lang w:val="en-GB" w:eastAsia="ja-JP"/>
        </w:rPr>
        <w:t>the questions do</w:t>
      </w:r>
      <w:r w:rsidR="00C53905" w:rsidRPr="00C53905">
        <w:rPr>
          <w:rFonts w:eastAsiaTheme="minorEastAsia"/>
          <w:b/>
          <w:lang w:val="en-GB" w:eastAsia="ja-JP"/>
        </w:rPr>
        <w:t xml:space="preserve"> not exhaustively cover all issues and that members have the flexibility to address any issue during the dialogue, and explain to the State party why a new issue is raised in the dialogue</w:t>
      </w:r>
      <w:r w:rsidR="00B06FC0" w:rsidRPr="00C53905">
        <w:rPr>
          <w:b/>
          <w:bCs/>
          <w:lang w:val="en-GB"/>
        </w:rPr>
        <w:t>;</w:t>
      </w:r>
    </w:p>
    <w:p w14:paraId="562FA905" w14:textId="5F15DB53" w:rsidR="00B06FC0" w:rsidRPr="00C53905" w:rsidRDefault="00714DCF" w:rsidP="00033F29">
      <w:pPr>
        <w:pStyle w:val="SingleTxtG"/>
        <w:ind w:firstLine="567"/>
        <w:rPr>
          <w:b/>
          <w:bCs/>
          <w:lang w:val="en-GB"/>
        </w:rPr>
      </w:pPr>
      <w:r>
        <w:rPr>
          <w:b/>
          <w:lang w:val="en-GB"/>
        </w:rPr>
        <w:t>(d</w:t>
      </w:r>
      <w:r w:rsidR="00B06FC0" w:rsidRPr="00C53905">
        <w:rPr>
          <w:b/>
          <w:lang w:val="en-GB"/>
        </w:rPr>
        <w:t>)</w:t>
      </w:r>
      <w:r w:rsidR="00B06FC0" w:rsidRPr="00C53905">
        <w:rPr>
          <w:b/>
          <w:bCs/>
          <w:lang w:val="en-GB"/>
        </w:rPr>
        <w:tab/>
      </w:r>
      <w:r w:rsidR="001921C7" w:rsidRPr="001921C7">
        <w:rPr>
          <w:b/>
          <w:bCs/>
          <w:lang w:val="en-GB"/>
        </w:rPr>
        <w:t xml:space="preserve">It would be useful to have a </w:t>
      </w:r>
      <w:r w:rsidR="001921C7" w:rsidRPr="001921C7">
        <w:rPr>
          <w:rFonts w:eastAsiaTheme="minorEastAsia"/>
          <w:b/>
          <w:lang w:val="en-GB" w:eastAsia="ja-JP"/>
        </w:rPr>
        <w:t>database to keep an overview of the Committees and States parties that are using the LOIPR, and to keep track of the LOIPR in terms of deadlines, and content</w:t>
      </w:r>
      <w:r w:rsidR="00B06FC0" w:rsidRPr="001921C7">
        <w:rPr>
          <w:b/>
          <w:bCs/>
          <w:lang w:val="en-GB"/>
        </w:rPr>
        <w:t>;</w:t>
      </w:r>
    </w:p>
    <w:p w14:paraId="7D73FE0D" w14:textId="6C12FDE6" w:rsidR="00B06FC0" w:rsidRPr="00C53905" w:rsidRDefault="00714DCF" w:rsidP="00033F29">
      <w:pPr>
        <w:pStyle w:val="SingleTxtG"/>
        <w:ind w:firstLine="567"/>
        <w:rPr>
          <w:b/>
          <w:bCs/>
          <w:lang w:val="en-GB"/>
        </w:rPr>
      </w:pPr>
      <w:r>
        <w:rPr>
          <w:b/>
          <w:lang w:val="en-GB"/>
        </w:rPr>
        <w:t>(e</w:t>
      </w:r>
      <w:r w:rsidR="00B06FC0" w:rsidRPr="00C53905">
        <w:rPr>
          <w:b/>
          <w:lang w:val="en-GB"/>
        </w:rPr>
        <w:t>)</w:t>
      </w:r>
      <w:r w:rsidR="00B06FC0" w:rsidRPr="00C53905">
        <w:rPr>
          <w:b/>
          <w:bCs/>
          <w:lang w:val="en-GB"/>
        </w:rPr>
        <w:tab/>
      </w:r>
      <w:r w:rsidR="00C53905" w:rsidRPr="00C53905">
        <w:rPr>
          <w:rFonts w:eastAsiaTheme="minorEastAsia"/>
          <w:b/>
          <w:lang w:val="en-GB" w:eastAsia="ja-JP"/>
        </w:rPr>
        <w:t xml:space="preserve">Committees </w:t>
      </w:r>
      <w:r w:rsidR="006C352A">
        <w:rPr>
          <w:rFonts w:eastAsiaTheme="minorEastAsia"/>
          <w:b/>
          <w:lang w:val="en-GB" w:eastAsia="ja-JP"/>
        </w:rPr>
        <w:t>may wish to better</w:t>
      </w:r>
      <w:r w:rsidR="00C53905" w:rsidRPr="00C53905">
        <w:rPr>
          <w:rFonts w:eastAsiaTheme="minorEastAsia"/>
          <w:b/>
          <w:lang w:val="en-GB" w:eastAsia="ja-JP"/>
        </w:rPr>
        <w:t xml:space="preserve"> coordinate if a State </w:t>
      </w:r>
      <w:r w:rsidR="00E548DB">
        <w:rPr>
          <w:rFonts w:eastAsiaTheme="minorEastAsia"/>
          <w:b/>
          <w:lang w:val="en-GB" w:eastAsia="ja-JP"/>
        </w:rPr>
        <w:t>is scheduled to be reviewed</w:t>
      </w:r>
      <w:r w:rsidR="00C53905" w:rsidRPr="00C53905">
        <w:rPr>
          <w:rFonts w:eastAsiaTheme="minorEastAsia"/>
          <w:b/>
          <w:lang w:val="en-GB" w:eastAsia="ja-JP"/>
        </w:rPr>
        <w:t xml:space="preserve"> by </w:t>
      </w:r>
      <w:r w:rsidR="00C53905">
        <w:rPr>
          <w:rFonts w:eastAsiaTheme="minorEastAsia"/>
          <w:b/>
          <w:lang w:val="en-GB" w:eastAsia="ja-JP"/>
        </w:rPr>
        <w:t>more than one Committee</w:t>
      </w:r>
      <w:r w:rsidR="00C53905" w:rsidRPr="00C53905">
        <w:rPr>
          <w:rFonts w:eastAsiaTheme="minorEastAsia"/>
          <w:b/>
          <w:lang w:val="en-GB" w:eastAsia="ja-JP"/>
        </w:rPr>
        <w:t xml:space="preserve"> within a short time frame, for example during a </w:t>
      </w:r>
      <w:r w:rsidR="00E548DB">
        <w:rPr>
          <w:rFonts w:eastAsiaTheme="minorEastAsia"/>
          <w:b/>
          <w:lang w:val="en-GB" w:eastAsia="ja-JP"/>
        </w:rPr>
        <w:t xml:space="preserve">two-year </w:t>
      </w:r>
      <w:r w:rsidR="00C53905" w:rsidRPr="00C53905">
        <w:rPr>
          <w:rFonts w:eastAsiaTheme="minorEastAsia"/>
          <w:b/>
          <w:lang w:val="en-GB" w:eastAsia="ja-JP"/>
        </w:rPr>
        <w:t xml:space="preserve">period. The </w:t>
      </w:r>
      <w:r w:rsidR="00C53905">
        <w:rPr>
          <w:rFonts w:eastAsiaTheme="minorEastAsia"/>
          <w:b/>
          <w:lang w:val="en-GB" w:eastAsia="ja-JP"/>
        </w:rPr>
        <w:t>aim is to avoid</w:t>
      </w:r>
      <w:r w:rsidR="00C53905" w:rsidRPr="00C53905">
        <w:rPr>
          <w:rFonts w:eastAsiaTheme="minorEastAsia"/>
          <w:b/>
          <w:lang w:val="en-GB" w:eastAsia="ja-JP"/>
        </w:rPr>
        <w:t xml:space="preserve"> </w:t>
      </w:r>
      <w:r w:rsidR="004A35A3">
        <w:rPr>
          <w:rFonts w:eastAsiaTheme="minorEastAsia"/>
          <w:b/>
          <w:lang w:val="en-GB" w:eastAsia="ja-JP"/>
        </w:rPr>
        <w:t xml:space="preserve">unnecessary </w:t>
      </w:r>
      <w:r w:rsidR="00C53905" w:rsidRPr="00C53905">
        <w:rPr>
          <w:rFonts w:eastAsiaTheme="minorEastAsia"/>
          <w:b/>
          <w:lang w:val="en-GB" w:eastAsia="ja-JP"/>
        </w:rPr>
        <w:t xml:space="preserve">duplication or </w:t>
      </w:r>
      <w:r w:rsidR="00A608CB">
        <w:rPr>
          <w:rFonts w:eastAsiaTheme="minorEastAsia"/>
          <w:b/>
          <w:lang w:val="en-GB" w:eastAsia="ja-JP"/>
        </w:rPr>
        <w:t>overlap</w:t>
      </w:r>
      <w:r w:rsidR="00C53905" w:rsidRPr="00C53905">
        <w:rPr>
          <w:rFonts w:eastAsiaTheme="minorEastAsia"/>
          <w:b/>
          <w:lang w:val="en-GB" w:eastAsia="ja-JP"/>
        </w:rPr>
        <w:t xml:space="preserve"> if not done on purpose and </w:t>
      </w:r>
      <w:r w:rsidR="00C53905">
        <w:rPr>
          <w:rFonts w:eastAsiaTheme="minorEastAsia"/>
          <w:b/>
          <w:lang w:val="en-GB" w:eastAsia="ja-JP"/>
        </w:rPr>
        <w:t xml:space="preserve">encourage </w:t>
      </w:r>
      <w:r w:rsidR="00E548DB">
        <w:rPr>
          <w:rFonts w:eastAsiaTheme="minorEastAsia"/>
          <w:b/>
          <w:lang w:val="en-GB" w:eastAsia="ja-JP"/>
        </w:rPr>
        <w:t xml:space="preserve">positive </w:t>
      </w:r>
      <w:r w:rsidR="00C53905" w:rsidRPr="00C53905">
        <w:rPr>
          <w:rFonts w:eastAsiaTheme="minorEastAsia"/>
          <w:b/>
          <w:lang w:val="en-GB" w:eastAsia="ja-JP"/>
        </w:rPr>
        <w:t xml:space="preserve">reinforcement or repetition which is intentional </w:t>
      </w:r>
      <w:r w:rsidR="004A35A3">
        <w:rPr>
          <w:rFonts w:eastAsiaTheme="minorEastAsia"/>
          <w:b/>
          <w:lang w:val="en-GB" w:eastAsia="ja-JP"/>
        </w:rPr>
        <w:t xml:space="preserve">in cases when </w:t>
      </w:r>
      <w:r w:rsidR="00C53905" w:rsidRPr="00C53905">
        <w:rPr>
          <w:rFonts w:eastAsiaTheme="minorEastAsia"/>
          <w:b/>
          <w:lang w:val="en-GB" w:eastAsia="ja-JP"/>
        </w:rPr>
        <w:t>something needs to be repeatedly highlighted</w:t>
      </w:r>
      <w:r w:rsidR="00B06FC0" w:rsidRPr="00C53905">
        <w:rPr>
          <w:b/>
          <w:bCs/>
          <w:lang w:val="en-GB"/>
        </w:rPr>
        <w:t xml:space="preserve">; </w:t>
      </w:r>
    </w:p>
    <w:p w14:paraId="65E645BC" w14:textId="70AE3FA1" w:rsidR="00B06FC0" w:rsidRPr="00FE1B15" w:rsidRDefault="00714DCF" w:rsidP="00033F29">
      <w:pPr>
        <w:pStyle w:val="SingleTxtG"/>
        <w:ind w:firstLine="567"/>
        <w:rPr>
          <w:b/>
          <w:bCs/>
          <w:lang w:val="en-GB"/>
        </w:rPr>
      </w:pPr>
      <w:r>
        <w:rPr>
          <w:b/>
          <w:lang w:val="en-GB"/>
        </w:rPr>
        <w:t>(f</w:t>
      </w:r>
      <w:r w:rsidR="00B06FC0" w:rsidRPr="00FE1B15">
        <w:rPr>
          <w:b/>
          <w:lang w:val="en-GB"/>
        </w:rPr>
        <w:t>)</w:t>
      </w:r>
      <w:r w:rsidR="00B06FC0" w:rsidRPr="00FE1B15">
        <w:rPr>
          <w:b/>
          <w:bCs/>
          <w:lang w:val="en-GB"/>
        </w:rPr>
        <w:tab/>
      </w:r>
      <w:r w:rsidR="00FE1B15">
        <w:rPr>
          <w:b/>
          <w:bCs/>
          <w:lang w:val="en-GB"/>
        </w:rPr>
        <w:t xml:space="preserve">The </w:t>
      </w:r>
      <w:r w:rsidR="00E94832">
        <w:rPr>
          <w:b/>
          <w:bCs/>
          <w:lang w:val="en-GB"/>
        </w:rPr>
        <w:t xml:space="preserve">entire </w:t>
      </w:r>
      <w:r w:rsidR="00FE1B15" w:rsidRPr="00FE1B15">
        <w:rPr>
          <w:rFonts w:eastAsiaTheme="minorEastAsia"/>
          <w:b/>
          <w:lang w:val="en-GB" w:eastAsia="ja-JP"/>
        </w:rPr>
        <w:t xml:space="preserve">SRP needs to be planned in advance, be well organised, and deadlines need to be respected so that </w:t>
      </w:r>
      <w:r w:rsidR="006F72B2">
        <w:rPr>
          <w:rFonts w:eastAsiaTheme="minorEastAsia"/>
          <w:b/>
          <w:lang w:val="en-GB" w:eastAsia="ja-JP"/>
        </w:rPr>
        <w:t xml:space="preserve">all </w:t>
      </w:r>
      <w:r w:rsidR="00FE1B15">
        <w:rPr>
          <w:rFonts w:eastAsiaTheme="minorEastAsia"/>
          <w:b/>
          <w:lang w:val="en-GB" w:eastAsia="ja-JP"/>
        </w:rPr>
        <w:t>stakeholders</w:t>
      </w:r>
      <w:r w:rsidR="00FE1B15" w:rsidRPr="00FE1B15">
        <w:rPr>
          <w:rFonts w:eastAsiaTheme="minorEastAsia"/>
          <w:b/>
          <w:lang w:val="en-GB" w:eastAsia="ja-JP"/>
        </w:rPr>
        <w:t xml:space="preserve"> can have the opportunity </w:t>
      </w:r>
      <w:r w:rsidR="004A35A3">
        <w:rPr>
          <w:rFonts w:eastAsiaTheme="minorEastAsia"/>
          <w:b/>
          <w:lang w:val="en-GB" w:eastAsia="ja-JP"/>
        </w:rPr>
        <w:t xml:space="preserve">to </w:t>
      </w:r>
      <w:r w:rsidR="006F72B2">
        <w:rPr>
          <w:rFonts w:eastAsiaTheme="minorEastAsia"/>
          <w:b/>
          <w:lang w:val="en-GB" w:eastAsia="ja-JP"/>
        </w:rPr>
        <w:t>provide information required</w:t>
      </w:r>
      <w:r w:rsidR="004A35A3">
        <w:rPr>
          <w:rFonts w:eastAsiaTheme="minorEastAsia"/>
          <w:b/>
          <w:lang w:val="en-GB" w:eastAsia="ja-JP"/>
        </w:rPr>
        <w:t xml:space="preserve"> in advance of</w:t>
      </w:r>
      <w:r w:rsidR="00FE1B15" w:rsidRPr="00FE1B15">
        <w:rPr>
          <w:rFonts w:eastAsiaTheme="minorEastAsia"/>
          <w:b/>
          <w:lang w:val="en-GB" w:eastAsia="ja-JP"/>
        </w:rPr>
        <w:t xml:space="preserve"> drafting of the LOIPR. </w:t>
      </w:r>
      <w:r w:rsidR="00FE1B15">
        <w:rPr>
          <w:rFonts w:eastAsiaTheme="minorEastAsia"/>
          <w:b/>
          <w:lang w:val="en-GB" w:eastAsia="ja-JP"/>
        </w:rPr>
        <w:t>T</w:t>
      </w:r>
      <w:r w:rsidR="00FE1B15" w:rsidRPr="00FE1B15">
        <w:rPr>
          <w:rFonts w:eastAsiaTheme="minorEastAsia"/>
          <w:b/>
          <w:lang w:val="en-GB" w:eastAsia="ja-JP"/>
        </w:rPr>
        <w:t xml:space="preserve">here </w:t>
      </w:r>
      <w:r w:rsidR="004A35A3">
        <w:rPr>
          <w:rFonts w:eastAsiaTheme="minorEastAsia"/>
          <w:b/>
          <w:lang w:val="en-GB" w:eastAsia="ja-JP"/>
        </w:rPr>
        <w:t>should</w:t>
      </w:r>
      <w:r w:rsidR="00FE1B15" w:rsidRPr="00FE1B15">
        <w:rPr>
          <w:rFonts w:eastAsiaTheme="minorEastAsia"/>
          <w:b/>
          <w:lang w:val="en-GB" w:eastAsia="ja-JP"/>
        </w:rPr>
        <w:t xml:space="preserve"> be another opportunity to provide input just prior to the dialogue taking place.</w:t>
      </w:r>
      <w:r w:rsidR="00FE1B15">
        <w:rPr>
          <w:rFonts w:eastAsiaTheme="minorEastAsia"/>
          <w:b/>
          <w:lang w:val="en-GB" w:eastAsia="ja-JP"/>
        </w:rPr>
        <w:t xml:space="preserve"> This process should be clearly explained in a note made accessible and visible</w:t>
      </w:r>
      <w:r w:rsidR="00B06FC0" w:rsidRPr="00FE1B15">
        <w:rPr>
          <w:b/>
          <w:bCs/>
          <w:lang w:val="en-GB"/>
        </w:rPr>
        <w:t>;</w:t>
      </w:r>
    </w:p>
    <w:p w14:paraId="4E0E37CE" w14:textId="67CBEB56" w:rsidR="00B06FC0" w:rsidRPr="00033F29" w:rsidRDefault="00714DCF" w:rsidP="00033F29">
      <w:pPr>
        <w:pStyle w:val="SingleTxtG"/>
        <w:ind w:firstLine="567"/>
        <w:rPr>
          <w:b/>
          <w:bCs/>
          <w:lang w:val="en-GB"/>
        </w:rPr>
      </w:pPr>
      <w:r>
        <w:rPr>
          <w:b/>
          <w:lang w:val="en-GB"/>
        </w:rPr>
        <w:t>(g</w:t>
      </w:r>
      <w:r w:rsidR="00B06FC0" w:rsidRPr="00033F29">
        <w:rPr>
          <w:b/>
          <w:lang w:val="en-GB"/>
        </w:rPr>
        <w:t>)</w:t>
      </w:r>
      <w:r w:rsidR="00B06FC0" w:rsidRPr="00033F29">
        <w:rPr>
          <w:b/>
          <w:bCs/>
          <w:lang w:val="en-GB"/>
        </w:rPr>
        <w:tab/>
      </w:r>
      <w:r w:rsidR="004A35A3">
        <w:rPr>
          <w:b/>
          <w:bCs/>
          <w:lang w:val="en-GB"/>
        </w:rPr>
        <w:t xml:space="preserve">It would be useful to have </w:t>
      </w:r>
      <w:r>
        <w:rPr>
          <w:b/>
          <w:bCs/>
          <w:lang w:val="en-GB"/>
        </w:rPr>
        <w:t>a common methodology for the SRP with common deadlines, and a common webpage for all Committees</w:t>
      </w:r>
      <w:r w:rsidR="00B06FC0" w:rsidRPr="00033F29">
        <w:rPr>
          <w:b/>
          <w:bCs/>
          <w:lang w:val="en-GB"/>
        </w:rPr>
        <w:t>;</w:t>
      </w:r>
    </w:p>
    <w:p w14:paraId="127FB301" w14:textId="13268D46" w:rsidR="00B06FC0" w:rsidRPr="00033F29" w:rsidRDefault="00714DCF" w:rsidP="00033F29">
      <w:pPr>
        <w:pStyle w:val="SingleTxtG"/>
        <w:ind w:firstLine="567"/>
        <w:rPr>
          <w:b/>
          <w:bCs/>
          <w:lang w:val="en-GB"/>
        </w:rPr>
      </w:pPr>
      <w:r>
        <w:rPr>
          <w:b/>
          <w:bCs/>
          <w:lang w:val="en-GB"/>
        </w:rPr>
        <w:t>(h</w:t>
      </w:r>
      <w:r w:rsidR="00033F29">
        <w:rPr>
          <w:b/>
          <w:bCs/>
          <w:lang w:val="en-GB"/>
        </w:rPr>
        <w:t>)</w:t>
      </w:r>
      <w:r w:rsidR="00033F29">
        <w:rPr>
          <w:b/>
          <w:bCs/>
          <w:lang w:val="en-GB"/>
        </w:rPr>
        <w:tab/>
      </w:r>
      <w:r>
        <w:rPr>
          <w:b/>
          <w:bCs/>
          <w:lang w:val="en-GB"/>
        </w:rPr>
        <w:t xml:space="preserve">A small group of Committee members </w:t>
      </w:r>
      <w:r w:rsidR="006F72B2">
        <w:rPr>
          <w:b/>
          <w:bCs/>
          <w:lang w:val="en-GB"/>
        </w:rPr>
        <w:t xml:space="preserve">could be constituted </w:t>
      </w:r>
      <w:r>
        <w:rPr>
          <w:b/>
          <w:bCs/>
          <w:lang w:val="en-GB"/>
        </w:rPr>
        <w:t>to work inter-sessionally</w:t>
      </w:r>
      <w:r w:rsidR="004A35A3">
        <w:rPr>
          <w:b/>
          <w:bCs/>
          <w:lang w:val="en-GB"/>
        </w:rPr>
        <w:t>, and remotely,</w:t>
      </w:r>
      <w:r>
        <w:rPr>
          <w:b/>
          <w:bCs/>
          <w:lang w:val="en-GB"/>
        </w:rPr>
        <w:t xml:space="preserve"> on the schedule of reviews, standard LOIPR, and a common methodology</w:t>
      </w:r>
      <w:r w:rsidR="009B714E">
        <w:rPr>
          <w:b/>
          <w:bCs/>
          <w:lang w:val="en-GB"/>
        </w:rPr>
        <w:t>;</w:t>
      </w:r>
    </w:p>
    <w:p w14:paraId="32589FB1" w14:textId="70059000" w:rsidR="00B06FC0" w:rsidRPr="00033F29" w:rsidRDefault="00B06FC0" w:rsidP="006D18AE">
      <w:pPr>
        <w:pStyle w:val="SingleTxtG"/>
        <w:ind w:firstLine="567"/>
        <w:rPr>
          <w:b/>
          <w:bCs/>
          <w:lang w:val="en-GB"/>
        </w:rPr>
      </w:pPr>
      <w:r w:rsidRPr="00033F29">
        <w:rPr>
          <w:b/>
          <w:bCs/>
          <w:lang w:val="en-GB"/>
        </w:rPr>
        <w:t>(i</w:t>
      </w:r>
      <w:r w:rsidR="00033F29">
        <w:rPr>
          <w:b/>
          <w:bCs/>
          <w:lang w:val="en-GB"/>
        </w:rPr>
        <w:t>)</w:t>
      </w:r>
      <w:r w:rsidR="00033F29">
        <w:rPr>
          <w:b/>
          <w:bCs/>
          <w:lang w:val="en-GB"/>
        </w:rPr>
        <w:tab/>
      </w:r>
      <w:r w:rsidR="006F72B2">
        <w:rPr>
          <w:rFonts w:eastAsiaTheme="minorEastAsia"/>
          <w:b/>
          <w:lang w:val="en-GB" w:eastAsia="ja-JP"/>
        </w:rPr>
        <w:t>A</w:t>
      </w:r>
      <w:r w:rsidR="00C477B7" w:rsidRPr="00C477B7">
        <w:rPr>
          <w:rFonts w:eastAsiaTheme="minorEastAsia"/>
          <w:b/>
          <w:lang w:val="en-GB" w:eastAsia="ja-JP"/>
        </w:rPr>
        <w:t xml:space="preserve"> common </w:t>
      </w:r>
      <w:r w:rsidR="002A5453">
        <w:rPr>
          <w:rFonts w:eastAsiaTheme="minorEastAsia"/>
          <w:b/>
          <w:lang w:val="en-GB" w:eastAsia="ja-JP"/>
        </w:rPr>
        <w:t xml:space="preserve">electronic </w:t>
      </w:r>
      <w:r w:rsidR="00C477B7" w:rsidRPr="00C477B7">
        <w:rPr>
          <w:rFonts w:eastAsiaTheme="minorEastAsia"/>
          <w:b/>
          <w:lang w:val="en-GB" w:eastAsia="ja-JP"/>
        </w:rPr>
        <w:t xml:space="preserve">repository of country information, </w:t>
      </w:r>
      <w:r w:rsidR="006F72B2">
        <w:rPr>
          <w:rFonts w:eastAsiaTheme="minorEastAsia"/>
          <w:b/>
          <w:lang w:val="en-GB" w:eastAsia="ja-JP"/>
        </w:rPr>
        <w:t>could be created</w:t>
      </w:r>
      <w:r w:rsidR="00B90558">
        <w:rPr>
          <w:rFonts w:eastAsiaTheme="minorEastAsia"/>
          <w:b/>
          <w:lang w:val="en-GB" w:eastAsia="ja-JP"/>
        </w:rPr>
        <w:t>;</w:t>
      </w:r>
    </w:p>
    <w:p w14:paraId="0CF31428" w14:textId="7C9397C1" w:rsidR="00B06FC0" w:rsidRDefault="00B06FC0" w:rsidP="00033F29">
      <w:pPr>
        <w:pStyle w:val="SingleTxtG"/>
        <w:ind w:firstLine="567"/>
        <w:rPr>
          <w:b/>
          <w:lang w:val="en-GB"/>
        </w:rPr>
      </w:pPr>
      <w:r w:rsidRPr="00033F29">
        <w:rPr>
          <w:b/>
          <w:lang w:val="en-GB"/>
        </w:rPr>
        <w:t>(j</w:t>
      </w:r>
      <w:r w:rsidR="00033F29" w:rsidRPr="00033F29">
        <w:rPr>
          <w:b/>
          <w:lang w:val="en-GB"/>
        </w:rPr>
        <w:t>)</w:t>
      </w:r>
      <w:r w:rsidR="00033F29" w:rsidRPr="00033F29">
        <w:rPr>
          <w:b/>
          <w:lang w:val="en-GB"/>
        </w:rPr>
        <w:tab/>
      </w:r>
      <w:r w:rsidR="006F72B2">
        <w:rPr>
          <w:b/>
          <w:lang w:val="en-GB"/>
        </w:rPr>
        <w:t xml:space="preserve">Committees could consider having </w:t>
      </w:r>
      <w:r w:rsidR="00C477B7">
        <w:rPr>
          <w:b/>
          <w:lang w:val="en-GB"/>
        </w:rPr>
        <w:t xml:space="preserve">as </w:t>
      </w:r>
      <w:r w:rsidR="006F72B2">
        <w:rPr>
          <w:b/>
          <w:lang w:val="en-GB"/>
        </w:rPr>
        <w:t xml:space="preserve">a </w:t>
      </w:r>
      <w:r w:rsidR="00C477B7">
        <w:rPr>
          <w:b/>
          <w:lang w:val="en-GB"/>
        </w:rPr>
        <w:t>target a range (minimum to maximum) of questions for the LOIPR and a range of recommendations (minimum to maximum) for the concluding observations</w:t>
      </w:r>
      <w:r w:rsidR="002A5453">
        <w:rPr>
          <w:b/>
          <w:lang w:val="en-GB"/>
        </w:rPr>
        <w:t>;</w:t>
      </w:r>
    </w:p>
    <w:p w14:paraId="605ABBB7" w14:textId="4531D208" w:rsidR="002A5453" w:rsidRDefault="002A5453" w:rsidP="00033F29">
      <w:pPr>
        <w:pStyle w:val="SingleTxtG"/>
        <w:ind w:firstLine="567"/>
        <w:rPr>
          <w:b/>
          <w:lang w:val="en-GB"/>
        </w:rPr>
      </w:pPr>
      <w:r>
        <w:rPr>
          <w:b/>
          <w:lang w:val="en-GB"/>
        </w:rPr>
        <w:t>(k)</w:t>
      </w:r>
      <w:r>
        <w:rPr>
          <w:b/>
          <w:lang w:val="en-GB"/>
        </w:rPr>
        <w:tab/>
      </w:r>
      <w:r w:rsidR="006F72B2">
        <w:rPr>
          <w:b/>
          <w:lang w:val="en-GB"/>
        </w:rPr>
        <w:t>T</w:t>
      </w:r>
      <w:r>
        <w:rPr>
          <w:b/>
          <w:lang w:val="en-GB"/>
        </w:rPr>
        <w:t>he current compilation of guidelines of 2009</w:t>
      </w:r>
      <w:r w:rsidR="006F72B2">
        <w:rPr>
          <w:b/>
          <w:lang w:val="en-GB"/>
        </w:rPr>
        <w:t xml:space="preserve"> need to be revised</w:t>
      </w:r>
      <w:r>
        <w:rPr>
          <w:b/>
          <w:lang w:val="en-GB"/>
        </w:rPr>
        <w:t xml:space="preserve"> to include the Convention on the Rights of Persons with Disabilities and the Convention on Enforced Disappearances </w:t>
      </w:r>
      <w:r w:rsidR="00430970">
        <w:rPr>
          <w:b/>
          <w:lang w:val="en-GB"/>
        </w:rPr>
        <w:t xml:space="preserve">which is applicable to the RRP; (see also recommendation </w:t>
      </w:r>
      <w:r>
        <w:rPr>
          <w:b/>
          <w:lang w:val="en-GB"/>
        </w:rPr>
        <w:t xml:space="preserve">(g) </w:t>
      </w:r>
      <w:r w:rsidR="00430970">
        <w:rPr>
          <w:b/>
          <w:bCs/>
          <w:lang w:val="en-GB"/>
        </w:rPr>
        <w:t xml:space="preserve">on the </w:t>
      </w:r>
      <w:r>
        <w:rPr>
          <w:b/>
          <w:bCs/>
          <w:lang w:val="en-GB"/>
        </w:rPr>
        <w:t>need</w:t>
      </w:r>
      <w:r w:rsidR="00430970">
        <w:rPr>
          <w:b/>
          <w:bCs/>
          <w:lang w:val="en-GB"/>
        </w:rPr>
        <w:t xml:space="preserve"> to have separated </w:t>
      </w:r>
      <w:r>
        <w:rPr>
          <w:b/>
          <w:bCs/>
          <w:lang w:val="en-GB"/>
        </w:rPr>
        <w:t>common methodology and new guidelines for the SRP</w:t>
      </w:r>
      <w:r w:rsidR="00430970">
        <w:rPr>
          <w:b/>
          <w:bCs/>
          <w:lang w:val="en-GB"/>
        </w:rPr>
        <w:t>)</w:t>
      </w:r>
      <w:r>
        <w:rPr>
          <w:b/>
          <w:lang w:val="en-GB"/>
        </w:rPr>
        <w:t>;</w:t>
      </w:r>
    </w:p>
    <w:p w14:paraId="61324716" w14:textId="23534DC2" w:rsidR="002A5453" w:rsidRDefault="002A5453" w:rsidP="00033F29">
      <w:pPr>
        <w:pStyle w:val="SingleTxtG"/>
        <w:ind w:firstLine="567"/>
        <w:rPr>
          <w:b/>
          <w:lang w:val="en-GB"/>
        </w:rPr>
      </w:pPr>
      <w:r>
        <w:rPr>
          <w:b/>
          <w:lang w:val="en-GB"/>
        </w:rPr>
        <w:t>(l)</w:t>
      </w:r>
      <w:r>
        <w:rPr>
          <w:b/>
          <w:lang w:val="en-GB"/>
        </w:rPr>
        <w:tab/>
      </w:r>
      <w:r w:rsidR="006F72B2">
        <w:rPr>
          <w:b/>
          <w:lang w:val="en-GB"/>
        </w:rPr>
        <w:t>I</w:t>
      </w:r>
      <w:r>
        <w:rPr>
          <w:b/>
          <w:lang w:val="en-GB"/>
        </w:rPr>
        <w:t xml:space="preserve">nternal guidelines </w:t>
      </w:r>
      <w:r w:rsidR="006F72B2">
        <w:rPr>
          <w:b/>
          <w:lang w:val="en-GB"/>
        </w:rPr>
        <w:t xml:space="preserve">could be developed </w:t>
      </w:r>
      <w:r>
        <w:rPr>
          <w:b/>
          <w:lang w:val="en-GB"/>
        </w:rPr>
        <w:t>for drafting the LOIPR and concluding observations common to all Committees</w:t>
      </w:r>
      <w:r w:rsidR="00E548DB">
        <w:rPr>
          <w:b/>
          <w:lang w:val="en-GB"/>
        </w:rPr>
        <w:t xml:space="preserve"> in a coordinated manner</w:t>
      </w:r>
      <w:r>
        <w:rPr>
          <w:b/>
          <w:lang w:val="en-GB"/>
        </w:rPr>
        <w:t>;</w:t>
      </w:r>
    </w:p>
    <w:p w14:paraId="64163ACD" w14:textId="439997F1" w:rsidR="00E548DB" w:rsidRDefault="00E548DB" w:rsidP="00033F29">
      <w:pPr>
        <w:pStyle w:val="SingleTxtG"/>
        <w:ind w:firstLine="567"/>
        <w:rPr>
          <w:b/>
          <w:lang w:val="en-GB"/>
        </w:rPr>
      </w:pPr>
      <w:r>
        <w:rPr>
          <w:b/>
          <w:lang w:val="en-GB"/>
        </w:rPr>
        <w:t>(m)</w:t>
      </w:r>
      <w:r>
        <w:rPr>
          <w:b/>
          <w:lang w:val="en-GB"/>
        </w:rPr>
        <w:tab/>
      </w:r>
      <w:r w:rsidR="006F72B2">
        <w:rPr>
          <w:b/>
          <w:lang w:val="en-GB"/>
        </w:rPr>
        <w:t>A</w:t>
      </w:r>
      <w:r>
        <w:rPr>
          <w:b/>
          <w:lang w:val="en-GB"/>
        </w:rPr>
        <w:t xml:space="preserve">n on-line training tool </w:t>
      </w:r>
      <w:r w:rsidR="006F72B2">
        <w:rPr>
          <w:b/>
          <w:lang w:val="en-GB"/>
        </w:rPr>
        <w:t xml:space="preserve">could be developed </w:t>
      </w:r>
      <w:r>
        <w:rPr>
          <w:b/>
          <w:lang w:val="en-GB"/>
        </w:rPr>
        <w:t xml:space="preserve">to </w:t>
      </w:r>
      <w:r w:rsidR="00DA536B">
        <w:rPr>
          <w:b/>
          <w:lang w:val="en-GB"/>
        </w:rPr>
        <w:t xml:space="preserve">familiarize </w:t>
      </w:r>
      <w:r>
        <w:rPr>
          <w:b/>
          <w:lang w:val="en-GB"/>
        </w:rPr>
        <w:t>new members of Committees on the methodology under the SRP and the RRP.</w:t>
      </w:r>
    </w:p>
    <w:p w14:paraId="6459079D" w14:textId="77777777" w:rsidR="00271279" w:rsidRPr="00033F29" w:rsidRDefault="00033F29" w:rsidP="00033F29">
      <w:pPr>
        <w:spacing w:before="240"/>
        <w:ind w:left="1134" w:right="1134"/>
        <w:jc w:val="center"/>
        <w:rPr>
          <w:rFonts w:eastAsiaTheme="minorHAnsi"/>
          <w:u w:val="single"/>
          <w:lang w:val="en-US"/>
        </w:rPr>
      </w:pPr>
      <w:r>
        <w:rPr>
          <w:rFonts w:eastAsiaTheme="minorHAnsi"/>
          <w:u w:val="single"/>
          <w:lang w:val="en-US"/>
        </w:rPr>
        <w:tab/>
      </w:r>
      <w:r>
        <w:rPr>
          <w:rFonts w:eastAsiaTheme="minorHAnsi"/>
          <w:u w:val="single"/>
          <w:lang w:val="en-US"/>
        </w:rPr>
        <w:tab/>
      </w:r>
      <w:r>
        <w:rPr>
          <w:rFonts w:eastAsiaTheme="minorHAnsi"/>
          <w:u w:val="single"/>
          <w:lang w:val="en-US"/>
        </w:rPr>
        <w:tab/>
      </w:r>
      <w:r>
        <w:rPr>
          <w:rFonts w:eastAsiaTheme="minorHAnsi"/>
          <w:u w:val="single"/>
          <w:lang w:val="en-US"/>
        </w:rPr>
        <w:tab/>
      </w:r>
    </w:p>
    <w:sectPr w:rsidR="00271279" w:rsidRPr="00033F29" w:rsidSect="00990545">
      <w:headerReference w:type="even" r:id="rId11"/>
      <w:headerReference w:type="default" r:id="rId12"/>
      <w:footerReference w:type="even" r:id="rId13"/>
      <w:footerReference w:type="default" r:id="rId14"/>
      <w:endnotePr>
        <w:numFmt w:val="decimal"/>
      </w:endnotePr>
      <w:pgSz w:w="11907" w:h="16840" w:code="9"/>
      <w:pgMar w:top="1417" w:right="1134" w:bottom="993"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CE994" w14:textId="77777777" w:rsidR="00C26398" w:rsidRDefault="00C26398"/>
  </w:endnote>
  <w:endnote w:type="continuationSeparator" w:id="0">
    <w:p w14:paraId="60E90FCB" w14:textId="77777777" w:rsidR="00C26398" w:rsidRDefault="00C26398"/>
  </w:endnote>
  <w:endnote w:type="continuationNotice" w:id="1">
    <w:p w14:paraId="4356488C" w14:textId="77777777" w:rsidR="00C26398" w:rsidRDefault="00C263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B0143" w14:textId="1E0CFD49" w:rsidR="00C26398" w:rsidRPr="002B66F2" w:rsidRDefault="00C26398" w:rsidP="002B66F2">
    <w:pPr>
      <w:pStyle w:val="Footer"/>
      <w:tabs>
        <w:tab w:val="right" w:pos="9638"/>
      </w:tabs>
      <w:rPr>
        <w:sz w:val="18"/>
      </w:rPr>
    </w:pPr>
    <w:r w:rsidRPr="002B66F2">
      <w:rPr>
        <w:b/>
        <w:sz w:val="18"/>
      </w:rPr>
      <w:fldChar w:fldCharType="begin"/>
    </w:r>
    <w:r w:rsidRPr="002B66F2">
      <w:rPr>
        <w:b/>
        <w:sz w:val="18"/>
      </w:rPr>
      <w:instrText xml:space="preserve"> PAGE  \* MERGEFORMAT </w:instrText>
    </w:r>
    <w:r w:rsidRPr="002B66F2">
      <w:rPr>
        <w:b/>
        <w:sz w:val="18"/>
      </w:rPr>
      <w:fldChar w:fldCharType="separate"/>
    </w:r>
    <w:r w:rsidR="008A66C5">
      <w:rPr>
        <w:b/>
        <w:noProof/>
        <w:sz w:val="18"/>
      </w:rPr>
      <w:t>6</w:t>
    </w:r>
    <w:r w:rsidRPr="002B66F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5BD15" w14:textId="6B78F05B" w:rsidR="00C26398" w:rsidRPr="002B66F2" w:rsidRDefault="00C26398" w:rsidP="002B66F2">
    <w:pPr>
      <w:pStyle w:val="Footer"/>
      <w:tabs>
        <w:tab w:val="right" w:pos="9638"/>
      </w:tabs>
      <w:rPr>
        <w:b/>
        <w:sz w:val="18"/>
      </w:rPr>
    </w:pPr>
    <w:r>
      <w:tab/>
    </w:r>
    <w:r w:rsidRPr="002B66F2">
      <w:rPr>
        <w:b/>
        <w:sz w:val="18"/>
      </w:rPr>
      <w:fldChar w:fldCharType="begin"/>
    </w:r>
    <w:r w:rsidRPr="002B66F2">
      <w:rPr>
        <w:b/>
        <w:sz w:val="18"/>
      </w:rPr>
      <w:instrText xml:space="preserve"> PAGE  \* MERGEFORMAT </w:instrText>
    </w:r>
    <w:r w:rsidRPr="002B66F2">
      <w:rPr>
        <w:b/>
        <w:sz w:val="18"/>
      </w:rPr>
      <w:fldChar w:fldCharType="separate"/>
    </w:r>
    <w:r w:rsidR="008A66C5">
      <w:rPr>
        <w:b/>
        <w:noProof/>
        <w:sz w:val="18"/>
      </w:rPr>
      <w:t>5</w:t>
    </w:r>
    <w:r w:rsidRPr="002B66F2">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B12BE" w14:textId="77777777" w:rsidR="00C26398" w:rsidRPr="000B175B" w:rsidRDefault="00C26398" w:rsidP="000B175B">
      <w:pPr>
        <w:tabs>
          <w:tab w:val="right" w:pos="2155"/>
        </w:tabs>
        <w:spacing w:after="80"/>
        <w:ind w:left="680"/>
        <w:rPr>
          <w:u w:val="single"/>
        </w:rPr>
      </w:pPr>
      <w:r>
        <w:rPr>
          <w:u w:val="single"/>
        </w:rPr>
        <w:tab/>
      </w:r>
    </w:p>
  </w:footnote>
  <w:footnote w:type="continuationSeparator" w:id="0">
    <w:p w14:paraId="3B881E2C" w14:textId="77777777" w:rsidR="00C26398" w:rsidRPr="00FC68B7" w:rsidRDefault="00C26398" w:rsidP="00FC68B7">
      <w:pPr>
        <w:tabs>
          <w:tab w:val="left" w:pos="2155"/>
        </w:tabs>
        <w:spacing w:after="80"/>
        <w:ind w:left="680"/>
        <w:rPr>
          <w:u w:val="single"/>
        </w:rPr>
      </w:pPr>
      <w:r>
        <w:rPr>
          <w:u w:val="single"/>
        </w:rPr>
        <w:tab/>
      </w:r>
    </w:p>
  </w:footnote>
  <w:footnote w:type="continuationNotice" w:id="1">
    <w:p w14:paraId="71F6CC19" w14:textId="77777777" w:rsidR="00C26398" w:rsidRDefault="00C26398"/>
  </w:footnote>
  <w:footnote w:id="2">
    <w:p w14:paraId="51E475F3" w14:textId="3A50F619" w:rsidR="00AD182C" w:rsidRPr="00F568FD" w:rsidRDefault="00B03480" w:rsidP="00B03480">
      <w:pPr>
        <w:pStyle w:val="FootnoteText"/>
        <w:rPr>
          <w:lang w:val="en-GB"/>
        </w:rPr>
      </w:pPr>
      <w:r>
        <w:tab/>
      </w:r>
      <w:r w:rsidR="00AD182C" w:rsidRPr="00B03480">
        <w:rPr>
          <w:rStyle w:val="FootnoteReference"/>
        </w:rPr>
        <w:footnoteRef/>
      </w:r>
      <w:r w:rsidR="00B90558" w:rsidRPr="00F568FD">
        <w:rPr>
          <w:rStyle w:val="FootnoteReference"/>
          <w:lang w:val="en-GB"/>
        </w:rPr>
        <w:tab/>
      </w:r>
      <w:r w:rsidR="00AD182C" w:rsidRPr="00F568FD">
        <w:rPr>
          <w:rFonts w:eastAsiaTheme="minorEastAsia"/>
          <w:lang w:val="en-GB"/>
        </w:rPr>
        <w:t>Committee against Torture, Committee on Economic, Social and Cultural Rights, Committee on Enforced Disappearances, Committee on the Elimination of Discrimination against Women, Committee on the Protection of the Rights of All Migrant Workers and Members of Their Families, Committee on the Rights of Persons with Disabilities, Committee on the Rights of the</w:t>
      </w:r>
      <w:r w:rsidR="00F32FE7" w:rsidRPr="00F568FD">
        <w:rPr>
          <w:rFonts w:eastAsiaTheme="minorEastAsia"/>
          <w:lang w:val="en-GB"/>
        </w:rPr>
        <w:t xml:space="preserve"> Child, Human Rights Committee.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7401" w14:textId="2B73593F" w:rsidR="00C26398" w:rsidRPr="002B66F2" w:rsidRDefault="00116E59">
    <w:pPr>
      <w:pStyle w:val="Header"/>
    </w:pPr>
    <w:fldSimple w:instr=" TITLE  \* MERGEFORMAT ">
      <w:r w:rsidR="00265A56">
        <w:t>HRI/MC/2018/CRP.1</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27BBE" w14:textId="699B4CC1" w:rsidR="00C26398" w:rsidRPr="002B66F2" w:rsidRDefault="00116E59" w:rsidP="002B66F2">
    <w:pPr>
      <w:pStyle w:val="Header"/>
      <w:jc w:val="right"/>
    </w:pPr>
    <w:fldSimple w:instr=" TITLE  \* MERGEFORMAT ">
      <w:r w:rsidR="00265A56">
        <w:t>HRI/MC/2018/CRP.1</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8EE0949"/>
    <w:multiLevelType w:val="hybridMultilevel"/>
    <w:tmpl w:val="B5BEB214"/>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2BD301A4"/>
    <w:multiLevelType w:val="hybridMultilevel"/>
    <w:tmpl w:val="C464DCF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2EC02E1E"/>
    <w:multiLevelType w:val="hybridMultilevel"/>
    <w:tmpl w:val="E2BA752E"/>
    <w:lvl w:ilvl="0" w:tplc="7A1287F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15:restartNumberingAfterBreak="0">
    <w:nsid w:val="541F01E8"/>
    <w:multiLevelType w:val="hybridMultilevel"/>
    <w:tmpl w:val="C464DCF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0" w15:restartNumberingAfterBreak="0">
    <w:nsid w:val="719B1C82"/>
    <w:multiLevelType w:val="hybridMultilevel"/>
    <w:tmpl w:val="B9FEC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19"/>
  </w:num>
  <w:num w:numId="15">
    <w:abstractNumId w:val="16"/>
  </w:num>
  <w:num w:numId="16">
    <w:abstractNumId w:val="11"/>
  </w:num>
  <w:num w:numId="17">
    <w:abstractNumId w:val="20"/>
  </w:num>
  <w:num w:numId="18">
    <w:abstractNumId w:val="13"/>
  </w:num>
  <w:num w:numId="19">
    <w:abstractNumId w:val="14"/>
  </w:num>
  <w:num w:numId="20">
    <w:abstractNumId w:val="17"/>
  </w:num>
  <w:num w:numId="21">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0"/>
  <w:activeWritingStyle w:appName="MSWord" w:lang="en-US" w:vendorID="64" w:dllVersion="131078" w:nlCheck="1" w:checkStyle="1"/>
  <w:activeWritingStyle w:appName="MSWord" w:lang="es-ES"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80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6F2"/>
    <w:rsid w:val="000024AD"/>
    <w:rsid w:val="0001678D"/>
    <w:rsid w:val="00033435"/>
    <w:rsid w:val="00033F29"/>
    <w:rsid w:val="00042248"/>
    <w:rsid w:val="00050F6B"/>
    <w:rsid w:val="00072C8C"/>
    <w:rsid w:val="00091419"/>
    <w:rsid w:val="00091AF7"/>
    <w:rsid w:val="000931C0"/>
    <w:rsid w:val="000968C6"/>
    <w:rsid w:val="000B175B"/>
    <w:rsid w:val="000B3A0F"/>
    <w:rsid w:val="000C11CF"/>
    <w:rsid w:val="000D512D"/>
    <w:rsid w:val="000E0415"/>
    <w:rsid w:val="001003F1"/>
    <w:rsid w:val="00106A40"/>
    <w:rsid w:val="001149D5"/>
    <w:rsid w:val="00116E59"/>
    <w:rsid w:val="00131105"/>
    <w:rsid w:val="00132D22"/>
    <w:rsid w:val="00136E87"/>
    <w:rsid w:val="0014195E"/>
    <w:rsid w:val="00156B1A"/>
    <w:rsid w:val="00167CF6"/>
    <w:rsid w:val="00172EF0"/>
    <w:rsid w:val="00177B85"/>
    <w:rsid w:val="00181495"/>
    <w:rsid w:val="001921C7"/>
    <w:rsid w:val="001B4B04"/>
    <w:rsid w:val="001C2E97"/>
    <w:rsid w:val="001C6663"/>
    <w:rsid w:val="001C7895"/>
    <w:rsid w:val="001D26DF"/>
    <w:rsid w:val="001D2FDC"/>
    <w:rsid w:val="001E3807"/>
    <w:rsid w:val="001E4A58"/>
    <w:rsid w:val="00204F07"/>
    <w:rsid w:val="00211E0B"/>
    <w:rsid w:val="00211E88"/>
    <w:rsid w:val="00220960"/>
    <w:rsid w:val="00231157"/>
    <w:rsid w:val="00235AEA"/>
    <w:rsid w:val="00237785"/>
    <w:rsid w:val="00241466"/>
    <w:rsid w:val="00244DF0"/>
    <w:rsid w:val="00265A56"/>
    <w:rsid w:val="00270B8B"/>
    <w:rsid w:val="00271279"/>
    <w:rsid w:val="0027696B"/>
    <w:rsid w:val="002A5453"/>
    <w:rsid w:val="002A62AA"/>
    <w:rsid w:val="002A77AC"/>
    <w:rsid w:val="002B66F2"/>
    <w:rsid w:val="002C30E4"/>
    <w:rsid w:val="002E79E9"/>
    <w:rsid w:val="002F57AD"/>
    <w:rsid w:val="0030187D"/>
    <w:rsid w:val="003068CD"/>
    <w:rsid w:val="00306BCA"/>
    <w:rsid w:val="003107FA"/>
    <w:rsid w:val="0032155C"/>
    <w:rsid w:val="003229D8"/>
    <w:rsid w:val="00326A2A"/>
    <w:rsid w:val="003461E1"/>
    <w:rsid w:val="00357CBE"/>
    <w:rsid w:val="00385B53"/>
    <w:rsid w:val="0039277A"/>
    <w:rsid w:val="003972E0"/>
    <w:rsid w:val="003C01CC"/>
    <w:rsid w:val="003C29A5"/>
    <w:rsid w:val="003C2CC4"/>
    <w:rsid w:val="003D4B23"/>
    <w:rsid w:val="003E679F"/>
    <w:rsid w:val="004143EA"/>
    <w:rsid w:val="00430970"/>
    <w:rsid w:val="004325CB"/>
    <w:rsid w:val="0043345C"/>
    <w:rsid w:val="00434B64"/>
    <w:rsid w:val="00446DE4"/>
    <w:rsid w:val="00472645"/>
    <w:rsid w:val="00473FF8"/>
    <w:rsid w:val="00486F4C"/>
    <w:rsid w:val="004927AD"/>
    <w:rsid w:val="004A35A3"/>
    <w:rsid w:val="004B2FEB"/>
    <w:rsid w:val="004C3CA3"/>
    <w:rsid w:val="004E06CF"/>
    <w:rsid w:val="004F36D5"/>
    <w:rsid w:val="005420F2"/>
    <w:rsid w:val="005467AD"/>
    <w:rsid w:val="00564534"/>
    <w:rsid w:val="00565E60"/>
    <w:rsid w:val="00567724"/>
    <w:rsid w:val="005758F7"/>
    <w:rsid w:val="00595159"/>
    <w:rsid w:val="005A0DB2"/>
    <w:rsid w:val="005B035C"/>
    <w:rsid w:val="005B3274"/>
    <w:rsid w:val="005B3DB3"/>
    <w:rsid w:val="005B669D"/>
    <w:rsid w:val="005C7348"/>
    <w:rsid w:val="005E435D"/>
    <w:rsid w:val="00610591"/>
    <w:rsid w:val="00611FC4"/>
    <w:rsid w:val="006176FB"/>
    <w:rsid w:val="00625461"/>
    <w:rsid w:val="006355EA"/>
    <w:rsid w:val="00637F41"/>
    <w:rsid w:val="00640B26"/>
    <w:rsid w:val="00670903"/>
    <w:rsid w:val="0067337F"/>
    <w:rsid w:val="00697431"/>
    <w:rsid w:val="006A7392"/>
    <w:rsid w:val="006C0D34"/>
    <w:rsid w:val="006C352A"/>
    <w:rsid w:val="006D18AE"/>
    <w:rsid w:val="006D2D59"/>
    <w:rsid w:val="006E4E16"/>
    <w:rsid w:val="006E564B"/>
    <w:rsid w:val="006F72B2"/>
    <w:rsid w:val="00714DCF"/>
    <w:rsid w:val="0072632A"/>
    <w:rsid w:val="007343EB"/>
    <w:rsid w:val="007362BC"/>
    <w:rsid w:val="00745106"/>
    <w:rsid w:val="007473A4"/>
    <w:rsid w:val="00770AD3"/>
    <w:rsid w:val="00795717"/>
    <w:rsid w:val="007970F7"/>
    <w:rsid w:val="007A2884"/>
    <w:rsid w:val="007B6BA5"/>
    <w:rsid w:val="007C2AD4"/>
    <w:rsid w:val="007C3390"/>
    <w:rsid w:val="007C4F4B"/>
    <w:rsid w:val="007F6611"/>
    <w:rsid w:val="0080509E"/>
    <w:rsid w:val="00811D92"/>
    <w:rsid w:val="008175E9"/>
    <w:rsid w:val="00821159"/>
    <w:rsid w:val="008242D7"/>
    <w:rsid w:val="0082611D"/>
    <w:rsid w:val="00840566"/>
    <w:rsid w:val="0084616B"/>
    <w:rsid w:val="00846229"/>
    <w:rsid w:val="008477A8"/>
    <w:rsid w:val="00871FD5"/>
    <w:rsid w:val="00872047"/>
    <w:rsid w:val="00895586"/>
    <w:rsid w:val="008979B1"/>
    <w:rsid w:val="008A66C5"/>
    <w:rsid w:val="008A6B25"/>
    <w:rsid w:val="008A6C4F"/>
    <w:rsid w:val="008D7011"/>
    <w:rsid w:val="008E0E46"/>
    <w:rsid w:val="008E3CF3"/>
    <w:rsid w:val="008F74DE"/>
    <w:rsid w:val="00945FFC"/>
    <w:rsid w:val="00947927"/>
    <w:rsid w:val="0095758D"/>
    <w:rsid w:val="00960D8A"/>
    <w:rsid w:val="00960F22"/>
    <w:rsid w:val="00963CBA"/>
    <w:rsid w:val="009647B5"/>
    <w:rsid w:val="00972A4E"/>
    <w:rsid w:val="00982A6B"/>
    <w:rsid w:val="00990545"/>
    <w:rsid w:val="00991261"/>
    <w:rsid w:val="009A323D"/>
    <w:rsid w:val="009B641A"/>
    <w:rsid w:val="009B6661"/>
    <w:rsid w:val="009B714E"/>
    <w:rsid w:val="009F027E"/>
    <w:rsid w:val="009F1A47"/>
    <w:rsid w:val="009F1F9A"/>
    <w:rsid w:val="00A00F3F"/>
    <w:rsid w:val="00A1427D"/>
    <w:rsid w:val="00A14D35"/>
    <w:rsid w:val="00A16544"/>
    <w:rsid w:val="00A16993"/>
    <w:rsid w:val="00A36509"/>
    <w:rsid w:val="00A608CB"/>
    <w:rsid w:val="00A619CC"/>
    <w:rsid w:val="00A72F22"/>
    <w:rsid w:val="00A748A6"/>
    <w:rsid w:val="00A81FC9"/>
    <w:rsid w:val="00A87761"/>
    <w:rsid w:val="00A879A4"/>
    <w:rsid w:val="00AB64C9"/>
    <w:rsid w:val="00AC07BA"/>
    <w:rsid w:val="00AC2567"/>
    <w:rsid w:val="00AD182C"/>
    <w:rsid w:val="00B01481"/>
    <w:rsid w:val="00B03480"/>
    <w:rsid w:val="00B06FC0"/>
    <w:rsid w:val="00B24F86"/>
    <w:rsid w:val="00B2506C"/>
    <w:rsid w:val="00B30179"/>
    <w:rsid w:val="00B3317B"/>
    <w:rsid w:val="00B34B50"/>
    <w:rsid w:val="00B80EF5"/>
    <w:rsid w:val="00B81E12"/>
    <w:rsid w:val="00B859F1"/>
    <w:rsid w:val="00B90558"/>
    <w:rsid w:val="00B9291D"/>
    <w:rsid w:val="00B93068"/>
    <w:rsid w:val="00BA16C5"/>
    <w:rsid w:val="00BA4A31"/>
    <w:rsid w:val="00BC1264"/>
    <w:rsid w:val="00BC74E9"/>
    <w:rsid w:val="00BE0007"/>
    <w:rsid w:val="00BE09F1"/>
    <w:rsid w:val="00BE4751"/>
    <w:rsid w:val="00BE618E"/>
    <w:rsid w:val="00BF624F"/>
    <w:rsid w:val="00C01FF0"/>
    <w:rsid w:val="00C15950"/>
    <w:rsid w:val="00C2256D"/>
    <w:rsid w:val="00C26398"/>
    <w:rsid w:val="00C27A95"/>
    <w:rsid w:val="00C35F24"/>
    <w:rsid w:val="00C463DD"/>
    <w:rsid w:val="00C477B7"/>
    <w:rsid w:val="00C522FB"/>
    <w:rsid w:val="00C53905"/>
    <w:rsid w:val="00C63658"/>
    <w:rsid w:val="00C745C3"/>
    <w:rsid w:val="00C7679C"/>
    <w:rsid w:val="00C82DF0"/>
    <w:rsid w:val="00CC2A5D"/>
    <w:rsid w:val="00CC7E04"/>
    <w:rsid w:val="00CD3C4D"/>
    <w:rsid w:val="00CE4A8F"/>
    <w:rsid w:val="00D1791C"/>
    <w:rsid w:val="00D2031B"/>
    <w:rsid w:val="00D21580"/>
    <w:rsid w:val="00D25FE2"/>
    <w:rsid w:val="00D27A63"/>
    <w:rsid w:val="00D43252"/>
    <w:rsid w:val="00D450D5"/>
    <w:rsid w:val="00D53D2E"/>
    <w:rsid w:val="00D75627"/>
    <w:rsid w:val="00D80F05"/>
    <w:rsid w:val="00D978C6"/>
    <w:rsid w:val="00DA536B"/>
    <w:rsid w:val="00DA67AD"/>
    <w:rsid w:val="00DC1162"/>
    <w:rsid w:val="00E130AB"/>
    <w:rsid w:val="00E15A5C"/>
    <w:rsid w:val="00E230E4"/>
    <w:rsid w:val="00E26510"/>
    <w:rsid w:val="00E42D18"/>
    <w:rsid w:val="00E53566"/>
    <w:rsid w:val="00E548DB"/>
    <w:rsid w:val="00E5644E"/>
    <w:rsid w:val="00E62FDF"/>
    <w:rsid w:val="00E67A17"/>
    <w:rsid w:val="00E7260F"/>
    <w:rsid w:val="00E8028A"/>
    <w:rsid w:val="00E94832"/>
    <w:rsid w:val="00E94B3B"/>
    <w:rsid w:val="00E96630"/>
    <w:rsid w:val="00EB15AE"/>
    <w:rsid w:val="00EB78A1"/>
    <w:rsid w:val="00EB7B2F"/>
    <w:rsid w:val="00EC57E1"/>
    <w:rsid w:val="00ED3971"/>
    <w:rsid w:val="00ED7A2A"/>
    <w:rsid w:val="00EE286F"/>
    <w:rsid w:val="00EF1D7F"/>
    <w:rsid w:val="00F00D12"/>
    <w:rsid w:val="00F11814"/>
    <w:rsid w:val="00F32FE7"/>
    <w:rsid w:val="00F40E75"/>
    <w:rsid w:val="00F567DA"/>
    <w:rsid w:val="00F568FD"/>
    <w:rsid w:val="00F733DA"/>
    <w:rsid w:val="00FA055D"/>
    <w:rsid w:val="00FA6F45"/>
    <w:rsid w:val="00FB09A9"/>
    <w:rsid w:val="00FB3D43"/>
    <w:rsid w:val="00FB6616"/>
    <w:rsid w:val="00FC68B7"/>
    <w:rsid w:val="00FD0DFC"/>
    <w:rsid w:val="00FE09A2"/>
    <w:rsid w:val="00FE1B15"/>
    <w:rsid w:val="00FE56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3A3A4B32"/>
  <w15:docId w15:val="{61A6A509-9C5F-4B66-8339-6C9925C3C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6"/>
    <w:pPr>
      <w:suppressAutoHyphens/>
      <w:spacing w:line="240" w:lineRule="atLeast"/>
    </w:pPr>
    <w:rPr>
      <w:lang w:val="en-GB" w:eastAsia="en-US"/>
    </w:rPr>
  </w:style>
  <w:style w:type="paragraph" w:styleId="Heading1">
    <w:name w:val="heading 1"/>
    <w:aliases w:val="Table_G"/>
    <w:basedOn w:val="SingleTxtG"/>
    <w:next w:val="SingleTxtG"/>
    <w:qFormat/>
    <w:rsid w:val="00271279"/>
    <w:pPr>
      <w:keepNext/>
      <w:keepLines/>
      <w:spacing w:after="0" w:line="240" w:lineRule="auto"/>
      <w:ind w:right="0"/>
      <w:jc w:val="left"/>
      <w:outlineLvl w:val="0"/>
    </w:pPr>
  </w:style>
  <w:style w:type="paragraph" w:styleId="Heading2">
    <w:name w:val="heading 2"/>
    <w:basedOn w:val="Normal"/>
    <w:next w:val="Normal"/>
    <w:semiHidden/>
    <w:qFormat/>
    <w:rsid w:val="00271279"/>
    <w:pPr>
      <w:outlineLvl w:val="1"/>
    </w:pPr>
    <w:rPr>
      <w:lang w:val="fr-CH"/>
    </w:rPr>
  </w:style>
  <w:style w:type="paragraph" w:styleId="Heading3">
    <w:name w:val="heading 3"/>
    <w:basedOn w:val="Normal"/>
    <w:next w:val="Normal"/>
    <w:semiHidden/>
    <w:qFormat/>
    <w:rsid w:val="00271279"/>
    <w:pPr>
      <w:outlineLvl w:val="2"/>
    </w:pPr>
    <w:rPr>
      <w:lang w:val="fr-CH"/>
    </w:rPr>
  </w:style>
  <w:style w:type="paragraph" w:styleId="Heading4">
    <w:name w:val="heading 4"/>
    <w:basedOn w:val="Normal"/>
    <w:next w:val="Normal"/>
    <w:semiHidden/>
    <w:qFormat/>
    <w:rsid w:val="00271279"/>
    <w:pPr>
      <w:outlineLvl w:val="3"/>
    </w:pPr>
    <w:rPr>
      <w:lang w:val="fr-CH"/>
    </w:rPr>
  </w:style>
  <w:style w:type="paragraph" w:styleId="Heading5">
    <w:name w:val="heading 5"/>
    <w:basedOn w:val="Normal"/>
    <w:next w:val="Normal"/>
    <w:semiHidden/>
    <w:qFormat/>
    <w:rsid w:val="00271279"/>
    <w:pPr>
      <w:outlineLvl w:val="4"/>
    </w:pPr>
    <w:rPr>
      <w:lang w:val="fr-CH"/>
    </w:rPr>
  </w:style>
  <w:style w:type="paragraph" w:styleId="Heading6">
    <w:name w:val="heading 6"/>
    <w:basedOn w:val="Normal"/>
    <w:next w:val="Normal"/>
    <w:semiHidden/>
    <w:qFormat/>
    <w:rsid w:val="00271279"/>
    <w:pPr>
      <w:outlineLvl w:val="5"/>
    </w:pPr>
    <w:rPr>
      <w:lang w:val="fr-CH"/>
    </w:rPr>
  </w:style>
  <w:style w:type="paragraph" w:styleId="Heading7">
    <w:name w:val="heading 7"/>
    <w:basedOn w:val="Normal"/>
    <w:next w:val="Normal"/>
    <w:semiHidden/>
    <w:qFormat/>
    <w:rsid w:val="00271279"/>
    <w:pPr>
      <w:outlineLvl w:val="6"/>
    </w:pPr>
    <w:rPr>
      <w:lang w:val="fr-CH"/>
    </w:rPr>
  </w:style>
  <w:style w:type="paragraph" w:styleId="Heading8">
    <w:name w:val="heading 8"/>
    <w:basedOn w:val="Normal"/>
    <w:next w:val="Normal"/>
    <w:semiHidden/>
    <w:qFormat/>
    <w:rsid w:val="00271279"/>
    <w:pPr>
      <w:outlineLvl w:val="7"/>
    </w:pPr>
    <w:rPr>
      <w:lang w:val="fr-CH"/>
    </w:rPr>
  </w:style>
  <w:style w:type="paragraph" w:styleId="Heading9">
    <w:name w:val="heading 9"/>
    <w:basedOn w:val="Normal"/>
    <w:next w:val="Normal"/>
    <w:semiHidden/>
    <w:qFormat/>
    <w:rsid w:val="00271279"/>
    <w:pPr>
      <w:outlineLvl w:val="8"/>
    </w:pPr>
    <w:rPr>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qFormat/>
    <w:rsid w:val="00271279"/>
    <w:pPr>
      <w:keepNext/>
      <w:keepLines/>
      <w:tabs>
        <w:tab w:val="right" w:pos="851"/>
      </w:tabs>
      <w:spacing w:before="240" w:after="240" w:line="360" w:lineRule="exact"/>
      <w:ind w:left="1134" w:right="1134" w:hanging="1134"/>
    </w:pPr>
    <w:rPr>
      <w:b/>
      <w:sz w:val="34"/>
      <w:lang w:val="fr-CH"/>
    </w:rPr>
  </w:style>
  <w:style w:type="paragraph" w:customStyle="1" w:styleId="HChG">
    <w:name w:val="_ H _Ch_G"/>
    <w:basedOn w:val="Normal"/>
    <w:next w:val="Normal"/>
    <w:qFormat/>
    <w:rsid w:val="00271279"/>
    <w:pPr>
      <w:keepNext/>
      <w:keepLines/>
      <w:tabs>
        <w:tab w:val="right" w:pos="851"/>
      </w:tabs>
      <w:spacing w:before="360" w:after="240" w:line="300" w:lineRule="exact"/>
      <w:ind w:left="1134" w:right="1134" w:hanging="1134"/>
    </w:pPr>
    <w:rPr>
      <w:b/>
      <w:sz w:val="28"/>
      <w:lang w:val="fr-CH"/>
    </w:rPr>
  </w:style>
  <w:style w:type="paragraph" w:styleId="BalloonText">
    <w:name w:val="Balloon Text"/>
    <w:basedOn w:val="Normal"/>
    <w:link w:val="BalloonTextChar"/>
    <w:semiHidden/>
    <w:rsid w:val="00B24F86"/>
    <w:pPr>
      <w:spacing w:line="240" w:lineRule="auto"/>
    </w:pPr>
    <w:rPr>
      <w:rFonts w:ascii="Tahoma" w:hAnsi="Tahoma" w:cs="Tahoma"/>
      <w:sz w:val="16"/>
      <w:szCs w:val="16"/>
    </w:rPr>
  </w:style>
  <w:style w:type="paragraph" w:customStyle="1" w:styleId="SingleTxtG">
    <w:name w:val="_ Single Txt_G"/>
    <w:basedOn w:val="Normal"/>
    <w:qFormat/>
    <w:rsid w:val="00271279"/>
    <w:pPr>
      <w:spacing w:after="120"/>
      <w:ind w:left="1134" w:right="1134"/>
      <w:jc w:val="both"/>
    </w:pPr>
    <w:rPr>
      <w:lang w:val="fr-CH"/>
    </w:rPr>
  </w:style>
  <w:style w:type="character" w:styleId="PageNumber">
    <w:name w:val="page number"/>
    <w:aliases w:val="7_G"/>
    <w:basedOn w:val="DefaultParagraphFont"/>
    <w:qFormat/>
    <w:rsid w:val="00271279"/>
    <w:rPr>
      <w:rFonts w:ascii="Times New Roman" w:hAnsi="Times New Roman"/>
      <w:b/>
      <w:sz w:val="18"/>
      <w:lang w:val="fr-CH"/>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271279"/>
    <w:pPr>
      <w:keepNext/>
      <w:keepLines/>
      <w:spacing w:before="240" w:after="240" w:line="420" w:lineRule="exact"/>
      <w:ind w:left="1134" w:right="1134"/>
    </w:pPr>
    <w:rPr>
      <w:b/>
      <w:sz w:val="40"/>
      <w:lang w:val="fr-CH"/>
    </w:rPr>
  </w:style>
  <w:style w:type="paragraph" w:customStyle="1" w:styleId="SLG">
    <w:name w:val="__S_L_G"/>
    <w:basedOn w:val="Normal"/>
    <w:next w:val="Normal"/>
    <w:rsid w:val="00271279"/>
    <w:pPr>
      <w:keepNext/>
      <w:keepLines/>
      <w:spacing w:before="240" w:after="240" w:line="580" w:lineRule="exact"/>
      <w:ind w:left="1134" w:right="1134"/>
    </w:pPr>
    <w:rPr>
      <w:b/>
      <w:sz w:val="56"/>
      <w:lang w:val="fr-CH"/>
    </w:rPr>
  </w:style>
  <w:style w:type="paragraph" w:customStyle="1" w:styleId="SSG">
    <w:name w:val="__S_S_G"/>
    <w:basedOn w:val="Normal"/>
    <w:next w:val="Normal"/>
    <w:rsid w:val="00271279"/>
    <w:pPr>
      <w:keepNext/>
      <w:keepLines/>
      <w:spacing w:before="240" w:after="240" w:line="300" w:lineRule="exact"/>
      <w:ind w:left="1134" w:right="1134"/>
    </w:pPr>
    <w:rPr>
      <w:b/>
      <w:sz w:val="28"/>
      <w:lang w:val="fr-CH"/>
    </w:rPr>
  </w:style>
  <w:style w:type="character" w:styleId="EndnoteReference">
    <w:name w:val="endnote reference"/>
    <w:aliases w:val="1_G"/>
    <w:basedOn w:val="FootnoteReference"/>
    <w:qFormat/>
    <w:rsid w:val="00271279"/>
    <w:rPr>
      <w:rFonts w:ascii="Times New Roman" w:hAnsi="Times New Roman"/>
      <w:sz w:val="18"/>
      <w:vertAlign w:val="superscript"/>
      <w:lang w:val="fr-CH"/>
    </w:rPr>
  </w:style>
  <w:style w:type="character" w:styleId="FootnoteReference">
    <w:name w:val="footnote reference"/>
    <w:aliases w:val="4_G"/>
    <w:basedOn w:val="DefaultParagraphFont"/>
    <w:qFormat/>
    <w:rsid w:val="00271279"/>
    <w:rPr>
      <w:rFonts w:ascii="Times New Roman" w:hAnsi="Times New Roman"/>
      <w:sz w:val="18"/>
      <w:vertAlign w:val="superscript"/>
      <w:lang w:val="fr-CH"/>
    </w:rPr>
  </w:style>
  <w:style w:type="paragraph" w:styleId="FootnoteText">
    <w:name w:val="footnote text"/>
    <w:aliases w:val="5_G"/>
    <w:basedOn w:val="Normal"/>
    <w:link w:val="FootnoteTextChar"/>
    <w:qFormat/>
    <w:rsid w:val="00271279"/>
    <w:pPr>
      <w:tabs>
        <w:tab w:val="right" w:pos="1021"/>
      </w:tabs>
      <w:spacing w:line="220" w:lineRule="exact"/>
      <w:ind w:left="1134" w:right="1134" w:hanging="1134"/>
    </w:pPr>
    <w:rPr>
      <w:sz w:val="18"/>
      <w:lang w:val="fr-CH"/>
    </w:rPr>
  </w:style>
  <w:style w:type="paragraph" w:customStyle="1" w:styleId="XLargeG">
    <w:name w:val="__XLarge_G"/>
    <w:basedOn w:val="Normal"/>
    <w:next w:val="Normal"/>
    <w:rsid w:val="00271279"/>
    <w:pPr>
      <w:keepNext/>
      <w:keepLines/>
      <w:spacing w:before="240" w:after="240" w:line="420" w:lineRule="exact"/>
      <w:ind w:left="1134" w:right="1134"/>
    </w:pPr>
    <w:rPr>
      <w:b/>
      <w:sz w:val="40"/>
      <w:lang w:val="fr-CH"/>
    </w:rPr>
  </w:style>
  <w:style w:type="paragraph" w:customStyle="1" w:styleId="Bullet1G">
    <w:name w:val="_Bullet 1_G"/>
    <w:basedOn w:val="Normal"/>
    <w:qFormat/>
    <w:rsid w:val="00271279"/>
    <w:pPr>
      <w:numPr>
        <w:numId w:val="14"/>
      </w:numPr>
      <w:spacing w:after="120"/>
      <w:ind w:right="1134"/>
      <w:jc w:val="both"/>
    </w:pPr>
    <w:rPr>
      <w:lang w:val="fr-CH"/>
    </w:rPr>
  </w:style>
  <w:style w:type="paragraph" w:styleId="EndnoteText">
    <w:name w:val="endnote text"/>
    <w:aliases w:val="2_G"/>
    <w:basedOn w:val="FootnoteText"/>
    <w:qFormat/>
    <w:rsid w:val="00271279"/>
  </w:style>
  <w:style w:type="character" w:styleId="CommentReference">
    <w:name w:val="annotation reference"/>
    <w:basedOn w:val="DefaultParagraphFont"/>
    <w:semiHidden/>
    <w:rPr>
      <w:sz w:val="6"/>
    </w:rPr>
  </w:style>
  <w:style w:type="paragraph" w:styleId="CommentText">
    <w:name w:val="annotation text"/>
    <w:basedOn w:val="Normal"/>
    <w:link w:val="CommentTextChar"/>
    <w:semiHidden/>
  </w:style>
  <w:style w:type="character" w:styleId="LineNumber">
    <w:name w:val="line number"/>
    <w:basedOn w:val="DefaultParagraphFont"/>
    <w:semiHidden/>
    <w:rPr>
      <w:sz w:val="14"/>
    </w:rPr>
  </w:style>
  <w:style w:type="paragraph" w:customStyle="1" w:styleId="Bullet2G">
    <w:name w:val="_Bullet 2_G"/>
    <w:basedOn w:val="Normal"/>
    <w:qFormat/>
    <w:rsid w:val="00271279"/>
    <w:pPr>
      <w:numPr>
        <w:numId w:val="15"/>
      </w:numPr>
      <w:spacing w:after="120"/>
      <w:ind w:right="1134"/>
      <w:jc w:val="both"/>
    </w:pPr>
    <w:rPr>
      <w:lang w:val="fr-CH"/>
    </w:rPr>
  </w:style>
  <w:style w:type="paragraph" w:customStyle="1" w:styleId="H1G">
    <w:name w:val="_ H_1_G"/>
    <w:basedOn w:val="Normal"/>
    <w:next w:val="Normal"/>
    <w:link w:val="H1GChar"/>
    <w:qFormat/>
    <w:rsid w:val="00271279"/>
    <w:pPr>
      <w:keepNext/>
      <w:keepLines/>
      <w:tabs>
        <w:tab w:val="right" w:pos="851"/>
      </w:tabs>
      <w:spacing w:before="360" w:after="240" w:line="270" w:lineRule="exact"/>
      <w:ind w:left="1134" w:right="1134" w:hanging="1134"/>
    </w:pPr>
    <w:rPr>
      <w:b/>
      <w:sz w:val="24"/>
      <w:lang w:val="fr-CH"/>
    </w:rPr>
  </w:style>
  <w:style w:type="paragraph" w:customStyle="1" w:styleId="H23G">
    <w:name w:val="_ H_2/3_G"/>
    <w:basedOn w:val="Normal"/>
    <w:next w:val="Normal"/>
    <w:qFormat/>
    <w:rsid w:val="00271279"/>
    <w:pPr>
      <w:keepNext/>
      <w:keepLines/>
      <w:tabs>
        <w:tab w:val="right" w:pos="851"/>
      </w:tabs>
      <w:spacing w:before="240" w:after="120" w:line="240" w:lineRule="exact"/>
      <w:ind w:left="1134" w:right="1134" w:hanging="1134"/>
    </w:pPr>
    <w:rPr>
      <w:b/>
      <w:lang w:val="fr-CH"/>
    </w:rPr>
  </w:style>
  <w:style w:type="paragraph" w:customStyle="1" w:styleId="H4G">
    <w:name w:val="_ H_4_G"/>
    <w:basedOn w:val="Normal"/>
    <w:next w:val="Normal"/>
    <w:qFormat/>
    <w:rsid w:val="00271279"/>
    <w:pPr>
      <w:keepNext/>
      <w:keepLines/>
      <w:tabs>
        <w:tab w:val="right" w:pos="851"/>
      </w:tabs>
      <w:spacing w:before="240" w:after="120" w:line="240" w:lineRule="exact"/>
      <w:ind w:left="1134" w:right="1134" w:hanging="1134"/>
    </w:pPr>
    <w:rPr>
      <w:i/>
      <w:lang w:val="fr-CH"/>
    </w:rPr>
  </w:style>
  <w:style w:type="paragraph" w:customStyle="1" w:styleId="H56G">
    <w:name w:val="_ H_5/6_G"/>
    <w:basedOn w:val="Normal"/>
    <w:next w:val="Normal"/>
    <w:qFormat/>
    <w:rsid w:val="00271279"/>
    <w:pPr>
      <w:keepNext/>
      <w:keepLines/>
      <w:tabs>
        <w:tab w:val="right" w:pos="851"/>
      </w:tabs>
      <w:spacing w:before="240" w:after="120" w:line="240" w:lineRule="exact"/>
      <w:ind w:left="1134" w:right="1134" w:hanging="1134"/>
    </w:pPr>
    <w:rPr>
      <w:lang w:val="fr-CH"/>
    </w:r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semiHidden/>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271279"/>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271279"/>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semiHidden/>
    <w:qFormat/>
    <w:rsid w:val="008A6C4F"/>
    <w:rPr>
      <w:b/>
      <w:bCs/>
    </w:rPr>
  </w:style>
  <w:style w:type="paragraph" w:styleId="Subtitle">
    <w:name w:val="Subtitle"/>
    <w:basedOn w:val="Normal"/>
    <w:semiHidden/>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27127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next w:val="Normal"/>
    <w:qFormat/>
    <w:rsid w:val="00271279"/>
    <w:pPr>
      <w:spacing w:line="240" w:lineRule="auto"/>
    </w:pPr>
    <w:rPr>
      <w:sz w:val="16"/>
      <w:lang w:val="fr-CH"/>
    </w:rPr>
  </w:style>
  <w:style w:type="paragraph" w:styleId="Header">
    <w:name w:val="header"/>
    <w:aliases w:val="6_G"/>
    <w:basedOn w:val="Normal"/>
    <w:next w:val="Normal"/>
    <w:qFormat/>
    <w:rsid w:val="00271279"/>
    <w:pPr>
      <w:pBdr>
        <w:bottom w:val="single" w:sz="4" w:space="4" w:color="auto"/>
      </w:pBdr>
      <w:spacing w:line="240" w:lineRule="auto"/>
    </w:pPr>
    <w:rPr>
      <w:b/>
      <w:sz w:val="18"/>
      <w:lang w:val="fr-CH"/>
    </w:rPr>
  </w:style>
  <w:style w:type="character" w:customStyle="1" w:styleId="BalloonTextChar">
    <w:name w:val="Balloon Text Char"/>
    <w:basedOn w:val="DefaultParagraphFont"/>
    <w:link w:val="BalloonText"/>
    <w:semiHidden/>
    <w:rsid w:val="00B24F86"/>
    <w:rPr>
      <w:rFonts w:ascii="Tahoma" w:hAnsi="Tahoma" w:cs="Tahoma"/>
      <w:sz w:val="16"/>
      <w:szCs w:val="16"/>
      <w:lang w:val="en-GB" w:eastAsia="en-US"/>
    </w:rPr>
  </w:style>
  <w:style w:type="paragraph" w:customStyle="1" w:styleId="ParNoG">
    <w:name w:val="_ParNo_G"/>
    <w:basedOn w:val="SingleTxtG"/>
    <w:qFormat/>
    <w:rsid w:val="0001678D"/>
    <w:pPr>
      <w:numPr>
        <w:numId w:val="16"/>
      </w:numPr>
      <w:suppressAutoHyphens w:val="0"/>
      <w:spacing w:line="240" w:lineRule="auto"/>
    </w:pPr>
  </w:style>
  <w:style w:type="character" w:customStyle="1" w:styleId="H1GChar">
    <w:name w:val="_ H_1_G Char"/>
    <w:link w:val="H1G"/>
    <w:rsid w:val="00B06FC0"/>
    <w:rPr>
      <w:b/>
      <w:sz w:val="24"/>
      <w:lang w:val="fr-CH" w:eastAsia="en-US"/>
    </w:rPr>
  </w:style>
  <w:style w:type="character" w:customStyle="1" w:styleId="FootnoteTextChar">
    <w:name w:val="Footnote Text Char"/>
    <w:aliases w:val="5_G Char"/>
    <w:link w:val="FootnoteText"/>
    <w:rsid w:val="00B06FC0"/>
    <w:rPr>
      <w:sz w:val="18"/>
      <w:lang w:val="fr-CH" w:eastAsia="en-US"/>
    </w:rPr>
  </w:style>
  <w:style w:type="paragraph" w:styleId="CommentSubject">
    <w:name w:val="annotation subject"/>
    <w:basedOn w:val="CommentText"/>
    <w:next w:val="CommentText"/>
    <w:link w:val="CommentSubjectChar"/>
    <w:semiHidden/>
    <w:unhideWhenUsed/>
    <w:rsid w:val="00F733DA"/>
    <w:pPr>
      <w:spacing w:line="240" w:lineRule="auto"/>
    </w:pPr>
    <w:rPr>
      <w:b/>
      <w:bCs/>
    </w:rPr>
  </w:style>
  <w:style w:type="character" w:customStyle="1" w:styleId="CommentTextChar">
    <w:name w:val="Comment Text Char"/>
    <w:basedOn w:val="DefaultParagraphFont"/>
    <w:link w:val="CommentText"/>
    <w:semiHidden/>
    <w:rsid w:val="00F733DA"/>
    <w:rPr>
      <w:lang w:val="en-GB" w:eastAsia="en-US"/>
    </w:rPr>
  </w:style>
  <w:style w:type="character" w:customStyle="1" w:styleId="CommentSubjectChar">
    <w:name w:val="Comment Subject Char"/>
    <w:basedOn w:val="CommentTextChar"/>
    <w:link w:val="CommentSubject"/>
    <w:semiHidden/>
    <w:rsid w:val="00F733DA"/>
    <w:rPr>
      <w:b/>
      <w:bCs/>
      <w:lang w:val="en-GB" w:eastAsia="en-US"/>
    </w:rPr>
  </w:style>
  <w:style w:type="paragraph" w:customStyle="1" w:styleId="Colloquy">
    <w:name w:val="Colloquy"/>
    <w:basedOn w:val="Normal"/>
    <w:next w:val="Normal"/>
    <w:uiPriority w:val="99"/>
    <w:rsid w:val="00C82DF0"/>
    <w:pPr>
      <w:widowControl w:val="0"/>
      <w:suppressAutoHyphens w:val="0"/>
      <w:autoSpaceDE w:val="0"/>
      <w:autoSpaceDN w:val="0"/>
      <w:adjustRightInd w:val="0"/>
      <w:spacing w:line="285" w:lineRule="atLeast"/>
      <w:ind w:left="144" w:right="-45" w:firstLine="432"/>
    </w:pPr>
    <w:rPr>
      <w:rFonts w:ascii="Courier New" w:hAnsi="Courier New" w:cs="Courier New"/>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HRI\HRI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A42A9-A277-4C56-AA5C-2C67890C1CCE}">
  <ds:schemaRefs>
    <ds:schemaRef ds:uri="http://schemas.microsoft.com/sharepoint/v3/contenttype/forms"/>
  </ds:schemaRefs>
</ds:datastoreItem>
</file>

<file path=customXml/itemProps2.xml><?xml version="1.0" encoding="utf-8"?>
<ds:datastoreItem xmlns:ds="http://schemas.openxmlformats.org/officeDocument/2006/customXml" ds:itemID="{593C6485-3E19-4A41-9084-E9468CA86F5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89C457-1998-4662-8E35-3F5BA40CA482}"/>
</file>

<file path=customXml/itemProps4.xml><?xml version="1.0" encoding="utf-8"?>
<ds:datastoreItem xmlns:ds="http://schemas.openxmlformats.org/officeDocument/2006/customXml" ds:itemID="{94EE24B8-A5A8-42F5-92FA-5873FFA63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HRI_E.dotm</Template>
  <TotalTime>0</TotalTime>
  <Pages>6</Pages>
  <Words>2760</Words>
  <Characters>15733</Characters>
  <Application>Microsoft Office Word</Application>
  <DocSecurity>0</DocSecurity>
  <Lines>131</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HRI/MC/2018/CRP.1</vt:lpstr>
      <vt:lpstr>United Nations</vt:lpstr>
    </vt:vector>
  </TitlesOfParts>
  <Company>CSD</Company>
  <LinksUpToDate>false</LinksUpToDate>
  <CharactersWithSpaces>18457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Thodiyil Sindu</dc:creator>
  <cp:lastModifiedBy>Elena Kountouri Tapiero</cp:lastModifiedBy>
  <cp:revision>2</cp:revision>
  <cp:lastPrinted>2019-03-25T17:26:00Z</cp:lastPrinted>
  <dcterms:created xsi:type="dcterms:W3CDTF">2019-03-27T10:46:00Z</dcterms:created>
  <dcterms:modified xsi:type="dcterms:W3CDTF">2019-03-27T10:46:00Z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