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0DE66" w14:textId="77777777" w:rsidR="00963932" w:rsidRPr="00091938" w:rsidRDefault="00963932" w:rsidP="0019741F">
      <w:pPr>
        <w:spacing w:before="120" w:after="120" w:line="240" w:lineRule="auto"/>
        <w:jc w:val="center"/>
        <w:rPr>
          <w:i/>
          <w:lang w:val="en-GB"/>
        </w:rPr>
      </w:pPr>
      <w:bookmarkStart w:id="0" w:name="_GoBack"/>
      <w:bookmarkEnd w:id="0"/>
      <w:r w:rsidRPr="00091938">
        <w:rPr>
          <w:i/>
          <w:noProof/>
          <w:lang w:val="en-GB" w:eastAsia="en-GB"/>
        </w:rPr>
        <w:drawing>
          <wp:anchor distT="0" distB="0" distL="114300" distR="114300" simplePos="0" relativeHeight="251659264" behindDoc="0" locked="0" layoutInCell="1" allowOverlap="1" wp14:anchorId="7D542743" wp14:editId="2E3A2404">
            <wp:simplePos x="0" y="0"/>
            <wp:positionH relativeFrom="column">
              <wp:posOffset>654685</wp:posOffset>
            </wp:positionH>
            <wp:positionV relativeFrom="paragraph">
              <wp:posOffset>-274955</wp:posOffset>
            </wp:positionV>
            <wp:extent cx="4457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a:extLst>
                        <a:ext uri="{28A0092B-C50C-407E-A947-70E740481C1C}">
                          <a14:useLocalDpi xmlns:a14="http://schemas.microsoft.com/office/drawing/2010/main" val="0"/>
                        </a:ext>
                      </a:extLst>
                    </a:blip>
                    <a:stretch>
                      <a:fillRect/>
                    </a:stretch>
                  </pic:blipFill>
                  <pic:spPr>
                    <a:xfrm>
                      <a:off x="0" y="0"/>
                      <a:ext cx="4457700" cy="542925"/>
                    </a:xfrm>
                    <a:prstGeom prst="rect">
                      <a:avLst/>
                    </a:prstGeom>
                  </pic:spPr>
                </pic:pic>
              </a:graphicData>
            </a:graphic>
            <wp14:sizeRelH relativeFrom="page">
              <wp14:pctWidth>0</wp14:pctWidth>
            </wp14:sizeRelH>
            <wp14:sizeRelV relativeFrom="page">
              <wp14:pctHeight>0</wp14:pctHeight>
            </wp14:sizeRelV>
          </wp:anchor>
        </w:drawing>
      </w:r>
    </w:p>
    <w:p w14:paraId="4CEBA9A4" w14:textId="77777777" w:rsidR="004A67B5" w:rsidRPr="00091938" w:rsidRDefault="004A67B5" w:rsidP="0019741F">
      <w:pPr>
        <w:spacing w:before="120" w:after="120" w:line="240" w:lineRule="auto"/>
        <w:jc w:val="center"/>
        <w:rPr>
          <w:i/>
          <w:lang w:val="en-GB"/>
        </w:rPr>
      </w:pPr>
    </w:p>
    <w:p w14:paraId="07D7E7B3" w14:textId="77777777" w:rsidR="008E1F85" w:rsidRPr="00091938" w:rsidRDefault="008E1F85" w:rsidP="0019741F">
      <w:pPr>
        <w:spacing w:before="120" w:after="120" w:line="240" w:lineRule="auto"/>
        <w:jc w:val="center"/>
        <w:rPr>
          <w:b/>
          <w:sz w:val="24"/>
          <w:lang w:val="en-GB"/>
        </w:rPr>
      </w:pPr>
      <w:r w:rsidRPr="00091938">
        <w:rPr>
          <w:b/>
          <w:sz w:val="24"/>
          <w:lang w:val="en-GB"/>
        </w:rPr>
        <w:t xml:space="preserve">ISHR </w:t>
      </w:r>
      <w:r w:rsidR="00963932" w:rsidRPr="00091938">
        <w:rPr>
          <w:b/>
          <w:sz w:val="24"/>
          <w:lang w:val="en-GB"/>
        </w:rPr>
        <w:t>submission</w:t>
      </w:r>
      <w:r w:rsidRPr="00091938">
        <w:rPr>
          <w:b/>
          <w:sz w:val="24"/>
          <w:lang w:val="en-GB"/>
        </w:rPr>
        <w:t xml:space="preserve"> to OHCHR Questionnaire in relation to General Assembly resolution 68/268</w:t>
      </w:r>
    </w:p>
    <w:p w14:paraId="3F943AD6" w14:textId="77777777" w:rsidR="004A67B5" w:rsidRPr="00091938" w:rsidRDefault="004A67B5" w:rsidP="0019741F">
      <w:pPr>
        <w:spacing w:before="120" w:after="120" w:line="240" w:lineRule="auto"/>
        <w:jc w:val="center"/>
        <w:rPr>
          <w:b/>
          <w:sz w:val="24"/>
          <w:lang w:val="en-GB"/>
        </w:rPr>
      </w:pPr>
    </w:p>
    <w:p w14:paraId="34A1E947" w14:textId="5482A4E1" w:rsidR="00963932" w:rsidRPr="00091938" w:rsidRDefault="003A05C0" w:rsidP="0019741F">
      <w:pPr>
        <w:spacing w:before="120" w:after="120" w:line="240" w:lineRule="auto"/>
        <w:jc w:val="center"/>
        <w:rPr>
          <w:b/>
          <w:i/>
          <w:sz w:val="24"/>
          <w:lang w:val="en-GB"/>
        </w:rPr>
      </w:pPr>
      <w:r>
        <w:rPr>
          <w:b/>
          <w:i/>
          <w:sz w:val="24"/>
          <w:lang w:val="en-GB"/>
        </w:rPr>
        <w:t>May</w:t>
      </w:r>
      <w:r w:rsidR="00963932" w:rsidRPr="00091938">
        <w:rPr>
          <w:b/>
          <w:i/>
          <w:sz w:val="24"/>
          <w:lang w:val="en-GB"/>
        </w:rPr>
        <w:t xml:space="preserve"> 2019</w:t>
      </w:r>
    </w:p>
    <w:p w14:paraId="427F1D50" w14:textId="77777777" w:rsidR="008E1F85" w:rsidRPr="00091938" w:rsidRDefault="008E1F85" w:rsidP="0019741F">
      <w:pPr>
        <w:spacing w:before="120" w:after="120" w:line="240" w:lineRule="auto"/>
        <w:jc w:val="center"/>
        <w:rPr>
          <w:i/>
          <w:lang w:val="en-GB"/>
        </w:rPr>
      </w:pPr>
    </w:p>
    <w:p w14:paraId="21945BB5" w14:textId="77777777" w:rsidR="000A397F" w:rsidRPr="00091938" w:rsidRDefault="000A397F" w:rsidP="0019741F">
      <w:pPr>
        <w:spacing w:before="120" w:after="120" w:line="240" w:lineRule="auto"/>
        <w:rPr>
          <w:lang w:val="en-GB"/>
        </w:rPr>
      </w:pPr>
      <w:r w:rsidRPr="00091938">
        <w:rPr>
          <w:lang w:val="en-GB"/>
        </w:rPr>
        <w:t>This contribution is submitted pursuant to the following question:</w:t>
      </w:r>
    </w:p>
    <w:p w14:paraId="538EF9D5" w14:textId="68AB7B23" w:rsidR="000A397F" w:rsidRDefault="000A397F" w:rsidP="0019741F">
      <w:pPr>
        <w:spacing w:before="120" w:after="120" w:line="240" w:lineRule="auto"/>
        <w:jc w:val="both"/>
        <w:rPr>
          <w:i/>
          <w:sz w:val="24"/>
          <w:szCs w:val="24"/>
          <w:lang w:val="en-GB"/>
        </w:rPr>
      </w:pPr>
      <w:r w:rsidRPr="00091938">
        <w:rPr>
          <w:i/>
          <w:color w:val="000000"/>
          <w:szCs w:val="24"/>
          <w:lang w:val="en-GB"/>
        </w:rPr>
        <w:t xml:space="preserve">Comments on the state of the human rights treaty body system in view of the upcoming review by 9 April 2020, of the </w:t>
      </w:r>
      <w:r w:rsidRPr="00091938">
        <w:rPr>
          <w:i/>
          <w:szCs w:val="24"/>
          <w:lang w:val="en-GB"/>
        </w:rPr>
        <w:t>effectiveness of the measures taken in order to ensure the sustainability (of treaty bodies), and, on any further action to strengthen and enhance the effective functioning of the human rights treaty body system</w:t>
      </w:r>
      <w:r w:rsidRPr="00091938">
        <w:rPr>
          <w:i/>
          <w:sz w:val="24"/>
          <w:szCs w:val="24"/>
          <w:lang w:val="en-GB"/>
        </w:rPr>
        <w:t>.</w:t>
      </w:r>
    </w:p>
    <w:p w14:paraId="159FE441" w14:textId="77777777" w:rsidR="00E9782E" w:rsidRPr="00E9782E" w:rsidRDefault="00E9782E" w:rsidP="0019741F">
      <w:pPr>
        <w:spacing w:before="120" w:after="120" w:line="240" w:lineRule="auto"/>
        <w:jc w:val="both"/>
        <w:rPr>
          <w:i/>
          <w:szCs w:val="24"/>
          <w:lang w:val="en-GB"/>
        </w:rPr>
      </w:pPr>
    </w:p>
    <w:p w14:paraId="0FB307C3" w14:textId="77777777" w:rsidR="000A397F" w:rsidRPr="00091938" w:rsidRDefault="000A397F" w:rsidP="0019741F">
      <w:pPr>
        <w:spacing w:before="120" w:after="120" w:line="240" w:lineRule="auto"/>
        <w:jc w:val="center"/>
        <w:rPr>
          <w:i/>
          <w:lang w:val="en-GB"/>
        </w:rPr>
      </w:pPr>
    </w:p>
    <w:p w14:paraId="29850E0F" w14:textId="788F4843" w:rsidR="0019741F" w:rsidRDefault="00963932" w:rsidP="0019741F">
      <w:pPr>
        <w:pStyle w:val="TOC1"/>
        <w:tabs>
          <w:tab w:val="left" w:pos="440"/>
          <w:tab w:val="right" w:pos="9062"/>
        </w:tabs>
        <w:spacing w:before="120" w:after="120" w:line="240" w:lineRule="auto"/>
        <w:rPr>
          <w:rFonts w:eastAsiaTheme="minorEastAsia"/>
          <w:noProof/>
          <w:lang w:eastAsia="fr-CH"/>
        </w:rPr>
      </w:pPr>
      <w:r w:rsidRPr="00091938">
        <w:rPr>
          <w:i/>
          <w:lang w:val="en-GB"/>
        </w:rPr>
        <w:fldChar w:fldCharType="begin"/>
      </w:r>
      <w:r w:rsidRPr="00091938">
        <w:rPr>
          <w:i/>
          <w:lang w:val="en-GB"/>
        </w:rPr>
        <w:instrText xml:space="preserve"> TOC \o "1-3" \h \z \u </w:instrText>
      </w:r>
      <w:r w:rsidRPr="00091938">
        <w:rPr>
          <w:i/>
          <w:lang w:val="en-GB"/>
        </w:rPr>
        <w:fldChar w:fldCharType="separate"/>
      </w:r>
      <w:hyperlink w:anchor="_Toc7787783" w:history="1">
        <w:r w:rsidR="0019741F" w:rsidRPr="00CA0B32">
          <w:rPr>
            <w:rStyle w:val="Hyperlink"/>
            <w:noProof/>
            <w:lang w:val="en-GB"/>
          </w:rPr>
          <w:t>I.</w:t>
        </w:r>
        <w:r w:rsidR="0019741F">
          <w:rPr>
            <w:rFonts w:eastAsiaTheme="minorEastAsia"/>
            <w:noProof/>
            <w:lang w:eastAsia="fr-CH"/>
          </w:rPr>
          <w:tab/>
        </w:r>
        <w:r w:rsidR="0019741F" w:rsidRPr="00CA0B32">
          <w:rPr>
            <w:rStyle w:val="Hyperlink"/>
            <w:noProof/>
            <w:lang w:val="en-GB"/>
          </w:rPr>
          <w:t>Overall picture</w:t>
        </w:r>
        <w:r w:rsidR="0019741F">
          <w:rPr>
            <w:noProof/>
            <w:webHidden/>
          </w:rPr>
          <w:tab/>
        </w:r>
        <w:r w:rsidR="0019741F">
          <w:rPr>
            <w:noProof/>
            <w:webHidden/>
          </w:rPr>
          <w:fldChar w:fldCharType="begin"/>
        </w:r>
        <w:r w:rsidR="0019741F">
          <w:rPr>
            <w:noProof/>
            <w:webHidden/>
          </w:rPr>
          <w:instrText xml:space="preserve"> PAGEREF _Toc7787783 \h </w:instrText>
        </w:r>
        <w:r w:rsidR="0019741F">
          <w:rPr>
            <w:noProof/>
            <w:webHidden/>
          </w:rPr>
        </w:r>
        <w:r w:rsidR="0019741F">
          <w:rPr>
            <w:noProof/>
            <w:webHidden/>
          </w:rPr>
          <w:fldChar w:fldCharType="separate"/>
        </w:r>
        <w:r w:rsidR="0019741F">
          <w:rPr>
            <w:noProof/>
            <w:webHidden/>
          </w:rPr>
          <w:t>2</w:t>
        </w:r>
        <w:r w:rsidR="0019741F">
          <w:rPr>
            <w:noProof/>
            <w:webHidden/>
          </w:rPr>
          <w:fldChar w:fldCharType="end"/>
        </w:r>
      </w:hyperlink>
    </w:p>
    <w:p w14:paraId="707924B9" w14:textId="1EF14E85" w:rsidR="0019741F" w:rsidRDefault="00376871" w:rsidP="0019741F">
      <w:pPr>
        <w:pStyle w:val="TOC1"/>
        <w:tabs>
          <w:tab w:val="left" w:pos="440"/>
          <w:tab w:val="right" w:pos="9062"/>
        </w:tabs>
        <w:spacing w:before="120" w:after="120" w:line="240" w:lineRule="auto"/>
        <w:rPr>
          <w:rFonts w:eastAsiaTheme="minorEastAsia"/>
          <w:noProof/>
          <w:lang w:eastAsia="fr-CH"/>
        </w:rPr>
      </w:pPr>
      <w:hyperlink w:anchor="_Toc7787784" w:history="1">
        <w:r w:rsidR="0019741F" w:rsidRPr="00CA0B32">
          <w:rPr>
            <w:rStyle w:val="Hyperlink"/>
            <w:noProof/>
            <w:lang w:val="en-GB"/>
          </w:rPr>
          <w:t>II.</w:t>
        </w:r>
        <w:r w:rsidR="0019741F">
          <w:rPr>
            <w:rFonts w:eastAsiaTheme="minorEastAsia"/>
            <w:noProof/>
            <w:lang w:eastAsia="fr-CH"/>
          </w:rPr>
          <w:tab/>
        </w:r>
        <w:r w:rsidR="0019741F" w:rsidRPr="00CA0B32">
          <w:rPr>
            <w:rStyle w:val="Hyperlink"/>
            <w:noProof/>
            <w:lang w:val="en-GB"/>
          </w:rPr>
          <w:t>State of the human rights treaty body system</w:t>
        </w:r>
        <w:r w:rsidR="0019741F">
          <w:rPr>
            <w:noProof/>
            <w:webHidden/>
          </w:rPr>
          <w:tab/>
        </w:r>
        <w:r w:rsidR="0019741F">
          <w:rPr>
            <w:noProof/>
            <w:webHidden/>
          </w:rPr>
          <w:fldChar w:fldCharType="begin"/>
        </w:r>
        <w:r w:rsidR="0019741F">
          <w:rPr>
            <w:noProof/>
            <w:webHidden/>
          </w:rPr>
          <w:instrText xml:space="preserve"> PAGEREF _Toc7787784 \h </w:instrText>
        </w:r>
        <w:r w:rsidR="0019741F">
          <w:rPr>
            <w:noProof/>
            <w:webHidden/>
          </w:rPr>
        </w:r>
        <w:r w:rsidR="0019741F">
          <w:rPr>
            <w:noProof/>
            <w:webHidden/>
          </w:rPr>
          <w:fldChar w:fldCharType="separate"/>
        </w:r>
        <w:r w:rsidR="0019741F">
          <w:rPr>
            <w:noProof/>
            <w:webHidden/>
          </w:rPr>
          <w:t>3</w:t>
        </w:r>
        <w:r w:rsidR="0019741F">
          <w:rPr>
            <w:noProof/>
            <w:webHidden/>
          </w:rPr>
          <w:fldChar w:fldCharType="end"/>
        </w:r>
      </w:hyperlink>
    </w:p>
    <w:p w14:paraId="7282ADC9" w14:textId="74C977F4" w:rsidR="0019741F" w:rsidRDefault="00376871" w:rsidP="0019741F">
      <w:pPr>
        <w:pStyle w:val="TOC2"/>
        <w:tabs>
          <w:tab w:val="left" w:pos="880"/>
          <w:tab w:val="right" w:pos="9062"/>
        </w:tabs>
        <w:spacing w:before="120" w:after="120" w:line="240" w:lineRule="auto"/>
        <w:rPr>
          <w:rFonts w:eastAsiaTheme="minorEastAsia"/>
          <w:noProof/>
          <w:lang w:eastAsia="fr-CH"/>
        </w:rPr>
      </w:pPr>
      <w:hyperlink w:anchor="_Toc7787787" w:history="1">
        <w:r w:rsidR="0019741F" w:rsidRPr="00CA0B32">
          <w:rPr>
            <w:rStyle w:val="Hyperlink"/>
            <w:i/>
            <w:noProof/>
            <w:lang w:val="en-GB"/>
          </w:rPr>
          <w:t>2.1.</w:t>
        </w:r>
        <w:r w:rsidR="0019741F">
          <w:rPr>
            <w:rFonts w:eastAsiaTheme="minorEastAsia"/>
            <w:noProof/>
            <w:lang w:eastAsia="fr-CH"/>
          </w:rPr>
          <w:tab/>
        </w:r>
        <w:r w:rsidR="0019741F" w:rsidRPr="00CA0B32">
          <w:rPr>
            <w:rStyle w:val="Hyperlink"/>
            <w:i/>
            <w:noProof/>
            <w:lang w:val="en-GB"/>
          </w:rPr>
          <w:t>Additional meeting time</w:t>
        </w:r>
        <w:r w:rsidR="0019741F">
          <w:rPr>
            <w:noProof/>
            <w:webHidden/>
          </w:rPr>
          <w:tab/>
        </w:r>
        <w:r w:rsidR="0019741F">
          <w:rPr>
            <w:noProof/>
            <w:webHidden/>
          </w:rPr>
          <w:fldChar w:fldCharType="begin"/>
        </w:r>
        <w:r w:rsidR="0019741F">
          <w:rPr>
            <w:noProof/>
            <w:webHidden/>
          </w:rPr>
          <w:instrText xml:space="preserve"> PAGEREF _Toc7787787 \h </w:instrText>
        </w:r>
        <w:r w:rsidR="0019741F">
          <w:rPr>
            <w:noProof/>
            <w:webHidden/>
          </w:rPr>
        </w:r>
        <w:r w:rsidR="0019741F">
          <w:rPr>
            <w:noProof/>
            <w:webHidden/>
          </w:rPr>
          <w:fldChar w:fldCharType="separate"/>
        </w:r>
        <w:r w:rsidR="0019741F">
          <w:rPr>
            <w:noProof/>
            <w:webHidden/>
          </w:rPr>
          <w:t>3</w:t>
        </w:r>
        <w:r w:rsidR="0019741F">
          <w:rPr>
            <w:noProof/>
            <w:webHidden/>
          </w:rPr>
          <w:fldChar w:fldCharType="end"/>
        </w:r>
      </w:hyperlink>
    </w:p>
    <w:p w14:paraId="1A51FD78" w14:textId="0FBD4D76" w:rsidR="0019741F" w:rsidRDefault="00376871" w:rsidP="0019741F">
      <w:pPr>
        <w:pStyle w:val="TOC2"/>
        <w:tabs>
          <w:tab w:val="left" w:pos="880"/>
          <w:tab w:val="right" w:pos="9062"/>
        </w:tabs>
        <w:spacing w:before="120" w:after="120" w:line="240" w:lineRule="auto"/>
        <w:rPr>
          <w:rFonts w:eastAsiaTheme="minorEastAsia"/>
          <w:noProof/>
          <w:lang w:eastAsia="fr-CH"/>
        </w:rPr>
      </w:pPr>
      <w:hyperlink w:anchor="_Toc7787788" w:history="1">
        <w:r w:rsidR="0019741F" w:rsidRPr="00CA0B32">
          <w:rPr>
            <w:rStyle w:val="Hyperlink"/>
            <w:i/>
            <w:noProof/>
            <w:lang w:val="en-GB"/>
          </w:rPr>
          <w:t>2.2.</w:t>
        </w:r>
        <w:r w:rsidR="0019741F">
          <w:rPr>
            <w:rFonts w:eastAsiaTheme="minorEastAsia"/>
            <w:noProof/>
            <w:lang w:eastAsia="fr-CH"/>
          </w:rPr>
          <w:tab/>
        </w:r>
        <w:r w:rsidR="0019741F" w:rsidRPr="00CA0B32">
          <w:rPr>
            <w:rStyle w:val="Hyperlink"/>
            <w:i/>
            <w:noProof/>
            <w:lang w:val="en-GB"/>
          </w:rPr>
          <w:t>Capacity building programme for States</w:t>
        </w:r>
        <w:r w:rsidR="0019741F">
          <w:rPr>
            <w:noProof/>
            <w:webHidden/>
          </w:rPr>
          <w:tab/>
        </w:r>
        <w:r w:rsidR="0019741F">
          <w:rPr>
            <w:noProof/>
            <w:webHidden/>
          </w:rPr>
          <w:fldChar w:fldCharType="begin"/>
        </w:r>
        <w:r w:rsidR="0019741F">
          <w:rPr>
            <w:noProof/>
            <w:webHidden/>
          </w:rPr>
          <w:instrText xml:space="preserve"> PAGEREF _Toc7787788 \h </w:instrText>
        </w:r>
        <w:r w:rsidR="0019741F">
          <w:rPr>
            <w:noProof/>
            <w:webHidden/>
          </w:rPr>
        </w:r>
        <w:r w:rsidR="0019741F">
          <w:rPr>
            <w:noProof/>
            <w:webHidden/>
          </w:rPr>
          <w:fldChar w:fldCharType="separate"/>
        </w:r>
        <w:r w:rsidR="0019741F">
          <w:rPr>
            <w:noProof/>
            <w:webHidden/>
          </w:rPr>
          <w:t>4</w:t>
        </w:r>
        <w:r w:rsidR="0019741F">
          <w:rPr>
            <w:noProof/>
            <w:webHidden/>
          </w:rPr>
          <w:fldChar w:fldCharType="end"/>
        </w:r>
      </w:hyperlink>
    </w:p>
    <w:p w14:paraId="5675AB66" w14:textId="0B93E954" w:rsidR="0019741F" w:rsidRDefault="00376871" w:rsidP="0019741F">
      <w:pPr>
        <w:pStyle w:val="TOC2"/>
        <w:tabs>
          <w:tab w:val="left" w:pos="880"/>
          <w:tab w:val="right" w:pos="9062"/>
        </w:tabs>
        <w:spacing w:before="120" w:after="120" w:line="240" w:lineRule="auto"/>
        <w:rPr>
          <w:rFonts w:eastAsiaTheme="minorEastAsia"/>
          <w:noProof/>
          <w:lang w:eastAsia="fr-CH"/>
        </w:rPr>
      </w:pPr>
      <w:hyperlink w:anchor="_Toc7787789" w:history="1">
        <w:r w:rsidR="0019741F" w:rsidRPr="00CA0B32">
          <w:rPr>
            <w:rStyle w:val="Hyperlink"/>
            <w:i/>
            <w:noProof/>
            <w:lang w:val="en-GB"/>
          </w:rPr>
          <w:t>2.3.</w:t>
        </w:r>
        <w:r w:rsidR="0019741F">
          <w:rPr>
            <w:rFonts w:eastAsiaTheme="minorEastAsia"/>
            <w:noProof/>
            <w:lang w:eastAsia="fr-CH"/>
          </w:rPr>
          <w:tab/>
        </w:r>
        <w:r w:rsidR="0019741F" w:rsidRPr="00CA0B32">
          <w:rPr>
            <w:rStyle w:val="Hyperlink"/>
            <w:i/>
            <w:noProof/>
            <w:lang w:val="en-GB"/>
          </w:rPr>
          <w:t>Webcasting and videoconferencing</w:t>
        </w:r>
        <w:r w:rsidR="0019741F">
          <w:rPr>
            <w:noProof/>
            <w:webHidden/>
          </w:rPr>
          <w:tab/>
        </w:r>
        <w:r w:rsidR="0019741F">
          <w:rPr>
            <w:noProof/>
            <w:webHidden/>
          </w:rPr>
          <w:fldChar w:fldCharType="begin"/>
        </w:r>
        <w:r w:rsidR="0019741F">
          <w:rPr>
            <w:noProof/>
            <w:webHidden/>
          </w:rPr>
          <w:instrText xml:space="preserve"> PAGEREF _Toc7787789 \h </w:instrText>
        </w:r>
        <w:r w:rsidR="0019741F">
          <w:rPr>
            <w:noProof/>
            <w:webHidden/>
          </w:rPr>
        </w:r>
        <w:r w:rsidR="0019741F">
          <w:rPr>
            <w:noProof/>
            <w:webHidden/>
          </w:rPr>
          <w:fldChar w:fldCharType="separate"/>
        </w:r>
        <w:r w:rsidR="0019741F">
          <w:rPr>
            <w:noProof/>
            <w:webHidden/>
          </w:rPr>
          <w:t>5</w:t>
        </w:r>
        <w:r w:rsidR="0019741F">
          <w:rPr>
            <w:noProof/>
            <w:webHidden/>
          </w:rPr>
          <w:fldChar w:fldCharType="end"/>
        </w:r>
      </w:hyperlink>
    </w:p>
    <w:p w14:paraId="7B3D5AD7" w14:textId="574DC1B3" w:rsidR="0019741F" w:rsidRDefault="00376871" w:rsidP="0019741F">
      <w:pPr>
        <w:pStyle w:val="TOC2"/>
        <w:tabs>
          <w:tab w:val="left" w:pos="880"/>
          <w:tab w:val="right" w:pos="9062"/>
        </w:tabs>
        <w:spacing w:before="120" w:after="120" w:line="240" w:lineRule="auto"/>
        <w:rPr>
          <w:rFonts w:eastAsiaTheme="minorEastAsia"/>
          <w:noProof/>
          <w:lang w:eastAsia="fr-CH"/>
        </w:rPr>
      </w:pPr>
      <w:hyperlink w:anchor="_Toc7787790" w:history="1">
        <w:r w:rsidR="0019741F" w:rsidRPr="00CA0B32">
          <w:rPr>
            <w:rStyle w:val="Hyperlink"/>
            <w:i/>
            <w:noProof/>
            <w:lang w:val="en-GB"/>
          </w:rPr>
          <w:t>2.4.</w:t>
        </w:r>
        <w:r w:rsidR="0019741F">
          <w:rPr>
            <w:rFonts w:eastAsiaTheme="minorEastAsia"/>
            <w:noProof/>
            <w:lang w:eastAsia="fr-CH"/>
          </w:rPr>
          <w:tab/>
        </w:r>
        <w:r w:rsidR="0019741F" w:rsidRPr="00CA0B32">
          <w:rPr>
            <w:rStyle w:val="Hyperlink"/>
            <w:i/>
            <w:noProof/>
            <w:lang w:val="en-GB"/>
          </w:rPr>
          <w:t>Public information</w:t>
        </w:r>
        <w:r w:rsidR="0019741F">
          <w:rPr>
            <w:noProof/>
            <w:webHidden/>
          </w:rPr>
          <w:tab/>
        </w:r>
        <w:r w:rsidR="0019741F">
          <w:rPr>
            <w:noProof/>
            <w:webHidden/>
          </w:rPr>
          <w:fldChar w:fldCharType="begin"/>
        </w:r>
        <w:r w:rsidR="0019741F">
          <w:rPr>
            <w:noProof/>
            <w:webHidden/>
          </w:rPr>
          <w:instrText xml:space="preserve"> PAGEREF _Toc7787790 \h </w:instrText>
        </w:r>
        <w:r w:rsidR="0019741F">
          <w:rPr>
            <w:noProof/>
            <w:webHidden/>
          </w:rPr>
        </w:r>
        <w:r w:rsidR="0019741F">
          <w:rPr>
            <w:noProof/>
            <w:webHidden/>
          </w:rPr>
          <w:fldChar w:fldCharType="separate"/>
        </w:r>
        <w:r w:rsidR="0019741F">
          <w:rPr>
            <w:noProof/>
            <w:webHidden/>
          </w:rPr>
          <w:t>5</w:t>
        </w:r>
        <w:r w:rsidR="0019741F">
          <w:rPr>
            <w:noProof/>
            <w:webHidden/>
          </w:rPr>
          <w:fldChar w:fldCharType="end"/>
        </w:r>
      </w:hyperlink>
    </w:p>
    <w:p w14:paraId="7BD2F4CB" w14:textId="519A3970" w:rsidR="0019741F" w:rsidRDefault="00376871" w:rsidP="0019741F">
      <w:pPr>
        <w:pStyle w:val="TOC2"/>
        <w:tabs>
          <w:tab w:val="left" w:pos="880"/>
          <w:tab w:val="right" w:pos="9062"/>
        </w:tabs>
        <w:spacing w:before="120" w:after="120" w:line="240" w:lineRule="auto"/>
        <w:rPr>
          <w:rFonts w:eastAsiaTheme="minorEastAsia"/>
          <w:noProof/>
          <w:lang w:eastAsia="fr-CH"/>
        </w:rPr>
      </w:pPr>
      <w:hyperlink w:anchor="_Toc7787791" w:history="1">
        <w:r w:rsidR="0019741F" w:rsidRPr="00CA0B32">
          <w:rPr>
            <w:rStyle w:val="Hyperlink"/>
            <w:i/>
            <w:noProof/>
            <w:lang w:val="en-GB"/>
          </w:rPr>
          <w:t>2.5.</w:t>
        </w:r>
        <w:r w:rsidR="0019741F">
          <w:rPr>
            <w:rFonts w:eastAsiaTheme="minorEastAsia"/>
            <w:noProof/>
            <w:lang w:eastAsia="fr-CH"/>
          </w:rPr>
          <w:tab/>
        </w:r>
        <w:r w:rsidR="0019741F" w:rsidRPr="00CA0B32">
          <w:rPr>
            <w:rStyle w:val="Hyperlink"/>
            <w:i/>
            <w:noProof/>
            <w:lang w:val="en-GB"/>
          </w:rPr>
          <w:t>Efficiency, transparency, effectiveness and harmonization</w:t>
        </w:r>
        <w:r w:rsidR="0019741F">
          <w:rPr>
            <w:noProof/>
            <w:webHidden/>
          </w:rPr>
          <w:tab/>
        </w:r>
        <w:r w:rsidR="0019741F">
          <w:rPr>
            <w:noProof/>
            <w:webHidden/>
          </w:rPr>
          <w:fldChar w:fldCharType="begin"/>
        </w:r>
        <w:r w:rsidR="0019741F">
          <w:rPr>
            <w:noProof/>
            <w:webHidden/>
          </w:rPr>
          <w:instrText xml:space="preserve"> PAGEREF _Toc7787791 \h </w:instrText>
        </w:r>
        <w:r w:rsidR="0019741F">
          <w:rPr>
            <w:noProof/>
            <w:webHidden/>
          </w:rPr>
        </w:r>
        <w:r w:rsidR="0019741F">
          <w:rPr>
            <w:noProof/>
            <w:webHidden/>
          </w:rPr>
          <w:fldChar w:fldCharType="separate"/>
        </w:r>
        <w:r w:rsidR="0019741F">
          <w:rPr>
            <w:noProof/>
            <w:webHidden/>
          </w:rPr>
          <w:t>8</w:t>
        </w:r>
        <w:r w:rsidR="0019741F">
          <w:rPr>
            <w:noProof/>
            <w:webHidden/>
          </w:rPr>
          <w:fldChar w:fldCharType="end"/>
        </w:r>
      </w:hyperlink>
    </w:p>
    <w:p w14:paraId="67061857" w14:textId="4F36B20F" w:rsidR="0019741F" w:rsidRDefault="00376871" w:rsidP="0019741F">
      <w:pPr>
        <w:pStyle w:val="TOC1"/>
        <w:tabs>
          <w:tab w:val="left" w:pos="660"/>
          <w:tab w:val="right" w:pos="9062"/>
        </w:tabs>
        <w:spacing w:before="120" w:after="120" w:line="240" w:lineRule="auto"/>
        <w:rPr>
          <w:rFonts w:eastAsiaTheme="minorEastAsia"/>
          <w:noProof/>
          <w:lang w:eastAsia="fr-CH"/>
        </w:rPr>
      </w:pPr>
      <w:hyperlink w:anchor="_Toc7787792" w:history="1">
        <w:r w:rsidR="0019741F" w:rsidRPr="00CA0B32">
          <w:rPr>
            <w:rStyle w:val="Hyperlink"/>
            <w:noProof/>
            <w:lang w:val="en-GB"/>
          </w:rPr>
          <w:t>III.</w:t>
        </w:r>
        <w:r w:rsidR="0019741F">
          <w:rPr>
            <w:rFonts w:eastAsiaTheme="minorEastAsia"/>
            <w:noProof/>
            <w:lang w:eastAsia="fr-CH"/>
          </w:rPr>
          <w:tab/>
        </w:r>
        <w:r w:rsidR="0019741F" w:rsidRPr="00CA0B32">
          <w:rPr>
            <w:rStyle w:val="Hyperlink"/>
            <w:noProof/>
            <w:lang w:val="en-GB"/>
          </w:rPr>
          <w:t>Effectiveness of measures to ensure sustainability</w:t>
        </w:r>
        <w:r w:rsidR="0019741F">
          <w:rPr>
            <w:noProof/>
            <w:webHidden/>
          </w:rPr>
          <w:tab/>
        </w:r>
        <w:r w:rsidR="0019741F">
          <w:rPr>
            <w:noProof/>
            <w:webHidden/>
          </w:rPr>
          <w:fldChar w:fldCharType="begin"/>
        </w:r>
        <w:r w:rsidR="0019741F">
          <w:rPr>
            <w:noProof/>
            <w:webHidden/>
          </w:rPr>
          <w:instrText xml:space="preserve"> PAGEREF _Toc7787792 \h </w:instrText>
        </w:r>
        <w:r w:rsidR="0019741F">
          <w:rPr>
            <w:noProof/>
            <w:webHidden/>
          </w:rPr>
        </w:r>
        <w:r w:rsidR="0019741F">
          <w:rPr>
            <w:noProof/>
            <w:webHidden/>
          </w:rPr>
          <w:fldChar w:fldCharType="separate"/>
        </w:r>
        <w:r w:rsidR="0019741F">
          <w:rPr>
            <w:noProof/>
            <w:webHidden/>
          </w:rPr>
          <w:t>8</w:t>
        </w:r>
        <w:r w:rsidR="0019741F">
          <w:rPr>
            <w:noProof/>
            <w:webHidden/>
          </w:rPr>
          <w:fldChar w:fldCharType="end"/>
        </w:r>
      </w:hyperlink>
    </w:p>
    <w:p w14:paraId="6FE0A089" w14:textId="11FE5905" w:rsidR="0019741F" w:rsidRDefault="00376871" w:rsidP="0019741F">
      <w:pPr>
        <w:pStyle w:val="TOC2"/>
        <w:tabs>
          <w:tab w:val="left" w:pos="880"/>
          <w:tab w:val="right" w:pos="9062"/>
        </w:tabs>
        <w:spacing w:before="120" w:after="120" w:line="240" w:lineRule="auto"/>
        <w:rPr>
          <w:rFonts w:eastAsiaTheme="minorEastAsia"/>
          <w:noProof/>
          <w:lang w:eastAsia="fr-CH"/>
        </w:rPr>
      </w:pPr>
      <w:hyperlink w:anchor="_Toc7787794" w:history="1">
        <w:r w:rsidR="0019741F" w:rsidRPr="00CA0B32">
          <w:rPr>
            <w:rStyle w:val="Hyperlink"/>
            <w:i/>
            <w:noProof/>
            <w:lang w:val="en-GB"/>
          </w:rPr>
          <w:t>3.1.</w:t>
        </w:r>
        <w:r w:rsidR="0019741F">
          <w:rPr>
            <w:rFonts w:eastAsiaTheme="minorEastAsia"/>
            <w:noProof/>
            <w:lang w:eastAsia="fr-CH"/>
          </w:rPr>
          <w:tab/>
        </w:r>
        <w:r w:rsidR="0019741F" w:rsidRPr="00CA0B32">
          <w:rPr>
            <w:rStyle w:val="Hyperlink"/>
            <w:i/>
            <w:noProof/>
            <w:lang w:val="en-GB"/>
          </w:rPr>
          <w:t>Lack of predictability across the system</w:t>
        </w:r>
        <w:r w:rsidR="0019741F">
          <w:rPr>
            <w:noProof/>
            <w:webHidden/>
          </w:rPr>
          <w:tab/>
        </w:r>
        <w:r w:rsidR="0019741F">
          <w:rPr>
            <w:noProof/>
            <w:webHidden/>
          </w:rPr>
          <w:fldChar w:fldCharType="begin"/>
        </w:r>
        <w:r w:rsidR="0019741F">
          <w:rPr>
            <w:noProof/>
            <w:webHidden/>
          </w:rPr>
          <w:instrText xml:space="preserve"> PAGEREF _Toc7787794 \h </w:instrText>
        </w:r>
        <w:r w:rsidR="0019741F">
          <w:rPr>
            <w:noProof/>
            <w:webHidden/>
          </w:rPr>
        </w:r>
        <w:r w:rsidR="0019741F">
          <w:rPr>
            <w:noProof/>
            <w:webHidden/>
          </w:rPr>
          <w:fldChar w:fldCharType="separate"/>
        </w:r>
        <w:r w:rsidR="0019741F">
          <w:rPr>
            <w:noProof/>
            <w:webHidden/>
          </w:rPr>
          <w:t>9</w:t>
        </w:r>
        <w:r w:rsidR="0019741F">
          <w:rPr>
            <w:noProof/>
            <w:webHidden/>
          </w:rPr>
          <w:fldChar w:fldCharType="end"/>
        </w:r>
      </w:hyperlink>
    </w:p>
    <w:p w14:paraId="177BAD4B" w14:textId="3D5346D6" w:rsidR="0019741F" w:rsidRDefault="00376871" w:rsidP="0019741F">
      <w:pPr>
        <w:pStyle w:val="TOC2"/>
        <w:tabs>
          <w:tab w:val="left" w:pos="880"/>
          <w:tab w:val="right" w:pos="9062"/>
        </w:tabs>
        <w:spacing w:before="120" w:after="120" w:line="240" w:lineRule="auto"/>
        <w:rPr>
          <w:rFonts w:eastAsiaTheme="minorEastAsia"/>
          <w:noProof/>
          <w:lang w:eastAsia="fr-CH"/>
        </w:rPr>
      </w:pPr>
      <w:hyperlink w:anchor="_Toc7787795" w:history="1">
        <w:r w:rsidR="0019741F" w:rsidRPr="00CA0B32">
          <w:rPr>
            <w:rStyle w:val="Hyperlink"/>
            <w:i/>
            <w:noProof/>
            <w:lang w:val="en-GB"/>
          </w:rPr>
          <w:t>3.2.</w:t>
        </w:r>
        <w:r w:rsidR="0019741F">
          <w:rPr>
            <w:rFonts w:eastAsiaTheme="minorEastAsia"/>
            <w:noProof/>
            <w:lang w:eastAsia="fr-CH"/>
          </w:rPr>
          <w:tab/>
        </w:r>
        <w:r w:rsidR="0019741F" w:rsidRPr="00CA0B32">
          <w:rPr>
            <w:rStyle w:val="Hyperlink"/>
            <w:i/>
            <w:noProof/>
            <w:lang w:val="en-GB"/>
          </w:rPr>
          <w:t>Limited transparency and visibility of the system</w:t>
        </w:r>
        <w:r w:rsidR="0019741F">
          <w:rPr>
            <w:noProof/>
            <w:webHidden/>
          </w:rPr>
          <w:tab/>
        </w:r>
        <w:r w:rsidR="0019741F">
          <w:rPr>
            <w:noProof/>
            <w:webHidden/>
          </w:rPr>
          <w:fldChar w:fldCharType="begin"/>
        </w:r>
        <w:r w:rsidR="0019741F">
          <w:rPr>
            <w:noProof/>
            <w:webHidden/>
          </w:rPr>
          <w:instrText xml:space="preserve"> PAGEREF _Toc7787795 \h </w:instrText>
        </w:r>
        <w:r w:rsidR="0019741F">
          <w:rPr>
            <w:noProof/>
            <w:webHidden/>
          </w:rPr>
        </w:r>
        <w:r w:rsidR="0019741F">
          <w:rPr>
            <w:noProof/>
            <w:webHidden/>
          </w:rPr>
          <w:fldChar w:fldCharType="separate"/>
        </w:r>
        <w:r w:rsidR="0019741F">
          <w:rPr>
            <w:noProof/>
            <w:webHidden/>
          </w:rPr>
          <w:t>9</w:t>
        </w:r>
        <w:r w:rsidR="0019741F">
          <w:rPr>
            <w:noProof/>
            <w:webHidden/>
          </w:rPr>
          <w:fldChar w:fldCharType="end"/>
        </w:r>
      </w:hyperlink>
    </w:p>
    <w:p w14:paraId="7EB3E418" w14:textId="02748323" w:rsidR="0019741F" w:rsidRDefault="00376871" w:rsidP="0019741F">
      <w:pPr>
        <w:pStyle w:val="TOC2"/>
        <w:tabs>
          <w:tab w:val="left" w:pos="880"/>
          <w:tab w:val="right" w:pos="9062"/>
        </w:tabs>
        <w:spacing w:before="120" w:after="120" w:line="240" w:lineRule="auto"/>
        <w:rPr>
          <w:rFonts w:eastAsiaTheme="minorEastAsia"/>
          <w:noProof/>
          <w:lang w:eastAsia="fr-CH"/>
        </w:rPr>
      </w:pPr>
      <w:hyperlink w:anchor="_Toc7787796" w:history="1">
        <w:r w:rsidR="0019741F" w:rsidRPr="00CA0B32">
          <w:rPr>
            <w:rStyle w:val="Hyperlink"/>
            <w:i/>
            <w:noProof/>
            <w:lang w:val="en-GB"/>
          </w:rPr>
          <w:t>3.3.</w:t>
        </w:r>
        <w:r w:rsidR="0019741F">
          <w:rPr>
            <w:rFonts w:eastAsiaTheme="minorEastAsia"/>
            <w:noProof/>
            <w:lang w:eastAsia="fr-CH"/>
          </w:rPr>
          <w:tab/>
        </w:r>
        <w:r w:rsidR="0019741F" w:rsidRPr="00CA0B32">
          <w:rPr>
            <w:rStyle w:val="Hyperlink"/>
            <w:i/>
            <w:noProof/>
            <w:lang w:val="en-GB"/>
          </w:rPr>
          <w:t>Fragmentation of working methods</w:t>
        </w:r>
        <w:r w:rsidR="0019741F">
          <w:rPr>
            <w:noProof/>
            <w:webHidden/>
          </w:rPr>
          <w:tab/>
        </w:r>
        <w:r w:rsidR="0019741F">
          <w:rPr>
            <w:noProof/>
            <w:webHidden/>
          </w:rPr>
          <w:fldChar w:fldCharType="begin"/>
        </w:r>
        <w:r w:rsidR="0019741F">
          <w:rPr>
            <w:noProof/>
            <w:webHidden/>
          </w:rPr>
          <w:instrText xml:space="preserve"> PAGEREF _Toc7787796 \h </w:instrText>
        </w:r>
        <w:r w:rsidR="0019741F">
          <w:rPr>
            <w:noProof/>
            <w:webHidden/>
          </w:rPr>
        </w:r>
        <w:r w:rsidR="0019741F">
          <w:rPr>
            <w:noProof/>
            <w:webHidden/>
          </w:rPr>
          <w:fldChar w:fldCharType="separate"/>
        </w:r>
        <w:r w:rsidR="0019741F">
          <w:rPr>
            <w:noProof/>
            <w:webHidden/>
          </w:rPr>
          <w:t>10</w:t>
        </w:r>
        <w:r w:rsidR="0019741F">
          <w:rPr>
            <w:noProof/>
            <w:webHidden/>
          </w:rPr>
          <w:fldChar w:fldCharType="end"/>
        </w:r>
      </w:hyperlink>
    </w:p>
    <w:p w14:paraId="5642625B" w14:textId="4B9CB89E" w:rsidR="0019741F" w:rsidRDefault="00376871" w:rsidP="0019741F">
      <w:pPr>
        <w:pStyle w:val="TOC2"/>
        <w:tabs>
          <w:tab w:val="left" w:pos="880"/>
          <w:tab w:val="right" w:pos="9062"/>
        </w:tabs>
        <w:spacing w:before="120" w:after="120" w:line="240" w:lineRule="auto"/>
        <w:rPr>
          <w:rFonts w:eastAsiaTheme="minorEastAsia"/>
          <w:noProof/>
          <w:lang w:eastAsia="fr-CH"/>
        </w:rPr>
      </w:pPr>
      <w:hyperlink w:anchor="_Toc7787797" w:history="1">
        <w:r w:rsidR="0019741F" w:rsidRPr="00CA0B32">
          <w:rPr>
            <w:rStyle w:val="Hyperlink"/>
            <w:i/>
            <w:noProof/>
            <w:lang w:val="en-GB"/>
          </w:rPr>
          <w:t>3.4.</w:t>
        </w:r>
        <w:r w:rsidR="0019741F">
          <w:rPr>
            <w:rFonts w:eastAsiaTheme="minorEastAsia"/>
            <w:noProof/>
            <w:lang w:eastAsia="fr-CH"/>
          </w:rPr>
          <w:tab/>
        </w:r>
        <w:r w:rsidR="0019741F" w:rsidRPr="00CA0B32">
          <w:rPr>
            <w:rStyle w:val="Hyperlink"/>
            <w:i/>
            <w:noProof/>
            <w:lang w:val="en-GB"/>
          </w:rPr>
          <w:t>Chronic lack of adequate financial and human resources</w:t>
        </w:r>
        <w:r w:rsidR="0019741F">
          <w:rPr>
            <w:noProof/>
            <w:webHidden/>
          </w:rPr>
          <w:tab/>
        </w:r>
        <w:r w:rsidR="0019741F">
          <w:rPr>
            <w:noProof/>
            <w:webHidden/>
          </w:rPr>
          <w:fldChar w:fldCharType="begin"/>
        </w:r>
        <w:r w:rsidR="0019741F">
          <w:rPr>
            <w:noProof/>
            <w:webHidden/>
          </w:rPr>
          <w:instrText xml:space="preserve"> PAGEREF _Toc7787797 \h </w:instrText>
        </w:r>
        <w:r w:rsidR="0019741F">
          <w:rPr>
            <w:noProof/>
            <w:webHidden/>
          </w:rPr>
        </w:r>
        <w:r w:rsidR="0019741F">
          <w:rPr>
            <w:noProof/>
            <w:webHidden/>
          </w:rPr>
          <w:fldChar w:fldCharType="separate"/>
        </w:r>
        <w:r w:rsidR="0019741F">
          <w:rPr>
            <w:noProof/>
            <w:webHidden/>
          </w:rPr>
          <w:t>12</w:t>
        </w:r>
        <w:r w:rsidR="0019741F">
          <w:rPr>
            <w:noProof/>
            <w:webHidden/>
          </w:rPr>
          <w:fldChar w:fldCharType="end"/>
        </w:r>
      </w:hyperlink>
    </w:p>
    <w:p w14:paraId="4BC41DCA" w14:textId="3FC79C1F" w:rsidR="0019741F" w:rsidRDefault="00376871" w:rsidP="0019741F">
      <w:pPr>
        <w:pStyle w:val="TOC1"/>
        <w:tabs>
          <w:tab w:val="left" w:pos="660"/>
          <w:tab w:val="right" w:pos="9062"/>
        </w:tabs>
        <w:spacing w:before="120" w:after="120" w:line="240" w:lineRule="auto"/>
        <w:rPr>
          <w:rFonts w:eastAsiaTheme="minorEastAsia"/>
          <w:noProof/>
          <w:lang w:eastAsia="fr-CH"/>
        </w:rPr>
      </w:pPr>
      <w:hyperlink w:anchor="_Toc7787798" w:history="1">
        <w:r w:rsidR="0019741F" w:rsidRPr="00CA0B32">
          <w:rPr>
            <w:rStyle w:val="Hyperlink"/>
            <w:noProof/>
            <w:lang w:val="en-GB"/>
          </w:rPr>
          <w:t>IV.</w:t>
        </w:r>
        <w:r w:rsidR="0019741F">
          <w:rPr>
            <w:rFonts w:eastAsiaTheme="minorEastAsia"/>
            <w:noProof/>
            <w:lang w:eastAsia="fr-CH"/>
          </w:rPr>
          <w:tab/>
        </w:r>
        <w:r w:rsidR="0019741F" w:rsidRPr="00CA0B32">
          <w:rPr>
            <w:rStyle w:val="Hyperlink"/>
            <w:noProof/>
            <w:lang w:val="en-GB"/>
          </w:rPr>
          <w:t>Further action to strengthen and enhance the treaty body system</w:t>
        </w:r>
        <w:r w:rsidR="0019741F">
          <w:rPr>
            <w:noProof/>
            <w:webHidden/>
          </w:rPr>
          <w:tab/>
        </w:r>
        <w:r w:rsidR="0019741F">
          <w:rPr>
            <w:noProof/>
            <w:webHidden/>
          </w:rPr>
          <w:fldChar w:fldCharType="begin"/>
        </w:r>
        <w:r w:rsidR="0019741F">
          <w:rPr>
            <w:noProof/>
            <w:webHidden/>
          </w:rPr>
          <w:instrText xml:space="preserve"> PAGEREF _Toc7787798 \h </w:instrText>
        </w:r>
        <w:r w:rsidR="0019741F">
          <w:rPr>
            <w:noProof/>
            <w:webHidden/>
          </w:rPr>
        </w:r>
        <w:r w:rsidR="0019741F">
          <w:rPr>
            <w:noProof/>
            <w:webHidden/>
          </w:rPr>
          <w:fldChar w:fldCharType="separate"/>
        </w:r>
        <w:r w:rsidR="0019741F">
          <w:rPr>
            <w:noProof/>
            <w:webHidden/>
          </w:rPr>
          <w:t>13</w:t>
        </w:r>
        <w:r w:rsidR="0019741F">
          <w:rPr>
            <w:noProof/>
            <w:webHidden/>
          </w:rPr>
          <w:fldChar w:fldCharType="end"/>
        </w:r>
      </w:hyperlink>
    </w:p>
    <w:p w14:paraId="3DB7BB54" w14:textId="5FFA4CCE" w:rsidR="0019741F" w:rsidRDefault="00376871" w:rsidP="0019741F">
      <w:pPr>
        <w:pStyle w:val="TOC2"/>
        <w:tabs>
          <w:tab w:val="left" w:pos="880"/>
          <w:tab w:val="right" w:pos="9062"/>
        </w:tabs>
        <w:spacing w:before="120" w:after="120" w:line="240" w:lineRule="auto"/>
        <w:rPr>
          <w:rFonts w:eastAsiaTheme="minorEastAsia"/>
          <w:noProof/>
          <w:lang w:eastAsia="fr-CH"/>
        </w:rPr>
      </w:pPr>
      <w:hyperlink w:anchor="_Toc7787800" w:history="1">
        <w:r w:rsidR="0019741F" w:rsidRPr="00CA0B32">
          <w:rPr>
            <w:rStyle w:val="Hyperlink"/>
            <w:i/>
            <w:noProof/>
            <w:lang w:val="en-GB"/>
          </w:rPr>
          <w:t>4.1.</w:t>
        </w:r>
        <w:r w:rsidR="0019741F">
          <w:rPr>
            <w:rFonts w:eastAsiaTheme="minorEastAsia"/>
            <w:noProof/>
            <w:lang w:eastAsia="fr-CH"/>
          </w:rPr>
          <w:tab/>
        </w:r>
        <w:r w:rsidR="0019741F" w:rsidRPr="00CA0B32">
          <w:rPr>
            <w:rStyle w:val="Hyperlink"/>
            <w:i/>
            <w:noProof/>
            <w:lang w:val="en-GB"/>
          </w:rPr>
          <w:t>Testing new approaches &amp; methods</w:t>
        </w:r>
        <w:r w:rsidR="0019741F">
          <w:rPr>
            <w:noProof/>
            <w:webHidden/>
          </w:rPr>
          <w:tab/>
        </w:r>
        <w:r w:rsidR="0019741F">
          <w:rPr>
            <w:noProof/>
            <w:webHidden/>
          </w:rPr>
          <w:fldChar w:fldCharType="begin"/>
        </w:r>
        <w:r w:rsidR="0019741F">
          <w:rPr>
            <w:noProof/>
            <w:webHidden/>
          </w:rPr>
          <w:instrText xml:space="preserve"> PAGEREF _Toc7787800 \h </w:instrText>
        </w:r>
        <w:r w:rsidR="0019741F">
          <w:rPr>
            <w:noProof/>
            <w:webHidden/>
          </w:rPr>
        </w:r>
        <w:r w:rsidR="0019741F">
          <w:rPr>
            <w:noProof/>
            <w:webHidden/>
          </w:rPr>
          <w:fldChar w:fldCharType="separate"/>
        </w:r>
        <w:r w:rsidR="0019741F">
          <w:rPr>
            <w:noProof/>
            <w:webHidden/>
          </w:rPr>
          <w:t>13</w:t>
        </w:r>
        <w:r w:rsidR="0019741F">
          <w:rPr>
            <w:noProof/>
            <w:webHidden/>
          </w:rPr>
          <w:fldChar w:fldCharType="end"/>
        </w:r>
      </w:hyperlink>
    </w:p>
    <w:p w14:paraId="4C9A6366" w14:textId="526FF1B5" w:rsidR="0019741F" w:rsidRDefault="00376871" w:rsidP="0019741F">
      <w:pPr>
        <w:pStyle w:val="TOC2"/>
        <w:tabs>
          <w:tab w:val="left" w:pos="880"/>
          <w:tab w:val="right" w:pos="9062"/>
        </w:tabs>
        <w:spacing w:before="120" w:after="120" w:line="240" w:lineRule="auto"/>
        <w:rPr>
          <w:rFonts w:eastAsiaTheme="minorEastAsia"/>
          <w:noProof/>
          <w:lang w:eastAsia="fr-CH"/>
        </w:rPr>
      </w:pPr>
      <w:hyperlink w:anchor="_Toc7787801" w:history="1">
        <w:r w:rsidR="0019741F" w:rsidRPr="00CA0B32">
          <w:rPr>
            <w:rStyle w:val="Hyperlink"/>
            <w:i/>
            <w:noProof/>
            <w:lang w:val="en-GB"/>
          </w:rPr>
          <w:t>4.2.</w:t>
        </w:r>
        <w:r w:rsidR="0019741F">
          <w:rPr>
            <w:rFonts w:eastAsiaTheme="minorEastAsia"/>
            <w:noProof/>
            <w:lang w:eastAsia="fr-CH"/>
          </w:rPr>
          <w:tab/>
        </w:r>
        <w:r w:rsidR="0019741F" w:rsidRPr="00CA0B32">
          <w:rPr>
            <w:rStyle w:val="Hyperlink"/>
            <w:i/>
            <w:noProof/>
            <w:lang w:val="en-GB"/>
          </w:rPr>
          <w:t>Further action: dos and don’ts</w:t>
        </w:r>
        <w:r w:rsidR="0019741F">
          <w:rPr>
            <w:noProof/>
            <w:webHidden/>
          </w:rPr>
          <w:tab/>
        </w:r>
        <w:r w:rsidR="0019741F">
          <w:rPr>
            <w:noProof/>
            <w:webHidden/>
          </w:rPr>
          <w:fldChar w:fldCharType="begin"/>
        </w:r>
        <w:r w:rsidR="0019741F">
          <w:rPr>
            <w:noProof/>
            <w:webHidden/>
          </w:rPr>
          <w:instrText xml:space="preserve"> PAGEREF _Toc7787801 \h </w:instrText>
        </w:r>
        <w:r w:rsidR="0019741F">
          <w:rPr>
            <w:noProof/>
            <w:webHidden/>
          </w:rPr>
        </w:r>
        <w:r w:rsidR="0019741F">
          <w:rPr>
            <w:noProof/>
            <w:webHidden/>
          </w:rPr>
          <w:fldChar w:fldCharType="separate"/>
        </w:r>
        <w:r w:rsidR="0019741F">
          <w:rPr>
            <w:noProof/>
            <w:webHidden/>
          </w:rPr>
          <w:t>14</w:t>
        </w:r>
        <w:r w:rsidR="0019741F">
          <w:rPr>
            <w:noProof/>
            <w:webHidden/>
          </w:rPr>
          <w:fldChar w:fldCharType="end"/>
        </w:r>
      </w:hyperlink>
    </w:p>
    <w:p w14:paraId="59E430BF" w14:textId="1592C557" w:rsidR="0019741F" w:rsidRDefault="00376871" w:rsidP="0019741F">
      <w:pPr>
        <w:pStyle w:val="TOC2"/>
        <w:tabs>
          <w:tab w:val="left" w:pos="880"/>
          <w:tab w:val="right" w:pos="9062"/>
        </w:tabs>
        <w:spacing w:before="120" w:after="120" w:line="240" w:lineRule="auto"/>
        <w:rPr>
          <w:rFonts w:eastAsiaTheme="minorEastAsia"/>
          <w:noProof/>
          <w:lang w:eastAsia="fr-CH"/>
        </w:rPr>
      </w:pPr>
      <w:hyperlink w:anchor="_Toc7787802" w:history="1">
        <w:r w:rsidR="0019741F" w:rsidRPr="00CA0B32">
          <w:rPr>
            <w:rStyle w:val="Hyperlink"/>
            <w:i/>
            <w:noProof/>
            <w:lang w:val="en-GB"/>
          </w:rPr>
          <w:t>4.3.</w:t>
        </w:r>
        <w:r w:rsidR="0019741F">
          <w:rPr>
            <w:rFonts w:eastAsiaTheme="minorEastAsia"/>
            <w:noProof/>
            <w:lang w:eastAsia="fr-CH"/>
          </w:rPr>
          <w:tab/>
        </w:r>
        <w:r w:rsidR="0019741F" w:rsidRPr="00CA0B32">
          <w:rPr>
            <w:rStyle w:val="Hyperlink"/>
            <w:i/>
            <w:noProof/>
            <w:lang w:val="en-GB"/>
          </w:rPr>
          <w:t>Last but not least: improving treaty body membership</w:t>
        </w:r>
        <w:r w:rsidR="0019741F">
          <w:rPr>
            <w:noProof/>
            <w:webHidden/>
          </w:rPr>
          <w:tab/>
        </w:r>
        <w:r w:rsidR="0019741F">
          <w:rPr>
            <w:noProof/>
            <w:webHidden/>
          </w:rPr>
          <w:fldChar w:fldCharType="begin"/>
        </w:r>
        <w:r w:rsidR="0019741F">
          <w:rPr>
            <w:noProof/>
            <w:webHidden/>
          </w:rPr>
          <w:instrText xml:space="preserve"> PAGEREF _Toc7787802 \h </w:instrText>
        </w:r>
        <w:r w:rsidR="0019741F">
          <w:rPr>
            <w:noProof/>
            <w:webHidden/>
          </w:rPr>
        </w:r>
        <w:r w:rsidR="0019741F">
          <w:rPr>
            <w:noProof/>
            <w:webHidden/>
          </w:rPr>
          <w:fldChar w:fldCharType="separate"/>
        </w:r>
        <w:r w:rsidR="0019741F">
          <w:rPr>
            <w:noProof/>
            <w:webHidden/>
          </w:rPr>
          <w:t>15</w:t>
        </w:r>
        <w:r w:rsidR="0019741F">
          <w:rPr>
            <w:noProof/>
            <w:webHidden/>
          </w:rPr>
          <w:fldChar w:fldCharType="end"/>
        </w:r>
      </w:hyperlink>
    </w:p>
    <w:p w14:paraId="7063E892" w14:textId="461833B9" w:rsidR="00963932" w:rsidRDefault="00963932" w:rsidP="0019741F">
      <w:pPr>
        <w:spacing w:before="120" w:after="120" w:line="240" w:lineRule="auto"/>
        <w:jc w:val="center"/>
        <w:rPr>
          <w:i/>
          <w:lang w:val="en-GB"/>
        </w:rPr>
      </w:pPr>
      <w:r w:rsidRPr="00091938">
        <w:rPr>
          <w:i/>
          <w:lang w:val="en-GB"/>
        </w:rPr>
        <w:fldChar w:fldCharType="end"/>
      </w:r>
    </w:p>
    <w:p w14:paraId="56E58FE0" w14:textId="77777777" w:rsidR="00DD3B08" w:rsidRPr="00091938" w:rsidRDefault="00DD3B08" w:rsidP="0019741F">
      <w:pPr>
        <w:spacing w:before="120" w:after="120" w:line="240" w:lineRule="auto"/>
        <w:jc w:val="center"/>
        <w:rPr>
          <w:i/>
          <w:lang w:val="en-GB"/>
        </w:rPr>
      </w:pPr>
    </w:p>
    <w:tbl>
      <w:tblPr>
        <w:tblStyle w:val="TableGrid"/>
        <w:tblpPr w:leftFromText="141" w:rightFromText="141" w:vertAnchor="text" w:horzAnchor="margin"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985"/>
      </w:tblGrid>
      <w:tr w:rsidR="0019741F" w:rsidRPr="00977F06" w14:paraId="39898B62" w14:textId="2CAF6CEA" w:rsidTr="00D27198">
        <w:trPr>
          <w:trHeight w:val="453"/>
        </w:trPr>
        <w:tc>
          <w:tcPr>
            <w:tcW w:w="3828" w:type="dxa"/>
            <w:gridSpan w:val="2"/>
          </w:tcPr>
          <w:p w14:paraId="60F22173" w14:textId="16C1CBFD" w:rsidR="0019741F" w:rsidRDefault="0019741F" w:rsidP="0019741F">
            <w:pPr>
              <w:spacing w:before="120" w:after="120"/>
              <w:rPr>
                <w:rFonts w:cs="Gill Sans"/>
                <w:b/>
                <w:szCs w:val="28"/>
                <w:lang w:val="en-GB"/>
              </w:rPr>
            </w:pPr>
            <w:r>
              <w:rPr>
                <w:rFonts w:asciiTheme="minorHAnsi" w:hAnsiTheme="minorHAnsi" w:cs="Gill Sans"/>
                <w:b/>
                <w:sz w:val="22"/>
                <w:szCs w:val="28"/>
                <w:lang w:val="en-GB"/>
              </w:rPr>
              <w:t>Contacts</w:t>
            </w:r>
          </w:p>
        </w:tc>
      </w:tr>
      <w:tr w:rsidR="0019741F" w:rsidRPr="008D5BD8" w14:paraId="51EB8188" w14:textId="43FA2DD1" w:rsidTr="0019741F">
        <w:trPr>
          <w:trHeight w:val="1011"/>
        </w:trPr>
        <w:tc>
          <w:tcPr>
            <w:tcW w:w="1843" w:type="dxa"/>
          </w:tcPr>
          <w:p w14:paraId="0C27EA41" w14:textId="65D9FB2A" w:rsidR="0019741F" w:rsidRDefault="0019741F" w:rsidP="0019741F">
            <w:pPr>
              <w:spacing w:before="120" w:after="120"/>
              <w:rPr>
                <w:rFonts w:asciiTheme="minorHAnsi" w:hAnsiTheme="minorHAnsi" w:cs="Gill Sans"/>
                <w:sz w:val="22"/>
                <w:szCs w:val="28"/>
                <w:lang w:val="en-GB"/>
              </w:rPr>
            </w:pPr>
            <w:r>
              <w:rPr>
                <w:rFonts w:asciiTheme="minorHAnsi" w:hAnsiTheme="minorHAnsi" w:cs="Gill Sans"/>
                <w:sz w:val="22"/>
                <w:szCs w:val="28"/>
                <w:lang w:val="en-GB"/>
              </w:rPr>
              <w:t xml:space="preserve">Vincent Ploton          </w:t>
            </w:r>
          </w:p>
          <w:p w14:paraId="16095F09" w14:textId="5D7D74C4" w:rsidR="0019741F" w:rsidRDefault="0019741F" w:rsidP="0019741F">
            <w:pPr>
              <w:spacing w:before="120" w:after="120"/>
              <w:rPr>
                <w:rFonts w:asciiTheme="minorHAnsi" w:hAnsiTheme="minorHAnsi" w:cs="Gill Sans"/>
                <w:sz w:val="22"/>
                <w:szCs w:val="28"/>
                <w:lang w:val="en-GB"/>
              </w:rPr>
            </w:pPr>
            <w:r>
              <w:rPr>
                <w:rFonts w:asciiTheme="minorHAnsi" w:hAnsiTheme="minorHAnsi" w:cs="Gill Sans"/>
                <w:sz w:val="22"/>
                <w:szCs w:val="28"/>
                <w:lang w:val="en-GB"/>
              </w:rPr>
              <w:t xml:space="preserve">ISHR Geneva              </w:t>
            </w:r>
          </w:p>
          <w:p w14:paraId="68D1C124" w14:textId="0E81C31C" w:rsidR="0019741F" w:rsidRPr="004B3D74" w:rsidRDefault="00376871" w:rsidP="0019741F">
            <w:pPr>
              <w:spacing w:before="120" w:after="120"/>
              <w:rPr>
                <w:rFonts w:asciiTheme="minorHAnsi" w:hAnsiTheme="minorHAnsi" w:cs="Gill Sans"/>
                <w:sz w:val="22"/>
                <w:szCs w:val="28"/>
                <w:lang w:val="en-GB"/>
              </w:rPr>
            </w:pPr>
            <w:hyperlink r:id="rId12" w:history="1">
              <w:r w:rsidR="0019741F" w:rsidRPr="004B3D74">
                <w:rPr>
                  <w:rStyle w:val="Hyperlink"/>
                  <w:rFonts w:cs="Gill Sans"/>
                  <w:szCs w:val="28"/>
                  <w:lang w:val="en-GB"/>
                </w:rPr>
                <w:t>v.ploton@ishr.ch</w:t>
              </w:r>
            </w:hyperlink>
            <w:r w:rsidR="0019741F" w:rsidRPr="004B3D74">
              <w:rPr>
                <w:rFonts w:asciiTheme="minorHAnsi" w:hAnsiTheme="minorHAnsi" w:cs="Gill Sans"/>
                <w:sz w:val="22"/>
                <w:szCs w:val="28"/>
                <w:lang w:val="en-GB"/>
              </w:rPr>
              <w:t xml:space="preserve"> </w:t>
            </w:r>
            <w:r w:rsidR="0019741F">
              <w:rPr>
                <w:rFonts w:asciiTheme="minorHAnsi" w:hAnsiTheme="minorHAnsi" w:cs="Gill Sans"/>
                <w:sz w:val="22"/>
                <w:szCs w:val="28"/>
                <w:lang w:val="en-GB"/>
              </w:rPr>
              <w:t xml:space="preserve">        </w:t>
            </w:r>
          </w:p>
        </w:tc>
        <w:tc>
          <w:tcPr>
            <w:tcW w:w="1985" w:type="dxa"/>
          </w:tcPr>
          <w:p w14:paraId="052B5AF3" w14:textId="77777777" w:rsidR="0019741F" w:rsidRDefault="0019741F" w:rsidP="0019741F">
            <w:pPr>
              <w:spacing w:before="120" w:after="120"/>
              <w:rPr>
                <w:rFonts w:asciiTheme="minorHAnsi" w:hAnsiTheme="minorHAnsi" w:cs="Gill Sans"/>
                <w:sz w:val="22"/>
                <w:szCs w:val="28"/>
                <w:lang w:val="en-GB"/>
              </w:rPr>
            </w:pPr>
            <w:r>
              <w:rPr>
                <w:rFonts w:asciiTheme="minorHAnsi" w:hAnsiTheme="minorHAnsi" w:cs="Gill Sans"/>
                <w:sz w:val="22"/>
                <w:szCs w:val="28"/>
                <w:lang w:val="en-GB"/>
              </w:rPr>
              <w:t xml:space="preserve">Madeleine Sinclair </w:t>
            </w:r>
          </w:p>
          <w:p w14:paraId="4FABF1EE" w14:textId="77777777" w:rsidR="0019741F" w:rsidRDefault="0019741F" w:rsidP="0019741F">
            <w:pPr>
              <w:spacing w:before="120" w:after="120"/>
              <w:rPr>
                <w:rFonts w:asciiTheme="minorHAnsi" w:hAnsiTheme="minorHAnsi" w:cs="Gill Sans"/>
                <w:sz w:val="22"/>
                <w:szCs w:val="28"/>
                <w:lang w:val="en-GB"/>
              </w:rPr>
            </w:pPr>
            <w:r>
              <w:rPr>
                <w:rFonts w:asciiTheme="minorHAnsi" w:hAnsiTheme="minorHAnsi" w:cs="Gill Sans"/>
                <w:sz w:val="22"/>
                <w:szCs w:val="28"/>
                <w:lang w:val="en-GB"/>
              </w:rPr>
              <w:t>ISHR New York</w:t>
            </w:r>
          </w:p>
          <w:p w14:paraId="6FBC7A1F" w14:textId="49E0C9D6" w:rsidR="0019741F" w:rsidRDefault="00376871" w:rsidP="0019741F">
            <w:pPr>
              <w:spacing w:before="120" w:after="120"/>
              <w:rPr>
                <w:rFonts w:cs="Gill Sans"/>
                <w:szCs w:val="28"/>
                <w:lang w:val="en-GB"/>
              </w:rPr>
            </w:pPr>
            <w:hyperlink r:id="rId13" w:history="1">
              <w:r w:rsidR="0019741F" w:rsidRPr="005824B3">
                <w:rPr>
                  <w:rStyle w:val="Hyperlink"/>
                  <w:rFonts w:cs="Gill Sans"/>
                  <w:szCs w:val="28"/>
                  <w:lang w:val="en-GB"/>
                </w:rPr>
                <w:t>m.sinclair@ishr.ch</w:t>
              </w:r>
            </w:hyperlink>
          </w:p>
        </w:tc>
      </w:tr>
    </w:tbl>
    <w:p w14:paraId="43DE2951" w14:textId="77777777" w:rsidR="00170349" w:rsidRDefault="00170349" w:rsidP="0019741F">
      <w:pPr>
        <w:spacing w:before="120" w:after="120" w:line="240" w:lineRule="auto"/>
        <w:rPr>
          <w:lang w:val="en-GB"/>
        </w:rPr>
      </w:pPr>
    </w:p>
    <w:p w14:paraId="3CE3E111" w14:textId="77777777" w:rsidR="00C90009" w:rsidRDefault="00C90009" w:rsidP="0019741F">
      <w:pPr>
        <w:spacing w:before="120" w:after="120" w:line="240" w:lineRule="auto"/>
        <w:rPr>
          <w:i/>
          <w:lang w:val="en-GB"/>
        </w:rPr>
      </w:pPr>
    </w:p>
    <w:p w14:paraId="0D3E1E73" w14:textId="77777777" w:rsidR="004A67B5" w:rsidRDefault="004A67B5" w:rsidP="0019741F">
      <w:pPr>
        <w:spacing w:before="120" w:after="120" w:line="240" w:lineRule="auto"/>
        <w:rPr>
          <w:i/>
          <w:lang w:val="en-GB"/>
        </w:rPr>
      </w:pPr>
    </w:p>
    <w:p w14:paraId="2322CA04" w14:textId="77777777" w:rsidR="00025D7A" w:rsidRPr="00091938" w:rsidRDefault="00025D7A" w:rsidP="0019741F">
      <w:pPr>
        <w:pStyle w:val="Heading1"/>
        <w:numPr>
          <w:ilvl w:val="0"/>
          <w:numId w:val="4"/>
        </w:numPr>
        <w:spacing w:before="120" w:after="120" w:line="240" w:lineRule="auto"/>
        <w:ind w:left="426" w:hanging="66"/>
        <w:jc w:val="both"/>
        <w:rPr>
          <w:rFonts w:asciiTheme="minorHAnsi" w:hAnsiTheme="minorHAnsi"/>
          <w:color w:val="C00000"/>
          <w:sz w:val="24"/>
          <w:lang w:val="en-GB"/>
        </w:rPr>
      </w:pPr>
      <w:bookmarkStart w:id="1" w:name="_Toc7787783"/>
      <w:r w:rsidRPr="00091938">
        <w:rPr>
          <w:rFonts w:asciiTheme="minorHAnsi" w:hAnsiTheme="minorHAnsi"/>
          <w:color w:val="C00000"/>
          <w:sz w:val="24"/>
          <w:lang w:val="en-GB"/>
        </w:rPr>
        <w:lastRenderedPageBreak/>
        <w:t>Overall picture</w:t>
      </w:r>
      <w:bookmarkEnd w:id="1"/>
    </w:p>
    <w:p w14:paraId="08ACC3B0" w14:textId="0785CED2" w:rsidR="00990180" w:rsidRDefault="00990180" w:rsidP="0019741F">
      <w:pPr>
        <w:spacing w:before="120" w:after="120" w:line="240" w:lineRule="auto"/>
        <w:jc w:val="both"/>
        <w:rPr>
          <w:lang w:val="en-GB"/>
        </w:rPr>
      </w:pPr>
      <w:r w:rsidRPr="00091938">
        <w:rPr>
          <w:lang w:val="en-GB"/>
        </w:rPr>
        <w:t xml:space="preserve">The UN human rights treaty bodies are a vital and critical component of the international human rights architecture. Their guidance and authoritative interpretation of the core international human rights treaties </w:t>
      </w:r>
      <w:r w:rsidR="00F20536" w:rsidRPr="00091938">
        <w:rPr>
          <w:lang w:val="en-GB"/>
        </w:rPr>
        <w:t>have played a critical role in enhancing human rights protection</w:t>
      </w:r>
      <w:r w:rsidR="00D92E04">
        <w:rPr>
          <w:lang w:val="en-GB"/>
        </w:rPr>
        <w:t>,</w:t>
      </w:r>
      <w:r w:rsidR="00F20536" w:rsidRPr="00091938">
        <w:rPr>
          <w:lang w:val="en-GB"/>
        </w:rPr>
        <w:t xml:space="preserve"> promotion </w:t>
      </w:r>
      <w:r w:rsidR="00D92E04">
        <w:rPr>
          <w:lang w:val="en-GB"/>
        </w:rPr>
        <w:t xml:space="preserve">and implementation </w:t>
      </w:r>
      <w:r w:rsidR="00F20536" w:rsidRPr="00091938">
        <w:rPr>
          <w:lang w:val="en-GB"/>
        </w:rPr>
        <w:t xml:space="preserve">in all regions of the world. </w:t>
      </w:r>
      <w:r w:rsidR="00695433" w:rsidRPr="00091938">
        <w:rPr>
          <w:lang w:val="en-GB"/>
        </w:rPr>
        <w:t>The so-called treaty body strengthening process should not only contribute to maintain the effectiveness of treaty bodies in upholding global compliance with the treaties, but it should also ultimately contribute to improv</w:t>
      </w:r>
      <w:r w:rsidR="00E357FE">
        <w:rPr>
          <w:lang w:val="en-GB"/>
        </w:rPr>
        <w:t>ing</w:t>
      </w:r>
      <w:r w:rsidR="00695433" w:rsidRPr="00091938">
        <w:rPr>
          <w:lang w:val="en-GB"/>
        </w:rPr>
        <w:t xml:space="preserve"> it.</w:t>
      </w:r>
    </w:p>
    <w:p w14:paraId="09EB6847" w14:textId="77777777" w:rsidR="001F6150" w:rsidRDefault="001F6150" w:rsidP="0019741F">
      <w:pPr>
        <w:spacing w:before="120" w:after="120" w:line="240" w:lineRule="auto"/>
        <w:jc w:val="both"/>
        <w:rPr>
          <w:lang w:val="en-GB"/>
        </w:rPr>
      </w:pPr>
      <w:r>
        <w:rPr>
          <w:lang w:val="en-GB"/>
        </w:rPr>
        <w:t>In 2005, the UN Secretary General noted that “</w:t>
      </w:r>
      <w:r w:rsidRPr="001F6150">
        <w:rPr>
          <w:lang w:val="en-GB"/>
        </w:rPr>
        <w:t>The</w:t>
      </w:r>
      <w:r>
        <w:rPr>
          <w:lang w:val="en-GB"/>
        </w:rPr>
        <w:t xml:space="preserve"> </w:t>
      </w:r>
      <w:r w:rsidRPr="001F6150">
        <w:rPr>
          <w:lang w:val="en-GB"/>
        </w:rPr>
        <w:t>treaty body system remains little known; is compromised by the failure of many</w:t>
      </w:r>
      <w:r>
        <w:rPr>
          <w:lang w:val="en-GB"/>
        </w:rPr>
        <w:t xml:space="preserve"> </w:t>
      </w:r>
      <w:r w:rsidRPr="001F6150">
        <w:rPr>
          <w:lang w:val="en-GB"/>
        </w:rPr>
        <w:t>States to report on time if at all, as well as the duplication of reporting requirements;</w:t>
      </w:r>
      <w:r>
        <w:rPr>
          <w:lang w:val="en-GB"/>
        </w:rPr>
        <w:t xml:space="preserve"> </w:t>
      </w:r>
      <w:r w:rsidRPr="001F6150">
        <w:rPr>
          <w:lang w:val="en-GB"/>
        </w:rPr>
        <w:t>and is weakened further by poor implementation of recommendations.</w:t>
      </w:r>
      <w:r w:rsidR="00882079">
        <w:rPr>
          <w:rStyle w:val="FootnoteReference"/>
          <w:lang w:val="en-GB"/>
        </w:rPr>
        <w:footnoteReference w:id="1"/>
      </w:r>
      <w:r>
        <w:rPr>
          <w:lang w:val="en-GB"/>
        </w:rPr>
        <w:t xml:space="preserve">” Despite some progress since 2005, similar comments could be made nearly fifteen years down the line. </w:t>
      </w:r>
    </w:p>
    <w:p w14:paraId="270C2018" w14:textId="56EA83DC" w:rsidR="00090992" w:rsidRPr="00091938" w:rsidRDefault="00025D7A" w:rsidP="0019741F">
      <w:pPr>
        <w:spacing w:before="120" w:after="120" w:line="240" w:lineRule="auto"/>
        <w:jc w:val="both"/>
        <w:rPr>
          <w:lang w:val="en-GB"/>
        </w:rPr>
      </w:pPr>
      <w:r w:rsidRPr="00091938">
        <w:rPr>
          <w:lang w:val="en-GB"/>
        </w:rPr>
        <w:t xml:space="preserve">GA res. 68/268 brought about some </w:t>
      </w:r>
      <w:r w:rsidR="003D3419" w:rsidRPr="00091938">
        <w:rPr>
          <w:lang w:val="en-GB"/>
        </w:rPr>
        <w:t xml:space="preserve">modest </w:t>
      </w:r>
      <w:r w:rsidRPr="00091938">
        <w:rPr>
          <w:lang w:val="en-GB"/>
        </w:rPr>
        <w:t>improvements</w:t>
      </w:r>
      <w:r w:rsidR="003D3419" w:rsidRPr="00091938">
        <w:rPr>
          <w:rStyle w:val="FootnoteReference"/>
          <w:lang w:val="en-GB"/>
        </w:rPr>
        <w:footnoteReference w:id="2"/>
      </w:r>
      <w:r w:rsidRPr="00091938">
        <w:rPr>
          <w:lang w:val="en-GB"/>
        </w:rPr>
        <w:t xml:space="preserve"> in the functioning of treaty bodies, which are analysed below. </w:t>
      </w:r>
      <w:r w:rsidR="001A1DF8">
        <w:rPr>
          <w:lang w:val="en-GB"/>
        </w:rPr>
        <w:t>Yet</w:t>
      </w:r>
      <w:r w:rsidR="00090992" w:rsidRPr="00091938">
        <w:rPr>
          <w:lang w:val="en-GB"/>
        </w:rPr>
        <w:t xml:space="preserve"> overall, </w:t>
      </w:r>
      <w:r w:rsidR="001A1DF8">
        <w:rPr>
          <w:lang w:val="en-GB"/>
        </w:rPr>
        <w:t>the resolution</w:t>
      </w:r>
      <w:r w:rsidR="00090992" w:rsidRPr="00091938">
        <w:rPr>
          <w:lang w:val="en-GB"/>
        </w:rPr>
        <w:t xml:space="preserve"> has failed to address the bulk of the issues facing the treaty body system. Five years on, some of the most fundamental challenges identified as far back as the 1990s remain unaddressed</w:t>
      </w:r>
      <w:r w:rsidR="00D92E04">
        <w:rPr>
          <w:lang w:val="en-GB"/>
        </w:rPr>
        <w:t>.</w:t>
      </w:r>
      <w:r w:rsidR="003A2C29">
        <w:rPr>
          <w:rStyle w:val="FootnoteReference"/>
          <w:lang w:val="en-GB"/>
        </w:rPr>
        <w:footnoteReference w:id="3"/>
      </w:r>
      <w:r w:rsidR="00090992" w:rsidRPr="00091938">
        <w:rPr>
          <w:lang w:val="en-GB"/>
        </w:rPr>
        <w:t xml:space="preserve"> </w:t>
      </w:r>
    </w:p>
    <w:p w14:paraId="14D41A37" w14:textId="5ADB97A4" w:rsidR="009A1F46" w:rsidRDefault="00025D7A" w:rsidP="0019741F">
      <w:pPr>
        <w:spacing w:before="120" w:after="120" w:line="240" w:lineRule="auto"/>
        <w:jc w:val="both"/>
        <w:rPr>
          <w:lang w:val="en-GB"/>
        </w:rPr>
      </w:pPr>
      <w:r w:rsidRPr="00091938">
        <w:rPr>
          <w:lang w:val="en-GB"/>
        </w:rPr>
        <w:t xml:space="preserve">The treaty bodies </w:t>
      </w:r>
      <w:r w:rsidR="00D92E04">
        <w:rPr>
          <w:lang w:val="en-GB"/>
        </w:rPr>
        <w:t xml:space="preserve">developed </w:t>
      </w:r>
      <w:r w:rsidR="005B1B4D">
        <w:rPr>
          <w:lang w:val="en-GB"/>
        </w:rPr>
        <w:t xml:space="preserve">separately </w:t>
      </w:r>
      <w:r w:rsidR="00D92E04">
        <w:rPr>
          <w:lang w:val="en-GB"/>
        </w:rPr>
        <w:t xml:space="preserve">over time, </w:t>
      </w:r>
      <w:r w:rsidR="00DB3BBE">
        <w:rPr>
          <w:lang w:val="en-GB"/>
        </w:rPr>
        <w:t>and not as a</w:t>
      </w:r>
      <w:r w:rsidR="005B1B4D">
        <w:rPr>
          <w:lang w:val="en-GB"/>
        </w:rPr>
        <w:t xml:space="preserve"> coherent</w:t>
      </w:r>
      <w:r w:rsidR="00DB3BBE">
        <w:rPr>
          <w:lang w:val="en-GB"/>
        </w:rPr>
        <w:t xml:space="preserve"> system,</w:t>
      </w:r>
      <w:r w:rsidR="00D92E04">
        <w:rPr>
          <w:lang w:val="en-GB"/>
        </w:rPr>
        <w:t xml:space="preserve"> </w:t>
      </w:r>
      <w:r w:rsidR="00DB3BBE">
        <w:rPr>
          <w:lang w:val="en-GB"/>
        </w:rPr>
        <w:t>together, coherently from the start. Until the last round of strengthening, which culminated in 2014, the</w:t>
      </w:r>
      <w:r w:rsidRPr="00091938">
        <w:rPr>
          <w:lang w:val="en-GB"/>
        </w:rPr>
        <w:t xml:space="preserve"> system </w:t>
      </w:r>
      <w:r w:rsidR="00DB3BBE">
        <w:rPr>
          <w:lang w:val="en-GB"/>
        </w:rPr>
        <w:t>was</w:t>
      </w:r>
      <w:r w:rsidR="00DB3BBE" w:rsidRPr="00091938">
        <w:rPr>
          <w:lang w:val="en-GB"/>
        </w:rPr>
        <w:t xml:space="preserve"> </w:t>
      </w:r>
      <w:r w:rsidRPr="00091938">
        <w:rPr>
          <w:lang w:val="en-GB"/>
        </w:rPr>
        <w:t xml:space="preserve">not equipped </w:t>
      </w:r>
      <w:r w:rsidR="00D92E04">
        <w:rPr>
          <w:lang w:val="en-GB"/>
        </w:rPr>
        <w:t xml:space="preserve">or resourced </w:t>
      </w:r>
      <w:r w:rsidRPr="00091938">
        <w:rPr>
          <w:lang w:val="en-GB"/>
        </w:rPr>
        <w:t xml:space="preserve">to </w:t>
      </w:r>
      <w:r w:rsidR="00D92E04">
        <w:rPr>
          <w:lang w:val="en-GB"/>
        </w:rPr>
        <w:t xml:space="preserve">deal with </w:t>
      </w:r>
      <w:r w:rsidR="00DB3BBE">
        <w:rPr>
          <w:lang w:val="en-GB"/>
        </w:rPr>
        <w:t>full reporting compliance by</w:t>
      </w:r>
      <w:r w:rsidR="00D92E04">
        <w:rPr>
          <w:lang w:val="en-GB"/>
        </w:rPr>
        <w:t xml:space="preserve"> states</w:t>
      </w:r>
      <w:r w:rsidR="00DB3BBE">
        <w:rPr>
          <w:lang w:val="en-GB"/>
        </w:rPr>
        <w:t xml:space="preserve">. </w:t>
      </w:r>
      <w:r w:rsidR="009A1F46" w:rsidRPr="00091938">
        <w:rPr>
          <w:lang w:val="en-GB"/>
        </w:rPr>
        <w:t xml:space="preserve">The current architecture is </w:t>
      </w:r>
      <w:r w:rsidR="009A1F46">
        <w:rPr>
          <w:lang w:val="en-GB"/>
        </w:rPr>
        <w:t>made up</w:t>
      </w:r>
      <w:r w:rsidR="009A1F46" w:rsidRPr="00091938">
        <w:rPr>
          <w:lang w:val="en-GB"/>
        </w:rPr>
        <w:t xml:space="preserve"> of individual bodies independent from </w:t>
      </w:r>
      <w:r w:rsidR="009A1F46">
        <w:rPr>
          <w:lang w:val="en-GB"/>
        </w:rPr>
        <w:t>one another</w:t>
      </w:r>
      <w:r w:rsidR="009A1F46" w:rsidRPr="00091938">
        <w:rPr>
          <w:lang w:val="en-GB"/>
        </w:rPr>
        <w:t xml:space="preserve"> and </w:t>
      </w:r>
      <w:r w:rsidR="009A1F46">
        <w:rPr>
          <w:lang w:val="en-GB"/>
        </w:rPr>
        <w:t xml:space="preserve">with </w:t>
      </w:r>
      <w:r w:rsidR="009A1F46" w:rsidRPr="00091938">
        <w:rPr>
          <w:lang w:val="en-GB"/>
        </w:rPr>
        <w:t>limited mandate and capacity to coordinate</w:t>
      </w:r>
      <w:r w:rsidR="009A1F46">
        <w:rPr>
          <w:lang w:val="en-GB"/>
        </w:rPr>
        <w:t>,</w:t>
      </w:r>
      <w:r w:rsidR="009A1F46" w:rsidRPr="00091938">
        <w:rPr>
          <w:lang w:val="en-GB"/>
        </w:rPr>
        <w:t xml:space="preserve"> harmonise</w:t>
      </w:r>
      <w:r w:rsidR="009A1F46">
        <w:rPr>
          <w:lang w:val="en-GB"/>
        </w:rPr>
        <w:t>,</w:t>
      </w:r>
      <w:r w:rsidR="009A1F46" w:rsidRPr="00091938">
        <w:rPr>
          <w:lang w:val="en-GB"/>
        </w:rPr>
        <w:t xml:space="preserve"> or align their work.</w:t>
      </w:r>
    </w:p>
    <w:p w14:paraId="17380A52" w14:textId="157E914D" w:rsidR="00025D7A" w:rsidRPr="006E2796" w:rsidRDefault="00DB3BBE" w:rsidP="0019741F">
      <w:pPr>
        <w:spacing w:before="120" w:after="120" w:line="240" w:lineRule="auto"/>
        <w:jc w:val="both"/>
        <w:rPr>
          <w:lang w:val="en-GB"/>
        </w:rPr>
      </w:pPr>
      <w:r>
        <w:rPr>
          <w:lang w:val="en-GB"/>
        </w:rPr>
        <w:t xml:space="preserve">Resolution 68/268 created a formula to ensure that resources would be provided to the treaty bodies commensurate with the volume of reports being submitted in the form </w:t>
      </w:r>
      <w:r w:rsidR="00EC60BC">
        <w:rPr>
          <w:lang w:val="en-GB"/>
        </w:rPr>
        <w:t>of funding</w:t>
      </w:r>
      <w:r>
        <w:rPr>
          <w:lang w:val="en-GB"/>
        </w:rPr>
        <w:t xml:space="preserve"> for meeting time</w:t>
      </w:r>
      <w:r w:rsidR="00EC60BC">
        <w:rPr>
          <w:rStyle w:val="FootnoteReference"/>
          <w:lang w:val="en-GB"/>
        </w:rPr>
        <w:footnoteReference w:id="4"/>
      </w:r>
      <w:r>
        <w:rPr>
          <w:lang w:val="en-GB"/>
        </w:rPr>
        <w:t xml:space="preserve">. Unfortunately, the system failed its first test when the General </w:t>
      </w:r>
      <w:r w:rsidR="00341BEF">
        <w:rPr>
          <w:lang w:val="en-GB"/>
        </w:rPr>
        <w:t>Assembly</w:t>
      </w:r>
      <w:r>
        <w:rPr>
          <w:lang w:val="en-GB"/>
        </w:rPr>
        <w:t xml:space="preserve"> did not approve the required resources through its Fifth Committee in 2017. As </w:t>
      </w:r>
      <w:r w:rsidR="003E189D">
        <w:rPr>
          <w:lang w:val="en-GB"/>
        </w:rPr>
        <w:t>regards</w:t>
      </w:r>
      <w:r>
        <w:rPr>
          <w:lang w:val="en-GB"/>
        </w:rPr>
        <w:t xml:space="preserve"> individual complaints, </w:t>
      </w:r>
      <w:r w:rsidR="00763C14">
        <w:rPr>
          <w:lang w:val="en-GB"/>
        </w:rPr>
        <w:t>there was no</w:t>
      </w:r>
      <w:r>
        <w:rPr>
          <w:lang w:val="en-GB"/>
        </w:rPr>
        <w:t xml:space="preserve"> </w:t>
      </w:r>
      <w:r w:rsidR="003E189D">
        <w:rPr>
          <w:lang w:val="en-GB"/>
        </w:rPr>
        <w:t xml:space="preserve">suitable </w:t>
      </w:r>
      <w:r>
        <w:rPr>
          <w:lang w:val="en-GB"/>
        </w:rPr>
        <w:t>formula for predictable funding result</w:t>
      </w:r>
      <w:r w:rsidR="00763C14">
        <w:rPr>
          <w:lang w:val="en-GB"/>
        </w:rPr>
        <w:t>ing</w:t>
      </w:r>
      <w:r>
        <w:rPr>
          <w:lang w:val="en-GB"/>
        </w:rPr>
        <w:t xml:space="preserve"> from the last strengthening process. The formula provided </w:t>
      </w:r>
      <w:r w:rsidR="00341BEF">
        <w:rPr>
          <w:lang w:val="en-GB"/>
        </w:rPr>
        <w:t xml:space="preserve">for communications erroneously </w:t>
      </w:r>
      <w:r>
        <w:rPr>
          <w:lang w:val="en-GB"/>
        </w:rPr>
        <w:t>focused overly on meeting</w:t>
      </w:r>
      <w:r w:rsidR="001D46BB">
        <w:rPr>
          <w:lang w:val="en-GB"/>
        </w:rPr>
        <w:t xml:space="preserve"> time</w:t>
      </w:r>
      <w:r>
        <w:rPr>
          <w:lang w:val="en-GB"/>
        </w:rPr>
        <w:t xml:space="preserve"> </w:t>
      </w:r>
      <w:r w:rsidR="001D46BB" w:rsidRPr="001D46BB">
        <w:rPr>
          <w:lang w:val="en-GB"/>
        </w:rPr>
        <w:t>instead of increasing the number of specialized staff needed</w:t>
      </w:r>
      <w:r>
        <w:rPr>
          <w:lang w:val="en-GB"/>
        </w:rPr>
        <w:t>.</w:t>
      </w:r>
      <w:r w:rsidR="00025D7A" w:rsidRPr="00091938">
        <w:rPr>
          <w:lang w:val="en-GB"/>
        </w:rPr>
        <w:t xml:space="preserve"> </w:t>
      </w:r>
      <w:r w:rsidR="006E2796">
        <w:rPr>
          <w:lang w:val="en-GB"/>
        </w:rPr>
        <w:t>Finally, the resolution</w:t>
      </w:r>
      <w:r w:rsidR="006E2796" w:rsidRPr="006E2796">
        <w:rPr>
          <w:lang w:val="en-GB"/>
        </w:rPr>
        <w:t xml:space="preserve"> provided no </w:t>
      </w:r>
      <w:r w:rsidR="006E2796">
        <w:rPr>
          <w:lang w:val="en-GB"/>
        </w:rPr>
        <w:t>formula</w:t>
      </w:r>
      <w:r w:rsidR="006E2796" w:rsidRPr="006E2796">
        <w:rPr>
          <w:lang w:val="en-GB"/>
        </w:rPr>
        <w:t xml:space="preserve"> </w:t>
      </w:r>
      <w:r w:rsidR="006E2796">
        <w:rPr>
          <w:lang w:val="en-GB"/>
        </w:rPr>
        <w:t>to ensure suitable financial resources</w:t>
      </w:r>
      <w:r w:rsidR="006E2796" w:rsidRPr="006E2796">
        <w:rPr>
          <w:lang w:val="en-GB"/>
        </w:rPr>
        <w:t xml:space="preserve"> for inquiries</w:t>
      </w:r>
      <w:r w:rsidR="00000E5E">
        <w:rPr>
          <w:lang w:val="en-GB"/>
        </w:rPr>
        <w:t>.</w:t>
      </w:r>
    </w:p>
    <w:p w14:paraId="5BF097D8" w14:textId="566B0772" w:rsidR="00025D7A" w:rsidRPr="00091938" w:rsidRDefault="00341BEF" w:rsidP="0019741F">
      <w:pPr>
        <w:spacing w:before="120" w:after="120" w:line="240" w:lineRule="auto"/>
        <w:jc w:val="both"/>
        <w:rPr>
          <w:lang w:val="en-GB"/>
        </w:rPr>
      </w:pPr>
      <w:r>
        <w:rPr>
          <w:lang w:val="en-GB"/>
        </w:rPr>
        <w:t>By way of contrast, i</w:t>
      </w:r>
      <w:r w:rsidR="00113457">
        <w:rPr>
          <w:lang w:val="en-GB"/>
        </w:rPr>
        <w:t xml:space="preserve">t is striking that </w:t>
      </w:r>
      <w:r>
        <w:rPr>
          <w:lang w:val="en-GB"/>
        </w:rPr>
        <w:t>the</w:t>
      </w:r>
      <w:r w:rsidRPr="00091938">
        <w:rPr>
          <w:lang w:val="en-GB"/>
        </w:rPr>
        <w:t xml:space="preserve"> state reporting compliance </w:t>
      </w:r>
      <w:r>
        <w:rPr>
          <w:lang w:val="en-GB"/>
        </w:rPr>
        <w:t xml:space="preserve">to </w:t>
      </w:r>
      <w:r w:rsidR="00113457">
        <w:rPr>
          <w:lang w:val="en-GB"/>
        </w:rPr>
        <w:t xml:space="preserve">the Universal Periodic Review, </w:t>
      </w:r>
      <w:r>
        <w:rPr>
          <w:lang w:val="en-GB"/>
        </w:rPr>
        <w:t>is</w:t>
      </w:r>
      <w:r w:rsidR="00113457">
        <w:rPr>
          <w:lang w:val="en-GB"/>
        </w:rPr>
        <w:t xml:space="preserve"> close to</w:t>
      </w:r>
      <w:r w:rsidR="00025D7A" w:rsidRPr="00091938">
        <w:rPr>
          <w:lang w:val="en-GB"/>
        </w:rPr>
        <w:t xml:space="preserve"> </w:t>
      </w:r>
      <w:r w:rsidR="00B05062">
        <w:rPr>
          <w:lang w:val="en-GB"/>
        </w:rPr>
        <w:t>100%, while that of treaty bodies was at 17%</w:t>
      </w:r>
      <w:r w:rsidR="00025D7A" w:rsidRPr="00091938">
        <w:rPr>
          <w:lang w:val="en-GB"/>
        </w:rPr>
        <w:t xml:space="preserve"> as of December 2017</w:t>
      </w:r>
      <w:r w:rsidR="00025D7A" w:rsidRPr="00091938">
        <w:rPr>
          <w:rStyle w:val="FootnoteReference"/>
          <w:lang w:val="en-GB"/>
        </w:rPr>
        <w:footnoteReference w:id="5"/>
      </w:r>
      <w:r w:rsidR="00025D7A" w:rsidRPr="00091938">
        <w:rPr>
          <w:lang w:val="en-GB"/>
        </w:rPr>
        <w:t xml:space="preserve">. </w:t>
      </w:r>
    </w:p>
    <w:p w14:paraId="37FE322E" w14:textId="49A101C2" w:rsidR="00E04D0B" w:rsidRPr="00091938" w:rsidRDefault="00E04D0B" w:rsidP="0019741F">
      <w:pPr>
        <w:spacing w:before="120" w:after="120" w:line="240" w:lineRule="auto"/>
        <w:jc w:val="both"/>
        <w:rPr>
          <w:lang w:val="en-GB"/>
        </w:rPr>
      </w:pPr>
      <w:r w:rsidRPr="00091938">
        <w:rPr>
          <w:lang w:val="en-GB"/>
        </w:rPr>
        <w:t xml:space="preserve">Despite a generalised principled rhetoric that states should submit their reports on time, it has become an entrenched and widely accepted practice in all regions of the world that state parties </w:t>
      </w:r>
      <w:r w:rsidR="00AE710E">
        <w:rPr>
          <w:lang w:val="en-GB"/>
        </w:rPr>
        <w:t>don’t</w:t>
      </w:r>
      <w:r w:rsidRPr="00091938">
        <w:rPr>
          <w:lang w:val="en-GB"/>
        </w:rPr>
        <w:t xml:space="preserve">. </w:t>
      </w:r>
      <w:r w:rsidR="00341BEF">
        <w:rPr>
          <w:lang w:val="en-GB"/>
        </w:rPr>
        <w:t xml:space="preserve">Historically this has been understandable if not defensible </w:t>
      </w:r>
      <w:r w:rsidRPr="00091938">
        <w:rPr>
          <w:lang w:val="en-GB"/>
        </w:rPr>
        <w:t xml:space="preserve">as the treaty bodies </w:t>
      </w:r>
      <w:r w:rsidR="00341BEF">
        <w:rPr>
          <w:lang w:val="en-GB"/>
        </w:rPr>
        <w:t>would</w:t>
      </w:r>
      <w:r w:rsidR="00341BEF" w:rsidRPr="00091938">
        <w:rPr>
          <w:lang w:val="en-GB"/>
        </w:rPr>
        <w:t xml:space="preserve"> </w:t>
      </w:r>
      <w:r w:rsidRPr="00091938">
        <w:rPr>
          <w:lang w:val="en-GB"/>
        </w:rPr>
        <w:t xml:space="preserve">not </w:t>
      </w:r>
      <w:r w:rsidR="00341BEF">
        <w:rPr>
          <w:lang w:val="en-GB"/>
        </w:rPr>
        <w:t xml:space="preserve">actually be </w:t>
      </w:r>
      <w:r w:rsidRPr="00091938">
        <w:rPr>
          <w:lang w:val="en-GB"/>
        </w:rPr>
        <w:t xml:space="preserve">equipped to review reports in a timely manner should all periodic and follow up reports be submitted on time. </w:t>
      </w:r>
      <w:r w:rsidR="00341BEF">
        <w:rPr>
          <w:lang w:val="en-GB"/>
        </w:rPr>
        <w:t>Indeed, historically, reporting on time has been disincentivised.</w:t>
      </w:r>
    </w:p>
    <w:p w14:paraId="2DD7DA17" w14:textId="77777777" w:rsidR="00025D7A" w:rsidRPr="00091938" w:rsidRDefault="00025D7A" w:rsidP="0019741F">
      <w:pPr>
        <w:spacing w:before="120" w:after="120" w:line="240" w:lineRule="auto"/>
        <w:rPr>
          <w:lang w:val="en-GB"/>
        </w:rPr>
      </w:pPr>
    </w:p>
    <w:p w14:paraId="4CD673DB" w14:textId="77777777" w:rsidR="00370442" w:rsidRPr="00091938" w:rsidRDefault="008E1F85" w:rsidP="0019741F">
      <w:pPr>
        <w:pStyle w:val="Heading1"/>
        <w:numPr>
          <w:ilvl w:val="0"/>
          <w:numId w:val="4"/>
        </w:numPr>
        <w:spacing w:before="120" w:after="120" w:line="240" w:lineRule="auto"/>
        <w:ind w:left="426" w:hanging="66"/>
        <w:jc w:val="both"/>
        <w:rPr>
          <w:rFonts w:asciiTheme="minorHAnsi" w:hAnsiTheme="minorHAnsi"/>
          <w:color w:val="C00000"/>
          <w:sz w:val="24"/>
          <w:lang w:val="en-GB"/>
        </w:rPr>
      </w:pPr>
      <w:bookmarkStart w:id="2" w:name="_Toc7787784"/>
      <w:r w:rsidRPr="00091938">
        <w:rPr>
          <w:rFonts w:asciiTheme="minorHAnsi" w:hAnsiTheme="minorHAnsi"/>
          <w:color w:val="C00000"/>
          <w:sz w:val="24"/>
          <w:lang w:val="en-GB"/>
        </w:rPr>
        <w:lastRenderedPageBreak/>
        <w:t>State</w:t>
      </w:r>
      <w:r w:rsidR="00591327" w:rsidRPr="00091938">
        <w:rPr>
          <w:rFonts w:asciiTheme="minorHAnsi" w:hAnsiTheme="minorHAnsi"/>
          <w:color w:val="C00000"/>
          <w:sz w:val="24"/>
          <w:lang w:val="en-GB"/>
        </w:rPr>
        <w:t xml:space="preserve"> of the </w:t>
      </w:r>
      <w:r w:rsidRPr="00091938">
        <w:rPr>
          <w:rFonts w:asciiTheme="minorHAnsi" w:hAnsiTheme="minorHAnsi"/>
          <w:color w:val="C00000"/>
          <w:sz w:val="24"/>
          <w:lang w:val="en-GB"/>
        </w:rPr>
        <w:t xml:space="preserve">human rights </w:t>
      </w:r>
      <w:r w:rsidR="00547FD3" w:rsidRPr="00091938">
        <w:rPr>
          <w:rFonts w:asciiTheme="minorHAnsi" w:hAnsiTheme="minorHAnsi"/>
          <w:color w:val="C00000"/>
          <w:sz w:val="24"/>
          <w:lang w:val="en-GB"/>
        </w:rPr>
        <w:t>treaty body system</w:t>
      </w:r>
      <w:bookmarkEnd w:id="2"/>
    </w:p>
    <w:p w14:paraId="5A2767AE" w14:textId="7A91BF25" w:rsidR="00F260F9" w:rsidRPr="00091938" w:rsidRDefault="00732FDD" w:rsidP="0019741F">
      <w:pPr>
        <w:spacing w:before="120" w:after="120" w:line="240" w:lineRule="auto"/>
        <w:jc w:val="both"/>
        <w:rPr>
          <w:lang w:val="en-GB"/>
        </w:rPr>
      </w:pPr>
      <w:r w:rsidRPr="00091938">
        <w:rPr>
          <w:lang w:val="en-GB"/>
        </w:rPr>
        <w:t xml:space="preserve">This section analyses the </w:t>
      </w:r>
      <w:r w:rsidR="00C77102" w:rsidRPr="00091938">
        <w:rPr>
          <w:lang w:val="en-GB"/>
        </w:rPr>
        <w:t xml:space="preserve">main </w:t>
      </w:r>
      <w:r w:rsidRPr="00091938">
        <w:rPr>
          <w:lang w:val="en-GB"/>
        </w:rPr>
        <w:t>changes brought about by GA Res. 68/268</w:t>
      </w:r>
      <w:r w:rsidR="00EE1974">
        <w:rPr>
          <w:lang w:val="en-GB"/>
        </w:rPr>
        <w:t xml:space="preserve"> as outlined in an OHCHR public paper presenting the main achievements of the resolution in June 2014</w:t>
      </w:r>
      <w:r w:rsidR="00D92E04">
        <w:rPr>
          <w:lang w:val="en-GB"/>
        </w:rPr>
        <w:t>.</w:t>
      </w:r>
      <w:r w:rsidR="00234325">
        <w:rPr>
          <w:rStyle w:val="FootnoteReference"/>
          <w:lang w:val="en-GB"/>
        </w:rPr>
        <w:footnoteReference w:id="6"/>
      </w:r>
    </w:p>
    <w:p w14:paraId="34C17739" w14:textId="77777777" w:rsidR="00732FDD" w:rsidRPr="00091938" w:rsidRDefault="00732FDD" w:rsidP="0019741F">
      <w:pPr>
        <w:spacing w:before="120" w:after="120" w:line="240" w:lineRule="auto"/>
        <w:jc w:val="both"/>
        <w:rPr>
          <w:lang w:val="en-GB"/>
        </w:rPr>
      </w:pPr>
    </w:p>
    <w:p w14:paraId="7D078697" w14:textId="77777777" w:rsidR="003D0690" w:rsidRPr="003D0690" w:rsidRDefault="003D0690" w:rsidP="0019741F">
      <w:pPr>
        <w:pStyle w:val="ListParagraph"/>
        <w:keepNext/>
        <w:keepLines/>
        <w:numPr>
          <w:ilvl w:val="0"/>
          <w:numId w:val="5"/>
        </w:numPr>
        <w:spacing w:before="120" w:after="120" w:line="240" w:lineRule="auto"/>
        <w:contextualSpacing w:val="0"/>
        <w:outlineLvl w:val="1"/>
        <w:rPr>
          <w:rFonts w:eastAsiaTheme="majorEastAsia" w:cstheme="majorBidi"/>
          <w:i/>
          <w:vanish/>
          <w:color w:val="C00000"/>
          <w:szCs w:val="26"/>
          <w:lang w:val="en-GB"/>
        </w:rPr>
      </w:pPr>
      <w:bookmarkStart w:id="3" w:name="_Toc6231997"/>
      <w:bookmarkStart w:id="4" w:name="_Toc6233537"/>
      <w:bookmarkStart w:id="5" w:name="_Toc6241625"/>
      <w:bookmarkStart w:id="6" w:name="_Toc6392879"/>
      <w:bookmarkStart w:id="7" w:name="_Toc6395570"/>
      <w:bookmarkStart w:id="8" w:name="_Toc7786471"/>
      <w:bookmarkStart w:id="9" w:name="_Toc7787785"/>
      <w:bookmarkEnd w:id="3"/>
      <w:bookmarkEnd w:id="4"/>
      <w:bookmarkEnd w:id="5"/>
      <w:bookmarkEnd w:id="6"/>
      <w:bookmarkEnd w:id="7"/>
      <w:bookmarkEnd w:id="8"/>
      <w:bookmarkEnd w:id="9"/>
    </w:p>
    <w:p w14:paraId="24C35A99" w14:textId="77777777" w:rsidR="003D0690" w:rsidRPr="003D0690" w:rsidRDefault="003D0690" w:rsidP="0019741F">
      <w:pPr>
        <w:pStyle w:val="ListParagraph"/>
        <w:keepNext/>
        <w:keepLines/>
        <w:numPr>
          <w:ilvl w:val="0"/>
          <w:numId w:val="5"/>
        </w:numPr>
        <w:spacing w:before="120" w:after="120" w:line="240" w:lineRule="auto"/>
        <w:contextualSpacing w:val="0"/>
        <w:outlineLvl w:val="1"/>
        <w:rPr>
          <w:rFonts w:eastAsiaTheme="majorEastAsia" w:cstheme="majorBidi"/>
          <w:i/>
          <w:vanish/>
          <w:color w:val="C00000"/>
          <w:szCs w:val="26"/>
          <w:lang w:val="en-GB"/>
        </w:rPr>
      </w:pPr>
      <w:bookmarkStart w:id="10" w:name="_Toc6231998"/>
      <w:bookmarkStart w:id="11" w:name="_Toc6233538"/>
      <w:bookmarkStart w:id="12" w:name="_Toc6241626"/>
      <w:bookmarkStart w:id="13" w:name="_Toc6392880"/>
      <w:bookmarkStart w:id="14" w:name="_Toc6395571"/>
      <w:bookmarkStart w:id="15" w:name="_Toc7786472"/>
      <w:bookmarkStart w:id="16" w:name="_Toc7787786"/>
      <w:bookmarkEnd w:id="10"/>
      <w:bookmarkEnd w:id="11"/>
      <w:bookmarkEnd w:id="12"/>
      <w:bookmarkEnd w:id="13"/>
      <w:bookmarkEnd w:id="14"/>
      <w:bookmarkEnd w:id="15"/>
      <w:bookmarkEnd w:id="16"/>
    </w:p>
    <w:p w14:paraId="75777047" w14:textId="77777777" w:rsidR="00D839F2" w:rsidRPr="00091938" w:rsidRDefault="00B95B4D" w:rsidP="0019741F">
      <w:pPr>
        <w:pStyle w:val="Heading2"/>
        <w:numPr>
          <w:ilvl w:val="1"/>
          <w:numId w:val="5"/>
        </w:numPr>
        <w:spacing w:before="120" w:after="120" w:line="240" w:lineRule="auto"/>
        <w:rPr>
          <w:rFonts w:asciiTheme="minorHAnsi" w:hAnsiTheme="minorHAnsi"/>
          <w:i/>
          <w:color w:val="C00000"/>
          <w:sz w:val="22"/>
          <w:lang w:val="en-GB"/>
        </w:rPr>
      </w:pPr>
      <w:bookmarkStart w:id="17" w:name="_Toc7787787"/>
      <w:r w:rsidRPr="00091938">
        <w:rPr>
          <w:rFonts w:asciiTheme="minorHAnsi" w:hAnsiTheme="minorHAnsi"/>
          <w:i/>
          <w:color w:val="C00000"/>
          <w:sz w:val="22"/>
          <w:lang w:val="en-GB"/>
        </w:rPr>
        <w:t>Additional meeting time</w:t>
      </w:r>
      <w:bookmarkEnd w:id="17"/>
    </w:p>
    <w:p w14:paraId="021B45B0" w14:textId="055B4B48" w:rsidR="00A95E57" w:rsidRPr="00091938" w:rsidRDefault="009F68BB" w:rsidP="0019741F">
      <w:pPr>
        <w:spacing w:before="120" w:after="120" w:line="240" w:lineRule="auto"/>
        <w:jc w:val="both"/>
        <w:rPr>
          <w:szCs w:val="20"/>
          <w:lang w:val="en-GB"/>
        </w:rPr>
      </w:pPr>
      <w:r w:rsidRPr="00091938">
        <w:rPr>
          <w:lang w:val="en-GB"/>
        </w:rPr>
        <w:t>The 20 additional weeks of meeting time</w:t>
      </w:r>
      <w:r w:rsidR="004B0BD8" w:rsidRPr="00091938">
        <w:rPr>
          <w:lang w:val="en-GB"/>
        </w:rPr>
        <w:t xml:space="preserve"> (30%)</w:t>
      </w:r>
      <w:r w:rsidRPr="00091938">
        <w:rPr>
          <w:lang w:val="en-GB"/>
        </w:rPr>
        <w:t xml:space="preserve"> provided by 68/268</w:t>
      </w:r>
      <w:r w:rsidR="009C6030" w:rsidRPr="00091938">
        <w:rPr>
          <w:rStyle w:val="FootnoteReference"/>
          <w:lang w:val="en-GB"/>
        </w:rPr>
        <w:footnoteReference w:id="7"/>
      </w:r>
      <w:r w:rsidRPr="00091938">
        <w:rPr>
          <w:lang w:val="en-GB"/>
        </w:rPr>
        <w:t xml:space="preserve"> were a welcome move to address the </w:t>
      </w:r>
      <w:r w:rsidR="001C059E" w:rsidRPr="00091938">
        <w:rPr>
          <w:lang w:val="en-GB"/>
        </w:rPr>
        <w:t xml:space="preserve">significant </w:t>
      </w:r>
      <w:r w:rsidRPr="00091938">
        <w:rPr>
          <w:lang w:val="en-GB"/>
        </w:rPr>
        <w:t xml:space="preserve">backlog of periodic reports pending review. </w:t>
      </w:r>
      <w:r w:rsidR="000B63B5" w:rsidRPr="00091938">
        <w:rPr>
          <w:lang w:val="en-GB"/>
        </w:rPr>
        <w:t>T</w:t>
      </w:r>
      <w:r w:rsidR="005F5147" w:rsidRPr="00091938">
        <w:rPr>
          <w:lang w:val="en-GB"/>
        </w:rPr>
        <w:t xml:space="preserve">he </w:t>
      </w:r>
      <w:r w:rsidR="005F5147" w:rsidRPr="00091938">
        <w:rPr>
          <w:szCs w:val="20"/>
          <w:lang w:val="en-GB"/>
        </w:rPr>
        <w:t xml:space="preserve">number of reports pending review </w:t>
      </w:r>
      <w:r w:rsidR="000B63B5" w:rsidRPr="00091938">
        <w:rPr>
          <w:szCs w:val="20"/>
          <w:lang w:val="en-GB"/>
        </w:rPr>
        <w:t>decreased from 304 in December 2013</w:t>
      </w:r>
      <w:r w:rsidR="005F5147" w:rsidRPr="00091938">
        <w:rPr>
          <w:szCs w:val="20"/>
          <w:lang w:val="en-GB"/>
        </w:rPr>
        <w:t xml:space="preserve"> to 230 in December 2017</w:t>
      </w:r>
      <w:r w:rsidR="00D92E04">
        <w:rPr>
          <w:szCs w:val="20"/>
          <w:lang w:val="en-GB"/>
        </w:rPr>
        <w:t>,</w:t>
      </w:r>
      <w:r w:rsidR="005F5147" w:rsidRPr="00091938">
        <w:rPr>
          <w:rStyle w:val="FootnoteReference"/>
          <w:szCs w:val="20"/>
          <w:lang w:val="en-GB"/>
        </w:rPr>
        <w:footnoteReference w:id="8"/>
      </w:r>
      <w:r w:rsidR="001C059E" w:rsidRPr="00091938">
        <w:rPr>
          <w:szCs w:val="20"/>
          <w:lang w:val="en-GB"/>
        </w:rPr>
        <w:t xml:space="preserve"> representing a </w:t>
      </w:r>
      <w:r w:rsidR="000B63B5" w:rsidRPr="00091938">
        <w:rPr>
          <w:szCs w:val="20"/>
          <w:lang w:val="en-GB"/>
        </w:rPr>
        <w:t>24</w:t>
      </w:r>
      <w:r w:rsidR="00A62BB6" w:rsidRPr="00091938">
        <w:rPr>
          <w:szCs w:val="20"/>
          <w:lang w:val="en-GB"/>
        </w:rPr>
        <w:t xml:space="preserve">% decrease. </w:t>
      </w:r>
      <w:r w:rsidR="000B63B5" w:rsidRPr="00091938">
        <w:rPr>
          <w:szCs w:val="20"/>
          <w:lang w:val="en-GB"/>
        </w:rPr>
        <w:t>I</w:t>
      </w:r>
      <w:r w:rsidR="00A62BB6" w:rsidRPr="00091938">
        <w:rPr>
          <w:szCs w:val="20"/>
          <w:lang w:val="en-GB"/>
        </w:rPr>
        <w:t xml:space="preserve">t could be hoped that a 30% increase in meeting time would </w:t>
      </w:r>
      <w:r w:rsidR="0088497A" w:rsidRPr="00091938">
        <w:rPr>
          <w:szCs w:val="20"/>
          <w:lang w:val="en-GB"/>
        </w:rPr>
        <w:t>result</w:t>
      </w:r>
      <w:r w:rsidR="00A62BB6" w:rsidRPr="00091938">
        <w:rPr>
          <w:szCs w:val="20"/>
          <w:lang w:val="en-GB"/>
        </w:rPr>
        <w:t xml:space="preserve"> in a commensurate reduction in the backlog</w:t>
      </w:r>
      <w:r w:rsidR="003F7A59" w:rsidRPr="00091938">
        <w:rPr>
          <w:szCs w:val="20"/>
          <w:lang w:val="en-GB"/>
        </w:rPr>
        <w:t>,</w:t>
      </w:r>
      <w:r w:rsidR="000B63B5" w:rsidRPr="00091938">
        <w:rPr>
          <w:szCs w:val="20"/>
          <w:lang w:val="en-GB"/>
        </w:rPr>
        <w:t xml:space="preserve"> which hasn’t </w:t>
      </w:r>
      <w:r w:rsidR="00B33428" w:rsidRPr="00091938">
        <w:rPr>
          <w:szCs w:val="20"/>
          <w:lang w:val="en-GB"/>
        </w:rPr>
        <w:t>fully</w:t>
      </w:r>
      <w:r w:rsidR="0088497A" w:rsidRPr="00091938">
        <w:rPr>
          <w:szCs w:val="20"/>
          <w:lang w:val="en-GB"/>
        </w:rPr>
        <w:t xml:space="preserve"> </w:t>
      </w:r>
      <w:r w:rsidR="000B63B5" w:rsidRPr="00091938">
        <w:rPr>
          <w:szCs w:val="20"/>
          <w:lang w:val="en-GB"/>
        </w:rPr>
        <w:t>been the ca</w:t>
      </w:r>
      <w:r w:rsidR="00FA7E37" w:rsidRPr="00091938">
        <w:rPr>
          <w:szCs w:val="20"/>
          <w:lang w:val="en-GB"/>
        </w:rPr>
        <w:t xml:space="preserve">se, due to </w:t>
      </w:r>
      <w:r w:rsidR="00341B31" w:rsidRPr="00091938">
        <w:rPr>
          <w:szCs w:val="20"/>
          <w:lang w:val="en-GB"/>
        </w:rPr>
        <w:t xml:space="preserve">continuing </w:t>
      </w:r>
      <w:r w:rsidR="00FA7E37" w:rsidRPr="00091938">
        <w:rPr>
          <w:szCs w:val="20"/>
          <w:lang w:val="en-GB"/>
        </w:rPr>
        <w:t>high demands on the TBs</w:t>
      </w:r>
      <w:r w:rsidR="00341BEF">
        <w:rPr>
          <w:szCs w:val="20"/>
          <w:lang w:val="en-GB"/>
        </w:rPr>
        <w:t xml:space="preserve">, </w:t>
      </w:r>
      <w:r w:rsidR="00341BEF">
        <w:rPr>
          <w:lang w:val="en-US"/>
        </w:rPr>
        <w:t>including, for some TBs, a surge in individual communications</w:t>
      </w:r>
      <w:r w:rsidR="00D92E04">
        <w:rPr>
          <w:szCs w:val="20"/>
          <w:lang w:val="en-GB"/>
        </w:rPr>
        <w:t>.</w:t>
      </w:r>
      <w:r w:rsidR="00FA7E37" w:rsidRPr="00091938">
        <w:rPr>
          <w:rStyle w:val="FootnoteReference"/>
          <w:szCs w:val="20"/>
          <w:lang w:val="en-GB"/>
        </w:rPr>
        <w:footnoteReference w:id="9"/>
      </w:r>
      <w:r w:rsidR="000B63B5" w:rsidRPr="00091938">
        <w:rPr>
          <w:szCs w:val="20"/>
          <w:lang w:val="en-GB"/>
        </w:rPr>
        <w:t xml:space="preserve"> </w:t>
      </w:r>
    </w:p>
    <w:p w14:paraId="6B4D2802" w14:textId="7E540F83" w:rsidR="00A95E57" w:rsidRPr="00091938" w:rsidRDefault="00A95E57" w:rsidP="0019741F">
      <w:pPr>
        <w:spacing w:before="120" w:after="120" w:line="240" w:lineRule="auto"/>
        <w:jc w:val="both"/>
        <w:rPr>
          <w:lang w:val="en-GB"/>
        </w:rPr>
      </w:pPr>
      <w:r w:rsidRPr="00091938">
        <w:rPr>
          <w:lang w:val="en-GB"/>
        </w:rPr>
        <w:t xml:space="preserve">Furthermore, </w:t>
      </w:r>
      <w:r w:rsidR="00341BEF">
        <w:rPr>
          <w:lang w:val="en-GB"/>
        </w:rPr>
        <w:t xml:space="preserve">as mentioned above, </w:t>
      </w:r>
      <w:r w:rsidRPr="00091938">
        <w:rPr>
          <w:lang w:val="en-GB"/>
        </w:rPr>
        <w:t xml:space="preserve">the General Assembly did not </w:t>
      </w:r>
      <w:r w:rsidR="00341BEF">
        <w:rPr>
          <w:lang w:val="en-GB"/>
        </w:rPr>
        <w:t xml:space="preserve">actually </w:t>
      </w:r>
      <w:r w:rsidRPr="00091938">
        <w:rPr>
          <w:lang w:val="en-GB"/>
        </w:rPr>
        <w:t xml:space="preserve">approve the </w:t>
      </w:r>
      <w:r w:rsidR="00341BEF">
        <w:rPr>
          <w:lang w:val="en-GB"/>
        </w:rPr>
        <w:t xml:space="preserve">appropriate </w:t>
      </w:r>
      <w:r w:rsidRPr="00091938">
        <w:rPr>
          <w:lang w:val="en-GB"/>
        </w:rPr>
        <w:t>allocation of commensurate human resources</w:t>
      </w:r>
      <w:r w:rsidR="00D92E04">
        <w:rPr>
          <w:lang w:val="en-GB"/>
        </w:rPr>
        <w:t xml:space="preserve"> (that is, secretariat support)</w:t>
      </w:r>
      <w:r w:rsidRPr="00091938">
        <w:rPr>
          <w:lang w:val="en-GB"/>
        </w:rPr>
        <w:t>, which meant that not all treaty bodies were able to make full use of the additional meeting time</w:t>
      </w:r>
      <w:r w:rsidR="00D92E04">
        <w:rPr>
          <w:lang w:val="en-GB"/>
        </w:rPr>
        <w:t>.</w:t>
      </w:r>
      <w:r w:rsidRPr="00091938">
        <w:rPr>
          <w:rStyle w:val="FootnoteReference"/>
          <w:lang w:val="en-GB"/>
        </w:rPr>
        <w:footnoteReference w:id="10"/>
      </w:r>
      <w:r w:rsidRPr="00091938">
        <w:rPr>
          <w:lang w:val="en-GB"/>
        </w:rPr>
        <w:t xml:space="preserve"> </w:t>
      </w:r>
    </w:p>
    <w:p w14:paraId="0A04C1FA" w14:textId="329F8256" w:rsidR="005F5147" w:rsidRPr="00091938" w:rsidRDefault="00EC7968" w:rsidP="0019741F">
      <w:pPr>
        <w:spacing w:before="120" w:after="120" w:line="240" w:lineRule="auto"/>
        <w:jc w:val="both"/>
        <w:rPr>
          <w:szCs w:val="20"/>
          <w:lang w:val="en-GB"/>
        </w:rPr>
      </w:pPr>
      <w:r w:rsidRPr="00091938">
        <w:rPr>
          <w:szCs w:val="20"/>
          <w:lang w:val="en-GB"/>
        </w:rPr>
        <w:t>T</w:t>
      </w:r>
      <w:r w:rsidR="003F7A59" w:rsidRPr="00091938">
        <w:rPr>
          <w:szCs w:val="20"/>
          <w:lang w:val="en-GB"/>
        </w:rPr>
        <w:t>he linear growth of ratifications</w:t>
      </w:r>
      <w:r w:rsidR="00965D19">
        <w:rPr>
          <w:szCs w:val="20"/>
          <w:lang w:val="en-GB"/>
        </w:rPr>
        <w:t>,</w:t>
      </w:r>
      <w:r w:rsidR="00D21A10" w:rsidRPr="00091938">
        <w:rPr>
          <w:rStyle w:val="FootnoteReference"/>
          <w:szCs w:val="20"/>
          <w:lang w:val="en-GB"/>
        </w:rPr>
        <w:footnoteReference w:id="11"/>
      </w:r>
      <w:r w:rsidR="003F7A59" w:rsidRPr="00091938">
        <w:rPr>
          <w:szCs w:val="20"/>
          <w:lang w:val="en-GB"/>
        </w:rPr>
        <w:t xml:space="preserve"> new treaties</w:t>
      </w:r>
      <w:r w:rsidR="00965D19">
        <w:rPr>
          <w:szCs w:val="20"/>
          <w:lang w:val="en-GB"/>
        </w:rPr>
        <w:t>,</w:t>
      </w:r>
      <w:r w:rsidR="002D26C4">
        <w:rPr>
          <w:rStyle w:val="FootnoteReference"/>
          <w:szCs w:val="20"/>
          <w:lang w:val="en-GB"/>
        </w:rPr>
        <w:footnoteReference w:id="12"/>
      </w:r>
      <w:r w:rsidR="005F7026">
        <w:rPr>
          <w:szCs w:val="20"/>
          <w:lang w:val="en-GB"/>
        </w:rPr>
        <w:t xml:space="preserve"> individual complaints</w:t>
      </w:r>
      <w:r w:rsidR="00965D19">
        <w:rPr>
          <w:szCs w:val="20"/>
          <w:lang w:val="en-GB"/>
        </w:rPr>
        <w:t>,</w:t>
      </w:r>
      <w:r w:rsidR="005F7026">
        <w:rPr>
          <w:rStyle w:val="FootnoteReference"/>
          <w:szCs w:val="20"/>
          <w:lang w:val="en-GB"/>
        </w:rPr>
        <w:footnoteReference w:id="13"/>
      </w:r>
      <w:r w:rsidR="001106B3">
        <w:rPr>
          <w:szCs w:val="20"/>
          <w:lang w:val="en-GB"/>
        </w:rPr>
        <w:t xml:space="preserve"> and requests for urgent measures and inqu</w:t>
      </w:r>
      <w:r w:rsidR="006742CA">
        <w:rPr>
          <w:szCs w:val="20"/>
          <w:lang w:val="en-GB"/>
        </w:rPr>
        <w:t>i</w:t>
      </w:r>
      <w:r w:rsidR="001106B3">
        <w:rPr>
          <w:szCs w:val="20"/>
          <w:lang w:val="en-GB"/>
        </w:rPr>
        <w:t>ries,</w:t>
      </w:r>
      <w:r w:rsidR="00A95E57" w:rsidRPr="00091938">
        <w:rPr>
          <w:szCs w:val="20"/>
          <w:lang w:val="en-GB"/>
        </w:rPr>
        <w:t xml:space="preserve"> combined with </w:t>
      </w:r>
      <w:r w:rsidR="00341BEF">
        <w:rPr>
          <w:szCs w:val="20"/>
          <w:lang w:val="en-GB"/>
        </w:rPr>
        <w:t>unpredictable and ultimately insufficient</w:t>
      </w:r>
      <w:r w:rsidR="00A95E57" w:rsidRPr="00091938">
        <w:rPr>
          <w:szCs w:val="20"/>
          <w:lang w:val="en-GB"/>
        </w:rPr>
        <w:t xml:space="preserve"> financial resources </w:t>
      </w:r>
      <w:r w:rsidR="00341BEF">
        <w:rPr>
          <w:szCs w:val="20"/>
          <w:lang w:val="en-GB"/>
        </w:rPr>
        <w:t xml:space="preserve">being </w:t>
      </w:r>
      <w:r w:rsidR="00A95E57" w:rsidRPr="00091938">
        <w:rPr>
          <w:szCs w:val="20"/>
          <w:lang w:val="en-GB"/>
        </w:rPr>
        <w:t>made available to the treaty bodies</w:t>
      </w:r>
      <w:r w:rsidR="00341BEF">
        <w:rPr>
          <w:szCs w:val="20"/>
          <w:lang w:val="en-GB"/>
        </w:rPr>
        <w:t xml:space="preserve">, presents a </w:t>
      </w:r>
      <w:r w:rsidR="006742CA">
        <w:rPr>
          <w:szCs w:val="20"/>
          <w:lang w:val="en-GB"/>
        </w:rPr>
        <w:t xml:space="preserve">fundamental </w:t>
      </w:r>
      <w:r w:rsidR="00341BEF">
        <w:rPr>
          <w:szCs w:val="20"/>
          <w:lang w:val="en-GB"/>
        </w:rPr>
        <w:t>challenge.</w:t>
      </w:r>
    </w:p>
    <w:p w14:paraId="739257ED" w14:textId="063B87FF" w:rsidR="000758F8" w:rsidRPr="00091938" w:rsidRDefault="000758F8" w:rsidP="0019741F">
      <w:pPr>
        <w:spacing w:before="120" w:after="120" w:line="240" w:lineRule="auto"/>
        <w:jc w:val="both"/>
        <w:rPr>
          <w:szCs w:val="20"/>
          <w:lang w:val="en-GB"/>
        </w:rPr>
      </w:pPr>
      <w:r w:rsidRPr="00091938">
        <w:rPr>
          <w:szCs w:val="20"/>
          <w:lang w:val="en-GB"/>
        </w:rPr>
        <w:t xml:space="preserve">The </w:t>
      </w:r>
      <w:r w:rsidR="00341BEF">
        <w:rPr>
          <w:szCs w:val="20"/>
          <w:lang w:val="en-GB"/>
        </w:rPr>
        <w:t>combination</w:t>
      </w:r>
      <w:r w:rsidRPr="00091938">
        <w:rPr>
          <w:szCs w:val="20"/>
          <w:lang w:val="en-GB"/>
        </w:rPr>
        <w:t xml:space="preserve"> of treaty bodies</w:t>
      </w:r>
      <w:r w:rsidR="00FA7E37" w:rsidRPr="00091938">
        <w:rPr>
          <w:szCs w:val="20"/>
          <w:lang w:val="en-GB"/>
        </w:rPr>
        <w:t>’</w:t>
      </w:r>
      <w:r w:rsidRPr="00091938">
        <w:rPr>
          <w:szCs w:val="20"/>
          <w:lang w:val="en-GB"/>
        </w:rPr>
        <w:t xml:space="preserve"> inability to review state reports </w:t>
      </w:r>
      <w:r w:rsidR="00FA7E37" w:rsidRPr="00091938">
        <w:rPr>
          <w:szCs w:val="20"/>
          <w:lang w:val="en-GB"/>
        </w:rPr>
        <w:t xml:space="preserve">in a timely manner </w:t>
      </w:r>
      <w:r w:rsidRPr="00091938">
        <w:rPr>
          <w:szCs w:val="20"/>
          <w:lang w:val="en-GB"/>
        </w:rPr>
        <w:t xml:space="preserve">due to </w:t>
      </w:r>
      <w:r w:rsidR="00341BEF" w:rsidRPr="00091938">
        <w:rPr>
          <w:szCs w:val="20"/>
          <w:lang w:val="en-GB"/>
        </w:rPr>
        <w:t>persist</w:t>
      </w:r>
      <w:r w:rsidR="00341BEF">
        <w:rPr>
          <w:szCs w:val="20"/>
          <w:lang w:val="en-GB"/>
        </w:rPr>
        <w:t>ent</w:t>
      </w:r>
      <w:r w:rsidR="00341BEF" w:rsidRPr="00091938">
        <w:rPr>
          <w:szCs w:val="20"/>
          <w:lang w:val="en-GB"/>
        </w:rPr>
        <w:t xml:space="preserve"> </w:t>
      </w:r>
      <w:r w:rsidRPr="00091938">
        <w:rPr>
          <w:szCs w:val="20"/>
          <w:lang w:val="en-GB"/>
        </w:rPr>
        <w:t>backlog, and the ongoing very poor reporting compliance</w:t>
      </w:r>
      <w:r w:rsidR="00341BEF">
        <w:rPr>
          <w:szCs w:val="20"/>
          <w:lang w:val="en-GB"/>
        </w:rPr>
        <w:t>,</w:t>
      </w:r>
      <w:r w:rsidRPr="00091938">
        <w:rPr>
          <w:szCs w:val="20"/>
          <w:lang w:val="en-GB"/>
        </w:rPr>
        <w:t xml:space="preserve"> significantly hamper </w:t>
      </w:r>
      <w:r w:rsidR="00341BEF">
        <w:rPr>
          <w:szCs w:val="20"/>
          <w:lang w:val="en-GB"/>
        </w:rPr>
        <w:t xml:space="preserve">meaningful </w:t>
      </w:r>
      <w:r w:rsidRPr="00091938">
        <w:rPr>
          <w:szCs w:val="20"/>
          <w:lang w:val="en-GB"/>
        </w:rPr>
        <w:t xml:space="preserve">civil society access to, and </w:t>
      </w:r>
      <w:r w:rsidR="00341BEF">
        <w:rPr>
          <w:szCs w:val="20"/>
          <w:lang w:val="en-GB"/>
        </w:rPr>
        <w:t>engagement</w:t>
      </w:r>
      <w:r w:rsidR="00341BEF" w:rsidRPr="00091938">
        <w:rPr>
          <w:szCs w:val="20"/>
          <w:lang w:val="en-GB"/>
        </w:rPr>
        <w:t xml:space="preserve"> </w:t>
      </w:r>
      <w:r w:rsidRPr="00091938">
        <w:rPr>
          <w:szCs w:val="20"/>
          <w:lang w:val="en-GB"/>
        </w:rPr>
        <w:t>with the treaty bodies</w:t>
      </w:r>
      <w:r w:rsidR="00341BEF">
        <w:rPr>
          <w:szCs w:val="20"/>
          <w:lang w:val="en-GB"/>
        </w:rPr>
        <w:t xml:space="preserve"> and the potential for the system to make a difference to rights holders</w:t>
      </w:r>
      <w:r w:rsidRPr="00091938">
        <w:rPr>
          <w:szCs w:val="20"/>
          <w:lang w:val="en-GB"/>
        </w:rPr>
        <w:t xml:space="preserve">. </w:t>
      </w:r>
      <w:r w:rsidR="00341BEF">
        <w:rPr>
          <w:szCs w:val="20"/>
          <w:lang w:val="en-GB"/>
        </w:rPr>
        <w:t>B</w:t>
      </w:r>
      <w:r w:rsidRPr="00091938">
        <w:rPr>
          <w:szCs w:val="20"/>
          <w:lang w:val="en-GB"/>
        </w:rPr>
        <w:t xml:space="preserve">oth </w:t>
      </w:r>
      <w:r w:rsidR="00341BEF">
        <w:rPr>
          <w:szCs w:val="20"/>
          <w:lang w:val="en-GB"/>
        </w:rPr>
        <w:t>issues mean</w:t>
      </w:r>
      <w:r w:rsidRPr="00091938">
        <w:rPr>
          <w:szCs w:val="20"/>
          <w:lang w:val="en-GB"/>
        </w:rPr>
        <w:t xml:space="preserve"> NGOs have</w:t>
      </w:r>
      <w:r w:rsidR="0033603D" w:rsidRPr="00091938">
        <w:rPr>
          <w:szCs w:val="20"/>
          <w:lang w:val="en-GB"/>
        </w:rPr>
        <w:t xml:space="preserve"> very</w:t>
      </w:r>
      <w:r w:rsidRPr="00091938">
        <w:rPr>
          <w:szCs w:val="20"/>
          <w:lang w:val="en-GB"/>
        </w:rPr>
        <w:t xml:space="preserve"> limited or no visibility on when the reviews are going to take place</w:t>
      </w:r>
      <w:r w:rsidR="002A657C">
        <w:rPr>
          <w:szCs w:val="20"/>
          <w:lang w:val="en-GB"/>
        </w:rPr>
        <w:t xml:space="preserve">, which in turn </w:t>
      </w:r>
      <w:r w:rsidRPr="00091938">
        <w:rPr>
          <w:szCs w:val="20"/>
          <w:lang w:val="en-GB"/>
        </w:rPr>
        <w:t xml:space="preserve"> contribute</w:t>
      </w:r>
      <w:r w:rsidR="002A657C">
        <w:rPr>
          <w:szCs w:val="20"/>
          <w:lang w:val="en-GB"/>
        </w:rPr>
        <w:t>s</w:t>
      </w:r>
      <w:r w:rsidRPr="00091938">
        <w:rPr>
          <w:szCs w:val="20"/>
          <w:lang w:val="en-GB"/>
        </w:rPr>
        <w:t xml:space="preserve"> to a </w:t>
      </w:r>
      <w:r w:rsidR="002A657C">
        <w:rPr>
          <w:szCs w:val="20"/>
          <w:lang w:val="en-GB"/>
        </w:rPr>
        <w:t>lack of engagement by</w:t>
      </w:r>
      <w:r w:rsidRPr="00091938">
        <w:rPr>
          <w:szCs w:val="20"/>
          <w:lang w:val="en-GB"/>
        </w:rPr>
        <w:t xml:space="preserve"> </w:t>
      </w:r>
      <w:r w:rsidR="000B63B5" w:rsidRPr="00091938">
        <w:rPr>
          <w:szCs w:val="20"/>
          <w:lang w:val="en-GB"/>
        </w:rPr>
        <w:t xml:space="preserve">some </w:t>
      </w:r>
      <w:r w:rsidRPr="00091938">
        <w:rPr>
          <w:szCs w:val="20"/>
          <w:lang w:val="en-GB"/>
        </w:rPr>
        <w:t xml:space="preserve">NGOs </w:t>
      </w:r>
      <w:r w:rsidR="0033603D" w:rsidRPr="00091938">
        <w:rPr>
          <w:szCs w:val="20"/>
          <w:lang w:val="en-GB"/>
        </w:rPr>
        <w:t xml:space="preserve">in treaty body reviews. </w:t>
      </w:r>
    </w:p>
    <w:p w14:paraId="50442392" w14:textId="77777777" w:rsidR="00F74557" w:rsidRPr="00091938" w:rsidRDefault="00F74557" w:rsidP="0019741F">
      <w:pPr>
        <w:spacing w:before="120" w:after="120" w:line="240" w:lineRule="auto"/>
        <w:jc w:val="both"/>
        <w:rPr>
          <w:szCs w:val="20"/>
          <w:lang w:val="en-GB"/>
        </w:rPr>
      </w:pPr>
    </w:p>
    <w:p w14:paraId="61157745" w14:textId="77777777" w:rsidR="00F74557" w:rsidRPr="00091938" w:rsidRDefault="00F74557" w:rsidP="0019741F">
      <w:pPr>
        <w:pStyle w:val="ListParagraph"/>
        <w:numPr>
          <w:ilvl w:val="0"/>
          <w:numId w:val="13"/>
        </w:numPr>
        <w:spacing w:before="120" w:after="120" w:line="240" w:lineRule="auto"/>
        <w:jc w:val="both"/>
        <w:rPr>
          <w:color w:val="C00000"/>
          <w:szCs w:val="20"/>
          <w:lang w:val="en-GB"/>
        </w:rPr>
      </w:pPr>
      <w:r w:rsidRPr="00091938">
        <w:rPr>
          <w:color w:val="C00000"/>
          <w:szCs w:val="20"/>
          <w:lang w:val="en-GB"/>
        </w:rPr>
        <w:t>Recommendations</w:t>
      </w:r>
    </w:p>
    <w:p w14:paraId="76A6268F" w14:textId="51040889" w:rsidR="002A657C" w:rsidRDefault="00CC5B96" w:rsidP="0019741F">
      <w:pPr>
        <w:pStyle w:val="ListParagraph"/>
        <w:numPr>
          <w:ilvl w:val="0"/>
          <w:numId w:val="12"/>
        </w:numPr>
        <w:spacing w:before="120" w:after="120" w:line="240" w:lineRule="auto"/>
        <w:jc w:val="both"/>
        <w:rPr>
          <w:szCs w:val="20"/>
          <w:lang w:val="en-GB"/>
        </w:rPr>
      </w:pPr>
      <w:r>
        <w:rPr>
          <w:szCs w:val="20"/>
          <w:lang w:val="en-GB"/>
        </w:rPr>
        <w:t>As recommended in the most recent report of the UNSG</w:t>
      </w:r>
      <w:r>
        <w:rPr>
          <w:rStyle w:val="FootnoteReference"/>
          <w:szCs w:val="20"/>
          <w:lang w:val="en-GB"/>
        </w:rPr>
        <w:footnoteReference w:id="14"/>
      </w:r>
      <w:r>
        <w:rPr>
          <w:szCs w:val="20"/>
          <w:lang w:val="en-GB"/>
        </w:rPr>
        <w:t>, t</w:t>
      </w:r>
      <w:r w:rsidR="002A657C">
        <w:rPr>
          <w:szCs w:val="20"/>
          <w:lang w:val="en-GB"/>
        </w:rPr>
        <w:t xml:space="preserve">he calculation of resources needed should be respected by all relevant bodies including the ACABQ and the Fifth Committee. Ensuring the necessary budget, which has already been agreed to in principle, is provided, </w:t>
      </w:r>
      <w:r w:rsidR="001C420E">
        <w:rPr>
          <w:szCs w:val="20"/>
          <w:lang w:val="en-GB"/>
        </w:rPr>
        <w:t>must</w:t>
      </w:r>
      <w:r w:rsidR="002A657C">
        <w:rPr>
          <w:szCs w:val="20"/>
          <w:lang w:val="en-GB"/>
        </w:rPr>
        <w:t xml:space="preserve"> be a clear priority of the Secretary-General.</w:t>
      </w:r>
    </w:p>
    <w:p w14:paraId="0F8D8D1A" w14:textId="1AFF5161" w:rsidR="00F74557" w:rsidRDefault="005B526A" w:rsidP="0019741F">
      <w:pPr>
        <w:pStyle w:val="ListParagraph"/>
        <w:numPr>
          <w:ilvl w:val="0"/>
          <w:numId w:val="12"/>
        </w:numPr>
        <w:spacing w:before="120" w:after="120" w:line="240" w:lineRule="auto"/>
        <w:jc w:val="both"/>
        <w:rPr>
          <w:szCs w:val="20"/>
          <w:lang w:val="en-GB"/>
        </w:rPr>
      </w:pPr>
      <w:r w:rsidRPr="00091938">
        <w:rPr>
          <w:szCs w:val="20"/>
          <w:lang w:val="en-GB"/>
        </w:rPr>
        <w:t>The calculation of resources required for the treaty bodies should not only account for meeting time but also related human resources for the Secretariat</w:t>
      </w:r>
      <w:r w:rsidR="002A657C">
        <w:rPr>
          <w:szCs w:val="20"/>
          <w:lang w:val="en-GB"/>
        </w:rPr>
        <w:t xml:space="preserve">, in particular with </w:t>
      </w:r>
      <w:r w:rsidR="002A657C">
        <w:rPr>
          <w:szCs w:val="20"/>
          <w:lang w:val="en-GB"/>
        </w:rPr>
        <w:lastRenderedPageBreak/>
        <w:t>regard to individual communications</w:t>
      </w:r>
      <w:r w:rsidR="004C0C15">
        <w:rPr>
          <w:szCs w:val="20"/>
          <w:lang w:val="en-GB"/>
        </w:rPr>
        <w:t xml:space="preserve">. Resources required for reviews in absence of state reports should also be allocated. </w:t>
      </w:r>
    </w:p>
    <w:p w14:paraId="748704D1" w14:textId="3C5300EA" w:rsidR="004C0C15" w:rsidRPr="00091938" w:rsidRDefault="00AF39B2" w:rsidP="0019741F">
      <w:pPr>
        <w:pStyle w:val="ListParagraph"/>
        <w:numPr>
          <w:ilvl w:val="0"/>
          <w:numId w:val="12"/>
        </w:numPr>
        <w:spacing w:before="120" w:after="120" w:line="240" w:lineRule="auto"/>
        <w:jc w:val="both"/>
        <w:rPr>
          <w:szCs w:val="20"/>
          <w:lang w:val="en-GB"/>
        </w:rPr>
      </w:pPr>
      <w:r>
        <w:rPr>
          <w:szCs w:val="20"/>
          <w:lang w:val="en-GB"/>
        </w:rPr>
        <w:t xml:space="preserve">OHCHR should prioritise urgent measures to reduce the backlog of individual communications pending review, including through a reform of internal case management, and the establishment of an online platform with relevant information available for victims and defendants. </w:t>
      </w:r>
    </w:p>
    <w:p w14:paraId="446ADBA9" w14:textId="597B3A4B" w:rsidR="00FA317D" w:rsidRPr="00091938" w:rsidRDefault="002A657C" w:rsidP="0019741F">
      <w:pPr>
        <w:pStyle w:val="ListParagraph"/>
        <w:numPr>
          <w:ilvl w:val="0"/>
          <w:numId w:val="12"/>
        </w:numPr>
        <w:spacing w:before="120" w:after="120" w:line="240" w:lineRule="auto"/>
        <w:jc w:val="both"/>
        <w:rPr>
          <w:szCs w:val="20"/>
          <w:lang w:val="en-GB"/>
        </w:rPr>
      </w:pPr>
      <w:r>
        <w:rPr>
          <w:szCs w:val="20"/>
          <w:lang w:val="en-GB"/>
        </w:rPr>
        <w:t>A</w:t>
      </w:r>
      <w:r w:rsidRPr="00091938">
        <w:rPr>
          <w:szCs w:val="20"/>
          <w:lang w:val="en-GB"/>
        </w:rPr>
        <w:t xml:space="preserve"> </w:t>
      </w:r>
      <w:r w:rsidR="00D9755D" w:rsidRPr="00091938">
        <w:rPr>
          <w:szCs w:val="20"/>
          <w:lang w:val="en-GB"/>
        </w:rPr>
        <w:t>fixed and coordinated calendar of state reviews and related predictable review cycle</w:t>
      </w:r>
      <w:r w:rsidR="00402D42" w:rsidRPr="00091938">
        <w:rPr>
          <w:szCs w:val="20"/>
          <w:lang w:val="en-GB"/>
        </w:rPr>
        <w:t>s</w:t>
      </w:r>
      <w:r w:rsidR="000C3FAE" w:rsidRPr="00091938">
        <w:rPr>
          <w:rStyle w:val="FootnoteReference"/>
          <w:szCs w:val="20"/>
          <w:lang w:val="en-GB"/>
        </w:rPr>
        <w:footnoteReference w:id="15"/>
      </w:r>
      <w:r w:rsidR="00D9755D" w:rsidRPr="00091938">
        <w:rPr>
          <w:szCs w:val="20"/>
          <w:lang w:val="en-GB"/>
        </w:rPr>
        <w:t xml:space="preserve"> should be prioritized to </w:t>
      </w:r>
      <w:r w:rsidR="00402D42" w:rsidRPr="00091938">
        <w:rPr>
          <w:szCs w:val="20"/>
          <w:lang w:val="en-GB"/>
        </w:rPr>
        <w:t xml:space="preserve">comprehensively </w:t>
      </w:r>
      <w:r w:rsidR="00D9755D" w:rsidRPr="00091938">
        <w:rPr>
          <w:szCs w:val="20"/>
          <w:lang w:val="en-GB"/>
        </w:rPr>
        <w:t xml:space="preserve">address the issues of backlogs of </w:t>
      </w:r>
      <w:r w:rsidR="00AF5AD0">
        <w:rPr>
          <w:szCs w:val="20"/>
          <w:lang w:val="en-GB"/>
        </w:rPr>
        <w:t xml:space="preserve">states’ periodic </w:t>
      </w:r>
      <w:r w:rsidR="00D9755D" w:rsidRPr="00091938">
        <w:rPr>
          <w:szCs w:val="20"/>
          <w:lang w:val="en-GB"/>
        </w:rPr>
        <w:t xml:space="preserve">reports and poor state reporting compliance. </w:t>
      </w:r>
    </w:p>
    <w:p w14:paraId="5279CB98" w14:textId="77777777" w:rsidR="00F74557" w:rsidRPr="00091938" w:rsidRDefault="00F74557" w:rsidP="0019741F">
      <w:pPr>
        <w:spacing w:before="120" w:after="120" w:line="240" w:lineRule="auto"/>
        <w:jc w:val="both"/>
        <w:rPr>
          <w:szCs w:val="20"/>
          <w:lang w:val="en-GB"/>
        </w:rPr>
      </w:pPr>
    </w:p>
    <w:p w14:paraId="258460F5" w14:textId="77777777" w:rsidR="00F260F9" w:rsidRPr="00091938" w:rsidRDefault="00B478AF" w:rsidP="0019741F">
      <w:pPr>
        <w:pStyle w:val="Heading2"/>
        <w:numPr>
          <w:ilvl w:val="1"/>
          <w:numId w:val="5"/>
        </w:numPr>
        <w:spacing w:before="120" w:after="120" w:line="240" w:lineRule="auto"/>
        <w:rPr>
          <w:rFonts w:asciiTheme="minorHAnsi" w:hAnsiTheme="minorHAnsi"/>
          <w:i/>
          <w:color w:val="C00000"/>
          <w:sz w:val="22"/>
          <w:lang w:val="en-GB"/>
        </w:rPr>
      </w:pPr>
      <w:bookmarkStart w:id="18" w:name="_Toc7787788"/>
      <w:r w:rsidRPr="00091938">
        <w:rPr>
          <w:rFonts w:asciiTheme="minorHAnsi" w:hAnsiTheme="minorHAnsi"/>
          <w:i/>
          <w:color w:val="C00000"/>
          <w:sz w:val="22"/>
          <w:lang w:val="en-GB"/>
        </w:rPr>
        <w:t>C</w:t>
      </w:r>
      <w:r w:rsidR="00F260F9" w:rsidRPr="00091938">
        <w:rPr>
          <w:rFonts w:asciiTheme="minorHAnsi" w:hAnsiTheme="minorHAnsi"/>
          <w:i/>
          <w:color w:val="C00000"/>
          <w:sz w:val="22"/>
          <w:lang w:val="en-GB"/>
        </w:rPr>
        <w:t>apacity building programme for States</w:t>
      </w:r>
      <w:bookmarkEnd w:id="18"/>
    </w:p>
    <w:p w14:paraId="62886F91" w14:textId="1B398DC0" w:rsidR="00591327" w:rsidRPr="00091938" w:rsidRDefault="00FD0E1D" w:rsidP="0019741F">
      <w:pPr>
        <w:spacing w:before="120" w:after="120" w:line="240" w:lineRule="auto"/>
        <w:jc w:val="both"/>
        <w:rPr>
          <w:lang w:val="en-GB"/>
        </w:rPr>
      </w:pPr>
      <w:r w:rsidRPr="00091938">
        <w:rPr>
          <w:lang w:val="en-GB"/>
        </w:rPr>
        <w:t>ISHR</w:t>
      </w:r>
      <w:r w:rsidR="000263C9" w:rsidRPr="00091938">
        <w:rPr>
          <w:lang w:val="en-GB"/>
        </w:rPr>
        <w:t xml:space="preserve"> welcome</w:t>
      </w:r>
      <w:r w:rsidRPr="00091938">
        <w:rPr>
          <w:lang w:val="en-GB"/>
        </w:rPr>
        <w:t>s</w:t>
      </w:r>
      <w:r w:rsidR="000263C9" w:rsidRPr="00091938">
        <w:rPr>
          <w:lang w:val="en-GB"/>
        </w:rPr>
        <w:t xml:space="preserve"> the </w:t>
      </w:r>
      <w:r w:rsidR="005D69DB" w:rsidRPr="00091938">
        <w:rPr>
          <w:lang w:val="en-GB"/>
        </w:rPr>
        <w:t>establishment</w:t>
      </w:r>
      <w:r w:rsidR="000263C9" w:rsidRPr="00091938">
        <w:rPr>
          <w:lang w:val="en-GB"/>
        </w:rPr>
        <w:t xml:space="preserve"> of </w:t>
      </w:r>
      <w:r w:rsidR="005D69DB" w:rsidRPr="00091938">
        <w:rPr>
          <w:lang w:val="en-GB"/>
        </w:rPr>
        <w:t>a</w:t>
      </w:r>
      <w:r w:rsidR="000263C9" w:rsidRPr="00091938">
        <w:rPr>
          <w:lang w:val="en-GB"/>
        </w:rPr>
        <w:t xml:space="preserve"> programme</w:t>
      </w:r>
      <w:r w:rsidR="00547FD3" w:rsidRPr="00091938">
        <w:rPr>
          <w:lang w:val="en-GB"/>
        </w:rPr>
        <w:t xml:space="preserve"> </w:t>
      </w:r>
      <w:r w:rsidR="005D69DB" w:rsidRPr="00091938">
        <w:rPr>
          <w:lang w:val="en-GB"/>
        </w:rPr>
        <w:t xml:space="preserve">aimed at enhancing the capacity of states to </w:t>
      </w:r>
      <w:r w:rsidR="002A657C">
        <w:rPr>
          <w:lang w:val="en-GB"/>
        </w:rPr>
        <w:t>comply</w:t>
      </w:r>
      <w:r w:rsidR="002A657C" w:rsidRPr="00091938">
        <w:rPr>
          <w:lang w:val="en-GB"/>
        </w:rPr>
        <w:t xml:space="preserve"> </w:t>
      </w:r>
      <w:r w:rsidR="005D69DB" w:rsidRPr="00091938">
        <w:rPr>
          <w:lang w:val="en-GB"/>
        </w:rPr>
        <w:t xml:space="preserve">with their obligations under the treaties, especially the reporting obligation. </w:t>
      </w:r>
      <w:r w:rsidR="00BE180B" w:rsidRPr="00091938">
        <w:rPr>
          <w:lang w:val="en-GB"/>
        </w:rPr>
        <w:t xml:space="preserve">In </w:t>
      </w:r>
      <w:r w:rsidR="002F68A0" w:rsidRPr="00091938">
        <w:rPr>
          <w:lang w:val="en-GB"/>
        </w:rPr>
        <w:t>all world regions</w:t>
      </w:r>
      <w:r w:rsidR="00C248EC" w:rsidRPr="00091938">
        <w:rPr>
          <w:lang w:val="en-GB"/>
        </w:rPr>
        <w:t>, the</w:t>
      </w:r>
      <w:r w:rsidR="00BE180B" w:rsidRPr="00091938">
        <w:rPr>
          <w:lang w:val="en-GB"/>
        </w:rPr>
        <w:t xml:space="preserve"> programme</w:t>
      </w:r>
      <w:r w:rsidR="00C248EC" w:rsidRPr="00091938">
        <w:rPr>
          <w:lang w:val="en-GB"/>
        </w:rPr>
        <w:t xml:space="preserve"> has</w:t>
      </w:r>
      <w:r w:rsidR="00BE180B" w:rsidRPr="00091938">
        <w:rPr>
          <w:lang w:val="en-GB"/>
        </w:rPr>
        <w:t xml:space="preserve"> helped </w:t>
      </w:r>
      <w:r w:rsidR="002A657C">
        <w:rPr>
          <w:lang w:val="en-GB"/>
        </w:rPr>
        <w:t xml:space="preserve">some </w:t>
      </w:r>
      <w:r w:rsidR="00BE180B" w:rsidRPr="00091938">
        <w:rPr>
          <w:lang w:val="en-GB"/>
        </w:rPr>
        <w:t xml:space="preserve">States </w:t>
      </w:r>
      <w:r w:rsidR="009F1095" w:rsidRPr="00091938">
        <w:rPr>
          <w:lang w:val="en-GB"/>
        </w:rPr>
        <w:t xml:space="preserve">to </w:t>
      </w:r>
      <w:r w:rsidR="00BE180B" w:rsidRPr="00091938">
        <w:rPr>
          <w:lang w:val="en-GB"/>
        </w:rPr>
        <w:t>submit reports</w:t>
      </w:r>
      <w:r w:rsidR="00FC313B" w:rsidRPr="00091938">
        <w:rPr>
          <w:lang w:val="en-GB"/>
        </w:rPr>
        <w:t xml:space="preserve">, many of which </w:t>
      </w:r>
      <w:r w:rsidR="00BE180B" w:rsidRPr="00091938">
        <w:rPr>
          <w:lang w:val="en-GB"/>
        </w:rPr>
        <w:t>had been delayed for decades.</w:t>
      </w:r>
      <w:r w:rsidR="00BE180B" w:rsidRPr="00091938">
        <w:rPr>
          <w:rStyle w:val="FootnoteReference"/>
          <w:lang w:val="en-GB"/>
        </w:rPr>
        <w:footnoteReference w:id="16"/>
      </w:r>
      <w:r w:rsidR="00BE180B" w:rsidRPr="00091938">
        <w:rPr>
          <w:lang w:val="en-GB"/>
        </w:rPr>
        <w:t xml:space="preserve"> </w:t>
      </w:r>
      <w:r w:rsidR="00F80A5B" w:rsidRPr="00091938">
        <w:rPr>
          <w:lang w:val="en-GB"/>
        </w:rPr>
        <w:t xml:space="preserve">The </w:t>
      </w:r>
      <w:r w:rsidR="00363988" w:rsidRPr="00091938">
        <w:rPr>
          <w:lang w:val="en-GB"/>
        </w:rPr>
        <w:t>second</w:t>
      </w:r>
      <w:r w:rsidR="000263C9" w:rsidRPr="00091938">
        <w:rPr>
          <w:lang w:val="en-GB"/>
        </w:rPr>
        <w:t xml:space="preserve"> report</w:t>
      </w:r>
      <w:r w:rsidR="00F80A5B" w:rsidRPr="00091938">
        <w:rPr>
          <w:lang w:val="en-GB"/>
        </w:rPr>
        <w:t xml:space="preserve"> of the Secretary General</w:t>
      </w:r>
      <w:r w:rsidR="00363988" w:rsidRPr="00091938">
        <w:rPr>
          <w:lang w:val="en-GB"/>
        </w:rPr>
        <w:t xml:space="preserve"> on 68/268</w:t>
      </w:r>
      <w:r w:rsidR="00F51334" w:rsidRPr="00091938">
        <w:rPr>
          <w:rStyle w:val="FootnoteReference"/>
          <w:lang w:val="en-GB"/>
        </w:rPr>
        <w:footnoteReference w:id="17"/>
      </w:r>
      <w:r w:rsidR="00CC2211" w:rsidRPr="00091938">
        <w:rPr>
          <w:lang w:val="en-GB"/>
        </w:rPr>
        <w:t xml:space="preserve"> provides an array of relevant statistics on state reporting to the treaty bodies. The Programme has benefitted more than 350 State officials from 135 countries</w:t>
      </w:r>
      <w:r w:rsidR="00F51334" w:rsidRPr="00091938">
        <w:rPr>
          <w:lang w:val="en-GB"/>
        </w:rPr>
        <w:t xml:space="preserve">. </w:t>
      </w:r>
      <w:r w:rsidR="00CC2211" w:rsidRPr="00091938">
        <w:rPr>
          <w:lang w:val="en-GB"/>
        </w:rPr>
        <w:t xml:space="preserve">It contributed not only to the submission of outstanding periodic reports, but also new ratifications, and the establishment of National Mechanisms for Reporting and Follow up (NMRFs). </w:t>
      </w:r>
      <w:r w:rsidR="00B5688A" w:rsidRPr="00091938">
        <w:rPr>
          <w:lang w:val="en-GB"/>
        </w:rPr>
        <w:t xml:space="preserve">These </w:t>
      </w:r>
      <w:r w:rsidR="002A657C">
        <w:rPr>
          <w:lang w:val="en-GB"/>
        </w:rPr>
        <w:t>are welcome</w:t>
      </w:r>
      <w:r w:rsidR="00B5688A" w:rsidRPr="00091938">
        <w:rPr>
          <w:lang w:val="en-GB"/>
        </w:rPr>
        <w:t xml:space="preserve"> achievements given how difficult the reporting proces</w:t>
      </w:r>
      <w:r w:rsidR="00621188" w:rsidRPr="00091938">
        <w:rPr>
          <w:lang w:val="en-GB"/>
        </w:rPr>
        <w:t>s can be for smaller and lesser</w:t>
      </w:r>
      <w:r w:rsidR="00B5688A" w:rsidRPr="00091938">
        <w:rPr>
          <w:lang w:val="en-GB"/>
        </w:rPr>
        <w:t>–resourced states</w:t>
      </w:r>
    </w:p>
    <w:p w14:paraId="272D0257" w14:textId="32ED0D3A" w:rsidR="0030144C" w:rsidRPr="00091938" w:rsidRDefault="00A74998" w:rsidP="0019741F">
      <w:pPr>
        <w:spacing w:before="120" w:after="120" w:line="240" w:lineRule="auto"/>
        <w:jc w:val="both"/>
        <w:rPr>
          <w:lang w:val="en-GB"/>
        </w:rPr>
      </w:pPr>
      <w:r w:rsidRPr="00091938">
        <w:rPr>
          <w:lang w:val="en-GB"/>
        </w:rPr>
        <w:t>Notwithstanding the above</w:t>
      </w:r>
      <w:r w:rsidR="00547FD3" w:rsidRPr="00091938">
        <w:rPr>
          <w:lang w:val="en-GB"/>
        </w:rPr>
        <w:t xml:space="preserve">, </w:t>
      </w:r>
      <w:r w:rsidRPr="00091938">
        <w:rPr>
          <w:lang w:val="en-GB"/>
        </w:rPr>
        <w:t>ISHR</w:t>
      </w:r>
      <w:r w:rsidR="00547FD3" w:rsidRPr="00091938">
        <w:rPr>
          <w:lang w:val="en-GB"/>
        </w:rPr>
        <w:t xml:space="preserve"> </w:t>
      </w:r>
      <w:r w:rsidRPr="00091938">
        <w:rPr>
          <w:lang w:val="en-GB"/>
        </w:rPr>
        <w:t>is</w:t>
      </w:r>
      <w:r w:rsidR="00547FD3" w:rsidRPr="00091938">
        <w:rPr>
          <w:lang w:val="en-GB"/>
        </w:rPr>
        <w:t xml:space="preserve"> deeply concerned that the programme does not seem to have had a significant impact in reducing overall </w:t>
      </w:r>
      <w:r w:rsidR="002A657C">
        <w:rPr>
          <w:lang w:val="en-GB"/>
        </w:rPr>
        <w:t>overdue</w:t>
      </w:r>
      <w:r w:rsidR="00547FD3" w:rsidRPr="00091938">
        <w:rPr>
          <w:lang w:val="en-GB"/>
        </w:rPr>
        <w:t xml:space="preserve"> report</w:t>
      </w:r>
      <w:r w:rsidR="002A657C">
        <w:rPr>
          <w:lang w:val="en-GB"/>
        </w:rPr>
        <w:t>s</w:t>
      </w:r>
      <w:r w:rsidR="00547FD3" w:rsidRPr="00091938">
        <w:rPr>
          <w:lang w:val="en-GB"/>
        </w:rPr>
        <w:t xml:space="preserve"> to treaty bodies. The most recent figures show that 83 per cent of reports are still not submitted on time. </w:t>
      </w:r>
      <w:r w:rsidR="0030144C" w:rsidRPr="00091938">
        <w:rPr>
          <w:lang w:val="en-GB"/>
        </w:rPr>
        <w:t xml:space="preserve">More worryingly, global reporting compliance has only </w:t>
      </w:r>
      <w:r w:rsidR="002A657C">
        <w:rPr>
          <w:lang w:val="en-GB"/>
        </w:rPr>
        <w:t>increased</w:t>
      </w:r>
      <w:r w:rsidR="002A657C" w:rsidRPr="00091938">
        <w:rPr>
          <w:lang w:val="en-GB"/>
        </w:rPr>
        <w:t xml:space="preserve"> </w:t>
      </w:r>
      <w:r w:rsidR="0030144C" w:rsidRPr="00091938">
        <w:rPr>
          <w:lang w:val="en-GB"/>
        </w:rPr>
        <w:t>from 11% in May 2014</w:t>
      </w:r>
      <w:r w:rsidR="005E1832" w:rsidRPr="00091938">
        <w:rPr>
          <w:rStyle w:val="FootnoteReference"/>
          <w:lang w:val="en-GB"/>
        </w:rPr>
        <w:footnoteReference w:id="18"/>
      </w:r>
      <w:r w:rsidR="0030144C" w:rsidRPr="00091938">
        <w:rPr>
          <w:lang w:val="en-GB"/>
        </w:rPr>
        <w:t xml:space="preserve"> to 17% in December 2017</w:t>
      </w:r>
      <w:r w:rsidR="00965D19">
        <w:rPr>
          <w:lang w:val="en-GB"/>
        </w:rPr>
        <w:t>,</w:t>
      </w:r>
      <w:r w:rsidR="00382985" w:rsidRPr="00091938">
        <w:rPr>
          <w:rStyle w:val="FootnoteReference"/>
          <w:lang w:val="en-GB"/>
        </w:rPr>
        <w:footnoteReference w:id="19"/>
      </w:r>
      <w:r w:rsidR="0030144C" w:rsidRPr="00091938">
        <w:rPr>
          <w:lang w:val="en-GB"/>
        </w:rPr>
        <w:t xml:space="preserve"> after three years of major investment in the </w:t>
      </w:r>
      <w:r w:rsidR="00382985" w:rsidRPr="00091938">
        <w:rPr>
          <w:lang w:val="en-GB"/>
        </w:rPr>
        <w:t>capacity-building</w:t>
      </w:r>
      <w:r w:rsidR="0030144C" w:rsidRPr="00091938">
        <w:rPr>
          <w:lang w:val="en-GB"/>
        </w:rPr>
        <w:t xml:space="preserve"> programme. </w:t>
      </w:r>
      <w:r w:rsidR="00382985" w:rsidRPr="00091938">
        <w:rPr>
          <w:lang w:val="en-GB"/>
        </w:rPr>
        <w:t>W</w:t>
      </w:r>
      <w:r w:rsidR="00426AD5" w:rsidRPr="00091938">
        <w:rPr>
          <w:lang w:val="en-GB"/>
        </w:rPr>
        <w:t xml:space="preserve">hile a </w:t>
      </w:r>
      <w:r w:rsidR="00517FC0" w:rsidRPr="00091938">
        <w:rPr>
          <w:lang w:val="en-GB"/>
        </w:rPr>
        <w:t>six-point</w:t>
      </w:r>
      <w:r w:rsidR="00382985" w:rsidRPr="00091938">
        <w:rPr>
          <w:lang w:val="en-GB"/>
        </w:rPr>
        <w:t xml:space="preserve"> improvement is welcome, i</w:t>
      </w:r>
      <w:r w:rsidR="00517FC0" w:rsidRPr="00091938">
        <w:rPr>
          <w:lang w:val="en-GB"/>
        </w:rPr>
        <w:t>t certainly falls short of</w:t>
      </w:r>
      <w:r w:rsidR="00382985" w:rsidRPr="00091938">
        <w:rPr>
          <w:lang w:val="en-GB"/>
        </w:rPr>
        <w:t xml:space="preserve"> expectations given that </w:t>
      </w:r>
      <w:r w:rsidR="00E95BDF" w:rsidRPr="00091938">
        <w:rPr>
          <w:lang w:val="en-GB"/>
        </w:rPr>
        <w:t>the primary objective of the capacity strengthening programme was to improve reporting compliance</w:t>
      </w:r>
      <w:r w:rsidR="00382985" w:rsidRPr="00091938">
        <w:rPr>
          <w:lang w:val="en-GB"/>
        </w:rPr>
        <w:t>.</w:t>
      </w:r>
      <w:r w:rsidR="00E95BDF" w:rsidRPr="00091938">
        <w:rPr>
          <w:lang w:val="en-GB"/>
        </w:rPr>
        <w:t xml:space="preserve"> </w:t>
      </w:r>
      <w:r w:rsidR="002A657C">
        <w:rPr>
          <w:lang w:val="en-GB"/>
        </w:rPr>
        <w:t>The results are particularly poor when</w:t>
      </w:r>
      <w:r w:rsidR="00E95BDF" w:rsidRPr="00091938">
        <w:rPr>
          <w:lang w:val="en-GB"/>
        </w:rPr>
        <w:t xml:space="preserve"> com</w:t>
      </w:r>
      <w:r w:rsidR="00F74557" w:rsidRPr="00091938">
        <w:rPr>
          <w:lang w:val="en-GB"/>
        </w:rPr>
        <w:t>pared with figures from 2008-201</w:t>
      </w:r>
      <w:r w:rsidR="00E95BDF" w:rsidRPr="00091938">
        <w:rPr>
          <w:lang w:val="en-GB"/>
        </w:rPr>
        <w:t xml:space="preserve">0 when global reporting compliance was </w:t>
      </w:r>
      <w:r w:rsidR="00F74557" w:rsidRPr="00091938">
        <w:rPr>
          <w:lang w:val="en-GB"/>
        </w:rPr>
        <w:t>33%</w:t>
      </w:r>
      <w:r w:rsidR="00E95BDF" w:rsidRPr="00091938">
        <w:rPr>
          <w:lang w:val="en-GB"/>
        </w:rPr>
        <w:t xml:space="preserve"> of states</w:t>
      </w:r>
      <w:r w:rsidR="00F74557" w:rsidRPr="00091938">
        <w:rPr>
          <w:lang w:val="en-GB"/>
        </w:rPr>
        <w:t xml:space="preserve"> parties</w:t>
      </w:r>
      <w:r w:rsidR="00E95BDF" w:rsidRPr="00091938">
        <w:rPr>
          <w:lang w:val="en-GB"/>
        </w:rPr>
        <w:t>, which was already considered a poor rate</w:t>
      </w:r>
      <w:r w:rsidR="002A657C">
        <w:rPr>
          <w:lang w:val="en-GB"/>
        </w:rPr>
        <w:t xml:space="preserve"> at the time</w:t>
      </w:r>
      <w:r w:rsidR="00965D19">
        <w:rPr>
          <w:lang w:val="en-GB"/>
        </w:rPr>
        <w:t>.</w:t>
      </w:r>
      <w:r w:rsidR="00426AD5" w:rsidRPr="00091938">
        <w:rPr>
          <w:rStyle w:val="FootnoteReference"/>
          <w:lang w:val="en-GB"/>
        </w:rPr>
        <w:footnoteReference w:id="20"/>
      </w:r>
    </w:p>
    <w:p w14:paraId="04BF9655" w14:textId="7DFCA6C5" w:rsidR="007818CF" w:rsidRPr="00091938" w:rsidRDefault="003101C3" w:rsidP="0019741F">
      <w:pPr>
        <w:spacing w:before="120" w:after="120" w:line="240" w:lineRule="auto"/>
        <w:jc w:val="both"/>
        <w:rPr>
          <w:lang w:val="en-GB"/>
        </w:rPr>
      </w:pPr>
      <w:r w:rsidRPr="00091938">
        <w:rPr>
          <w:lang w:val="en-GB"/>
        </w:rPr>
        <w:t xml:space="preserve">It should also be noted that </w:t>
      </w:r>
      <w:r w:rsidR="00BC29EB" w:rsidRPr="00091938">
        <w:rPr>
          <w:lang w:val="en-GB"/>
        </w:rPr>
        <w:t xml:space="preserve">the average number of State party reports received annually by </w:t>
      </w:r>
      <w:r w:rsidR="006C6376">
        <w:rPr>
          <w:lang w:val="en-GB"/>
        </w:rPr>
        <w:t>the treaty bodies</w:t>
      </w:r>
      <w:r w:rsidR="00BC29EB" w:rsidRPr="00091938">
        <w:rPr>
          <w:lang w:val="en-GB"/>
        </w:rPr>
        <w:t xml:space="preserve"> </w:t>
      </w:r>
      <w:r w:rsidR="00A17328" w:rsidRPr="00091938">
        <w:rPr>
          <w:lang w:val="en-GB"/>
        </w:rPr>
        <w:t xml:space="preserve">has </w:t>
      </w:r>
      <w:r w:rsidR="00BC29EB" w:rsidRPr="00091938">
        <w:rPr>
          <w:lang w:val="en-GB"/>
        </w:rPr>
        <w:t xml:space="preserve">decreased </w:t>
      </w:r>
      <w:r w:rsidR="00A17328" w:rsidRPr="00091938">
        <w:rPr>
          <w:lang w:val="en-GB"/>
        </w:rPr>
        <w:t>steadily in recent years, from 140 a year from 2008 to 2010</w:t>
      </w:r>
      <w:r w:rsidR="00A17328" w:rsidRPr="00091938">
        <w:rPr>
          <w:rStyle w:val="FootnoteReference"/>
          <w:lang w:val="en-GB"/>
        </w:rPr>
        <w:footnoteReference w:id="21"/>
      </w:r>
      <w:r w:rsidR="00BC29EB" w:rsidRPr="00091938">
        <w:rPr>
          <w:lang w:val="en-GB"/>
        </w:rPr>
        <w:t xml:space="preserve"> to 128.8 a year from 2014 to 20</w:t>
      </w:r>
      <w:r w:rsidR="00A87B37" w:rsidRPr="00091938">
        <w:rPr>
          <w:lang w:val="en-GB"/>
        </w:rPr>
        <w:t>17</w:t>
      </w:r>
      <w:r w:rsidR="00965D19">
        <w:rPr>
          <w:lang w:val="en-GB"/>
        </w:rPr>
        <w:t>.</w:t>
      </w:r>
      <w:r w:rsidRPr="00091938">
        <w:rPr>
          <w:rStyle w:val="FootnoteReference"/>
          <w:lang w:val="en-GB"/>
        </w:rPr>
        <w:footnoteReference w:id="22"/>
      </w:r>
      <w:r w:rsidRPr="00091938">
        <w:rPr>
          <w:lang w:val="en-GB"/>
        </w:rPr>
        <w:t xml:space="preserve"> This at a time when </w:t>
      </w:r>
      <w:r w:rsidR="00A87B37" w:rsidRPr="00091938">
        <w:rPr>
          <w:lang w:val="en-GB"/>
        </w:rPr>
        <w:t>converse</w:t>
      </w:r>
      <w:r w:rsidRPr="00091938">
        <w:rPr>
          <w:lang w:val="en-GB"/>
        </w:rPr>
        <w:t>ly, the gl</w:t>
      </w:r>
      <w:r w:rsidR="00A87B37" w:rsidRPr="00091938">
        <w:rPr>
          <w:lang w:val="en-GB"/>
        </w:rPr>
        <w:t>obal number of ratifications has</w:t>
      </w:r>
      <w:r w:rsidRPr="00091938">
        <w:rPr>
          <w:lang w:val="en-GB"/>
        </w:rPr>
        <w:t xml:space="preserve"> increased </w:t>
      </w:r>
      <w:r w:rsidR="00A87B37" w:rsidRPr="00091938">
        <w:rPr>
          <w:lang w:val="en-GB"/>
        </w:rPr>
        <w:t>(+</w:t>
      </w:r>
      <w:r w:rsidRPr="00091938">
        <w:rPr>
          <w:lang w:val="en-GB"/>
        </w:rPr>
        <w:t>3.7%</w:t>
      </w:r>
      <w:r w:rsidR="00A87B37" w:rsidRPr="00091938">
        <w:rPr>
          <w:lang w:val="en-GB"/>
        </w:rPr>
        <w:t xml:space="preserve"> i</w:t>
      </w:r>
      <w:r w:rsidR="00957383" w:rsidRPr="00091938">
        <w:rPr>
          <w:lang w:val="en-GB"/>
        </w:rPr>
        <w:t>n just 2016-2017</w:t>
      </w:r>
      <w:r w:rsidRPr="00091938">
        <w:rPr>
          <w:rStyle w:val="FootnoteReference"/>
          <w:lang w:val="en-GB"/>
        </w:rPr>
        <w:footnoteReference w:id="23"/>
      </w:r>
      <w:r w:rsidR="00957383" w:rsidRPr="00091938">
        <w:rPr>
          <w:lang w:val="en-GB"/>
        </w:rPr>
        <w:t xml:space="preserve">). </w:t>
      </w:r>
    </w:p>
    <w:p w14:paraId="44F6DC5F" w14:textId="550CD196" w:rsidR="00B42922" w:rsidRPr="00091938" w:rsidRDefault="003A2A6E" w:rsidP="0019741F">
      <w:pPr>
        <w:spacing w:before="120" w:after="120" w:line="240" w:lineRule="auto"/>
        <w:jc w:val="both"/>
        <w:rPr>
          <w:lang w:val="en-GB"/>
        </w:rPr>
      </w:pPr>
      <w:r w:rsidRPr="00091938">
        <w:rPr>
          <w:lang w:val="en-GB"/>
        </w:rPr>
        <w:t>In addition to the</w:t>
      </w:r>
      <w:r w:rsidR="00532521" w:rsidRPr="00091938">
        <w:rPr>
          <w:lang w:val="en-GB"/>
        </w:rPr>
        <w:t xml:space="preserve"> very</w:t>
      </w:r>
      <w:r w:rsidRPr="00091938">
        <w:rPr>
          <w:lang w:val="en-GB"/>
        </w:rPr>
        <w:t xml:space="preserve"> limited global improvements on states</w:t>
      </w:r>
      <w:r w:rsidR="002A657C">
        <w:rPr>
          <w:lang w:val="en-GB"/>
        </w:rPr>
        <w:t>’</w:t>
      </w:r>
      <w:r w:rsidRPr="00091938">
        <w:rPr>
          <w:lang w:val="en-GB"/>
        </w:rPr>
        <w:t xml:space="preserve"> rep</w:t>
      </w:r>
      <w:r w:rsidR="004D3455" w:rsidRPr="00091938">
        <w:rPr>
          <w:lang w:val="en-GB"/>
        </w:rPr>
        <w:t xml:space="preserve">orting compliance, ISHR is </w:t>
      </w:r>
      <w:r w:rsidRPr="00091938">
        <w:rPr>
          <w:lang w:val="en-GB"/>
        </w:rPr>
        <w:t xml:space="preserve">concerned </w:t>
      </w:r>
      <w:r w:rsidR="00547FD3" w:rsidRPr="00091938">
        <w:rPr>
          <w:lang w:val="en-GB"/>
        </w:rPr>
        <w:t xml:space="preserve">that the capacity building programme has brought </w:t>
      </w:r>
      <w:r w:rsidRPr="00091938">
        <w:rPr>
          <w:lang w:val="en-GB"/>
        </w:rPr>
        <w:t>very limited or</w:t>
      </w:r>
      <w:r w:rsidR="00547FD3" w:rsidRPr="00091938">
        <w:rPr>
          <w:lang w:val="en-GB"/>
        </w:rPr>
        <w:t xml:space="preserve"> no benefit for civil society. The programme </w:t>
      </w:r>
      <w:r w:rsidR="00BB4BE7">
        <w:rPr>
          <w:lang w:val="en-GB"/>
        </w:rPr>
        <w:t xml:space="preserve">concept </w:t>
      </w:r>
      <w:r w:rsidR="00547FD3" w:rsidRPr="00091938">
        <w:rPr>
          <w:lang w:val="en-GB"/>
        </w:rPr>
        <w:t xml:space="preserve">was designed </w:t>
      </w:r>
      <w:r w:rsidR="004D3455" w:rsidRPr="00091938">
        <w:rPr>
          <w:lang w:val="en-GB"/>
        </w:rPr>
        <w:t xml:space="preserve">by States and </w:t>
      </w:r>
      <w:r w:rsidR="00547FD3" w:rsidRPr="00091938">
        <w:rPr>
          <w:lang w:val="en-GB"/>
        </w:rPr>
        <w:t xml:space="preserve">for States, and </w:t>
      </w:r>
      <w:r w:rsidR="004872B6" w:rsidRPr="00091938">
        <w:rPr>
          <w:lang w:val="en-GB"/>
        </w:rPr>
        <w:t xml:space="preserve">thus civil society has not been </w:t>
      </w:r>
      <w:r w:rsidR="00F74557" w:rsidRPr="00091938">
        <w:rPr>
          <w:lang w:val="en-GB"/>
        </w:rPr>
        <w:t>benefit</w:t>
      </w:r>
      <w:r w:rsidR="002A657C">
        <w:rPr>
          <w:lang w:val="en-GB"/>
        </w:rPr>
        <w:t>ed</w:t>
      </w:r>
      <w:r w:rsidR="004872B6" w:rsidRPr="00091938">
        <w:rPr>
          <w:lang w:val="en-GB"/>
        </w:rPr>
        <w:t xml:space="preserve"> </w:t>
      </w:r>
      <w:r w:rsidR="002A657C">
        <w:rPr>
          <w:lang w:val="en-GB"/>
        </w:rPr>
        <w:t xml:space="preserve">meaningfully </w:t>
      </w:r>
      <w:r w:rsidR="00F74557" w:rsidRPr="00091938">
        <w:rPr>
          <w:lang w:val="en-GB"/>
        </w:rPr>
        <w:t xml:space="preserve">from </w:t>
      </w:r>
      <w:r w:rsidR="00965D19">
        <w:rPr>
          <w:lang w:val="en-GB"/>
        </w:rPr>
        <w:t xml:space="preserve">the </w:t>
      </w:r>
      <w:r w:rsidR="00F74557" w:rsidRPr="00091938">
        <w:rPr>
          <w:lang w:val="en-GB"/>
        </w:rPr>
        <w:t>programme</w:t>
      </w:r>
      <w:r w:rsidR="004872B6" w:rsidRPr="00091938">
        <w:rPr>
          <w:lang w:val="en-GB"/>
        </w:rPr>
        <w:t>.</w:t>
      </w:r>
      <w:r w:rsidR="00F74557" w:rsidRPr="00091938">
        <w:rPr>
          <w:lang w:val="en-GB"/>
        </w:rPr>
        <w:t xml:space="preserve"> At best, NGOs were invited to consultations related to the process of drafting government periodic reports</w:t>
      </w:r>
      <w:r w:rsidR="00D86DB0">
        <w:rPr>
          <w:lang w:val="en-GB"/>
        </w:rPr>
        <w:t>. While those opportunities were</w:t>
      </w:r>
      <w:r w:rsidR="00F74557" w:rsidRPr="00091938">
        <w:rPr>
          <w:lang w:val="en-GB"/>
        </w:rPr>
        <w:t xml:space="preserve"> welcome</w:t>
      </w:r>
      <w:r w:rsidR="00D86DB0">
        <w:rPr>
          <w:lang w:val="en-GB"/>
        </w:rPr>
        <w:t xml:space="preserve">, </w:t>
      </w:r>
      <w:r w:rsidR="00517FC0" w:rsidRPr="00091938">
        <w:rPr>
          <w:lang w:val="en-GB"/>
        </w:rPr>
        <w:t xml:space="preserve">the programme </w:t>
      </w:r>
      <w:r w:rsidR="00D86DB0">
        <w:rPr>
          <w:lang w:val="en-GB"/>
        </w:rPr>
        <w:t xml:space="preserve">would have benefited from an </w:t>
      </w:r>
      <w:r w:rsidR="00517FC0" w:rsidRPr="00091938">
        <w:rPr>
          <w:lang w:val="en-GB"/>
        </w:rPr>
        <w:t>integrate</w:t>
      </w:r>
      <w:r w:rsidR="00D86DB0">
        <w:rPr>
          <w:lang w:val="en-GB"/>
        </w:rPr>
        <w:t>d</w:t>
      </w:r>
      <w:r w:rsidR="00517FC0" w:rsidRPr="00091938">
        <w:rPr>
          <w:lang w:val="en-GB"/>
        </w:rPr>
        <w:t xml:space="preserve"> a</w:t>
      </w:r>
      <w:r w:rsidR="00D86DB0">
        <w:rPr>
          <w:lang w:val="en-GB"/>
        </w:rPr>
        <w:t>nd</w:t>
      </w:r>
      <w:r w:rsidR="00517FC0" w:rsidRPr="00091938">
        <w:rPr>
          <w:lang w:val="en-GB"/>
        </w:rPr>
        <w:t xml:space="preserve"> dedicated component for civil society.</w:t>
      </w:r>
      <w:r w:rsidR="00F74557" w:rsidRPr="00091938">
        <w:rPr>
          <w:lang w:val="en-GB"/>
        </w:rPr>
        <w:t xml:space="preserve"> </w:t>
      </w:r>
    </w:p>
    <w:p w14:paraId="4D7109C5" w14:textId="77777777" w:rsidR="005364A8" w:rsidRPr="00091938" w:rsidRDefault="005364A8" w:rsidP="0019741F">
      <w:pPr>
        <w:spacing w:before="120" w:after="120" w:line="240" w:lineRule="auto"/>
        <w:jc w:val="both"/>
        <w:rPr>
          <w:lang w:val="en-GB"/>
        </w:rPr>
      </w:pPr>
    </w:p>
    <w:p w14:paraId="04909B91" w14:textId="77777777" w:rsidR="005364A8" w:rsidRPr="00091938" w:rsidRDefault="005364A8" w:rsidP="0019741F">
      <w:pPr>
        <w:pStyle w:val="ListParagraph"/>
        <w:numPr>
          <w:ilvl w:val="0"/>
          <w:numId w:val="13"/>
        </w:numPr>
        <w:spacing w:before="120" w:after="120" w:line="240" w:lineRule="auto"/>
        <w:jc w:val="both"/>
        <w:rPr>
          <w:color w:val="C00000"/>
          <w:szCs w:val="20"/>
          <w:lang w:val="en-GB"/>
        </w:rPr>
      </w:pPr>
      <w:r w:rsidRPr="00091938">
        <w:rPr>
          <w:color w:val="C00000"/>
          <w:szCs w:val="20"/>
          <w:lang w:val="en-GB"/>
        </w:rPr>
        <w:t>Recommendations</w:t>
      </w:r>
    </w:p>
    <w:p w14:paraId="3AACCAB7" w14:textId="74EA73C2" w:rsidR="005364A8" w:rsidRPr="00091938" w:rsidRDefault="007C5FE3" w:rsidP="0019741F">
      <w:pPr>
        <w:pStyle w:val="ListParagraph"/>
        <w:numPr>
          <w:ilvl w:val="0"/>
          <w:numId w:val="12"/>
        </w:numPr>
        <w:spacing w:before="120" w:after="120" w:line="240" w:lineRule="auto"/>
        <w:jc w:val="both"/>
        <w:rPr>
          <w:szCs w:val="20"/>
          <w:lang w:val="en-GB"/>
        </w:rPr>
      </w:pPr>
      <w:r>
        <w:rPr>
          <w:szCs w:val="20"/>
          <w:lang w:val="en-GB"/>
        </w:rPr>
        <w:t>A thorough</w:t>
      </w:r>
      <w:r w:rsidR="00C334FC">
        <w:rPr>
          <w:szCs w:val="20"/>
          <w:lang w:val="en-GB"/>
        </w:rPr>
        <w:t>, inclusive,</w:t>
      </w:r>
      <w:r>
        <w:rPr>
          <w:szCs w:val="20"/>
          <w:lang w:val="en-GB"/>
        </w:rPr>
        <w:t xml:space="preserve"> independent</w:t>
      </w:r>
      <w:r w:rsidR="00C334FC">
        <w:rPr>
          <w:szCs w:val="20"/>
          <w:lang w:val="en-GB"/>
        </w:rPr>
        <w:t xml:space="preserve"> and publicly available</w:t>
      </w:r>
      <w:r>
        <w:rPr>
          <w:szCs w:val="20"/>
          <w:lang w:val="en-GB"/>
        </w:rPr>
        <w:t xml:space="preserve"> evaluation</w:t>
      </w:r>
      <w:r w:rsidR="00C175C9" w:rsidRPr="00091938">
        <w:rPr>
          <w:szCs w:val="20"/>
          <w:lang w:val="en-GB"/>
        </w:rPr>
        <w:t xml:space="preserve"> of the </w:t>
      </w:r>
      <w:r w:rsidR="00155595" w:rsidRPr="00091938">
        <w:rPr>
          <w:szCs w:val="20"/>
          <w:lang w:val="en-GB"/>
        </w:rPr>
        <w:t>capacity-building</w:t>
      </w:r>
      <w:r w:rsidR="00C175C9" w:rsidRPr="00091938">
        <w:rPr>
          <w:szCs w:val="20"/>
          <w:lang w:val="en-GB"/>
        </w:rPr>
        <w:t xml:space="preserve"> programme should be </w:t>
      </w:r>
      <w:r>
        <w:rPr>
          <w:szCs w:val="20"/>
          <w:lang w:val="en-GB"/>
        </w:rPr>
        <w:t>commissioned ahead of</w:t>
      </w:r>
      <w:r w:rsidR="00C175C9" w:rsidRPr="00091938">
        <w:rPr>
          <w:szCs w:val="20"/>
          <w:lang w:val="en-GB"/>
        </w:rPr>
        <w:t xml:space="preserve"> the upcoming report of the Secretary General</w:t>
      </w:r>
      <w:r w:rsidRPr="007C5FE3">
        <w:rPr>
          <w:szCs w:val="20"/>
          <w:lang w:val="en-US"/>
        </w:rPr>
        <w:t xml:space="preserve">. </w:t>
      </w:r>
      <w:r>
        <w:rPr>
          <w:szCs w:val="20"/>
          <w:lang w:val="en-US"/>
        </w:rPr>
        <w:t xml:space="preserve">Such an assessment should look into questions of </w:t>
      </w:r>
      <w:r w:rsidRPr="007C5FE3">
        <w:rPr>
          <w:szCs w:val="20"/>
          <w:lang w:val="en-US"/>
        </w:rPr>
        <w:t>relevance, effectiveness, efficiency, impact and sustainability</w:t>
      </w:r>
      <w:r>
        <w:rPr>
          <w:szCs w:val="20"/>
          <w:lang w:val="en-US"/>
        </w:rPr>
        <w:t xml:space="preserve">, from the perspective of state and non-state users of the treaty bodies. The evaluation report should be made public. </w:t>
      </w:r>
    </w:p>
    <w:p w14:paraId="11E99B6F" w14:textId="570242CB" w:rsidR="005364A8" w:rsidRPr="00091938" w:rsidRDefault="00C175C9" w:rsidP="0019741F">
      <w:pPr>
        <w:pStyle w:val="ListParagraph"/>
        <w:numPr>
          <w:ilvl w:val="0"/>
          <w:numId w:val="12"/>
        </w:numPr>
        <w:spacing w:before="120" w:after="120" w:line="240" w:lineRule="auto"/>
        <w:jc w:val="both"/>
        <w:rPr>
          <w:szCs w:val="20"/>
          <w:lang w:val="en-GB"/>
        </w:rPr>
      </w:pPr>
      <w:r w:rsidRPr="00091938">
        <w:rPr>
          <w:szCs w:val="20"/>
          <w:lang w:val="en-GB"/>
        </w:rPr>
        <w:t xml:space="preserve">Any continuation or renewal of the programme should fully integrate </w:t>
      </w:r>
      <w:r w:rsidR="00D86DB0">
        <w:rPr>
          <w:szCs w:val="20"/>
          <w:lang w:val="en-GB"/>
        </w:rPr>
        <w:t>the participation of</w:t>
      </w:r>
      <w:r w:rsidRPr="00091938">
        <w:rPr>
          <w:szCs w:val="20"/>
          <w:lang w:val="en-GB"/>
        </w:rPr>
        <w:t xml:space="preserve"> non</w:t>
      </w:r>
      <w:r w:rsidR="00D86DB0">
        <w:rPr>
          <w:szCs w:val="20"/>
          <w:lang w:val="en-GB"/>
        </w:rPr>
        <w:t>-</w:t>
      </w:r>
      <w:r w:rsidRPr="00091938">
        <w:rPr>
          <w:szCs w:val="20"/>
          <w:lang w:val="en-GB"/>
        </w:rPr>
        <w:t>state actors, including civil society</w:t>
      </w:r>
      <w:r w:rsidR="00965D19">
        <w:rPr>
          <w:szCs w:val="20"/>
          <w:lang w:val="en-GB"/>
        </w:rPr>
        <w:t xml:space="preserve"> and national human rights institutions</w:t>
      </w:r>
    </w:p>
    <w:p w14:paraId="49FCB9B4" w14:textId="77777777" w:rsidR="00E03605" w:rsidRPr="00091938" w:rsidRDefault="00E03605" w:rsidP="0019741F">
      <w:pPr>
        <w:spacing w:before="120" w:after="120" w:line="240" w:lineRule="auto"/>
        <w:jc w:val="both"/>
        <w:rPr>
          <w:lang w:val="en-GB"/>
        </w:rPr>
      </w:pPr>
    </w:p>
    <w:p w14:paraId="7F6D1A0F" w14:textId="77777777" w:rsidR="00E03605" w:rsidRPr="00091938" w:rsidRDefault="00E03605" w:rsidP="0019741F">
      <w:pPr>
        <w:pStyle w:val="Heading2"/>
        <w:numPr>
          <w:ilvl w:val="1"/>
          <w:numId w:val="5"/>
        </w:numPr>
        <w:spacing w:before="120" w:after="120" w:line="240" w:lineRule="auto"/>
        <w:rPr>
          <w:rFonts w:asciiTheme="minorHAnsi" w:hAnsiTheme="minorHAnsi"/>
          <w:i/>
          <w:color w:val="C00000"/>
          <w:sz w:val="22"/>
          <w:lang w:val="en-GB"/>
        </w:rPr>
      </w:pPr>
      <w:bookmarkStart w:id="19" w:name="_Toc7787789"/>
      <w:r w:rsidRPr="00091938">
        <w:rPr>
          <w:rFonts w:asciiTheme="minorHAnsi" w:hAnsiTheme="minorHAnsi"/>
          <w:i/>
          <w:color w:val="C00000"/>
          <w:sz w:val="22"/>
          <w:lang w:val="en-GB"/>
        </w:rPr>
        <w:t>Webcasting and videoconferencing</w:t>
      </w:r>
      <w:bookmarkEnd w:id="19"/>
      <w:r w:rsidRPr="00091938">
        <w:rPr>
          <w:rFonts w:asciiTheme="minorHAnsi" w:hAnsiTheme="minorHAnsi"/>
          <w:i/>
          <w:color w:val="C00000"/>
          <w:sz w:val="22"/>
          <w:lang w:val="en-GB"/>
        </w:rPr>
        <w:t xml:space="preserve"> </w:t>
      </w:r>
    </w:p>
    <w:p w14:paraId="178DB254" w14:textId="0782A2A9" w:rsidR="00E03605" w:rsidRPr="00091938" w:rsidRDefault="002332DE" w:rsidP="0019741F">
      <w:pPr>
        <w:spacing w:before="120" w:after="120" w:line="240" w:lineRule="auto"/>
        <w:jc w:val="both"/>
        <w:rPr>
          <w:lang w:val="en-GB"/>
        </w:rPr>
      </w:pPr>
      <w:r w:rsidRPr="00091938">
        <w:rPr>
          <w:lang w:val="en-GB"/>
        </w:rPr>
        <w:t xml:space="preserve">The improvements brought about with the systematic webcasting of all treaty body sessions </w:t>
      </w:r>
      <w:r w:rsidR="00905D8A" w:rsidRPr="00091938">
        <w:rPr>
          <w:lang w:val="en-GB"/>
        </w:rPr>
        <w:t>are far-reaching</w:t>
      </w:r>
      <w:r w:rsidRPr="00091938">
        <w:rPr>
          <w:lang w:val="en-GB"/>
        </w:rPr>
        <w:t xml:space="preserve">. In all world regions, webcasting is making a significant difference in </w:t>
      </w:r>
      <w:r w:rsidR="00D86DB0">
        <w:rPr>
          <w:lang w:val="en-GB"/>
        </w:rPr>
        <w:t>‘</w:t>
      </w:r>
      <w:r w:rsidRPr="00091938">
        <w:rPr>
          <w:lang w:val="en-GB"/>
        </w:rPr>
        <w:t>bringing the treaty bodies home</w:t>
      </w:r>
      <w:r w:rsidR="00D86DB0">
        <w:rPr>
          <w:lang w:val="en-GB"/>
        </w:rPr>
        <w:t>’</w:t>
      </w:r>
      <w:r w:rsidRPr="00091938">
        <w:rPr>
          <w:lang w:val="en-GB"/>
        </w:rPr>
        <w:t xml:space="preserve">, enhancing </w:t>
      </w:r>
      <w:r w:rsidR="00965D19">
        <w:rPr>
          <w:lang w:val="en-GB"/>
        </w:rPr>
        <w:t xml:space="preserve">visibility, </w:t>
      </w:r>
      <w:r w:rsidRPr="00091938">
        <w:rPr>
          <w:lang w:val="en-GB"/>
        </w:rPr>
        <w:t>transparency and accessibility to the system</w:t>
      </w:r>
      <w:r w:rsidR="00965D19">
        <w:rPr>
          <w:lang w:val="en-GB"/>
        </w:rPr>
        <w:t>.</w:t>
      </w:r>
      <w:r w:rsidR="00AE2585" w:rsidRPr="00091938">
        <w:rPr>
          <w:rStyle w:val="FootnoteReference"/>
          <w:lang w:val="en-GB"/>
        </w:rPr>
        <w:footnoteReference w:id="24"/>
      </w:r>
      <w:r w:rsidRPr="00091938">
        <w:rPr>
          <w:lang w:val="en-GB"/>
        </w:rPr>
        <w:t xml:space="preserve"> </w:t>
      </w:r>
    </w:p>
    <w:p w14:paraId="31FF042D" w14:textId="116A9DE5" w:rsidR="00CA258C" w:rsidRPr="00091938" w:rsidRDefault="00A96289" w:rsidP="0019741F">
      <w:pPr>
        <w:spacing w:before="120" w:after="120" w:line="240" w:lineRule="auto"/>
        <w:jc w:val="both"/>
        <w:rPr>
          <w:lang w:val="en-GB"/>
        </w:rPr>
      </w:pPr>
      <w:r w:rsidRPr="00091938">
        <w:rPr>
          <w:lang w:val="en-GB"/>
        </w:rPr>
        <w:t xml:space="preserve">The provision of videoconferencing to interact with states and other stakeholders was </w:t>
      </w:r>
      <w:r w:rsidR="00D86DB0">
        <w:rPr>
          <w:lang w:val="en-GB"/>
        </w:rPr>
        <w:t>also</w:t>
      </w:r>
      <w:r w:rsidRPr="00091938">
        <w:rPr>
          <w:lang w:val="en-GB"/>
        </w:rPr>
        <w:t xml:space="preserve"> a </w:t>
      </w:r>
      <w:r w:rsidR="002C6E46">
        <w:rPr>
          <w:lang w:val="en-GB"/>
        </w:rPr>
        <w:t xml:space="preserve">very </w:t>
      </w:r>
      <w:r w:rsidRPr="00091938">
        <w:rPr>
          <w:lang w:val="en-GB"/>
        </w:rPr>
        <w:t xml:space="preserve">welcome outcome of res. 68/268. </w:t>
      </w:r>
      <w:r w:rsidR="00751919" w:rsidRPr="00091938">
        <w:rPr>
          <w:lang w:val="en-GB"/>
        </w:rPr>
        <w:t xml:space="preserve">Although it is still </w:t>
      </w:r>
      <w:r w:rsidR="00D86DB0">
        <w:rPr>
          <w:lang w:val="en-GB"/>
        </w:rPr>
        <w:t xml:space="preserve">only </w:t>
      </w:r>
      <w:r w:rsidR="00751919" w:rsidRPr="00091938">
        <w:rPr>
          <w:lang w:val="en-GB"/>
        </w:rPr>
        <w:t xml:space="preserve">used </w:t>
      </w:r>
      <w:r w:rsidR="002C6E46">
        <w:rPr>
          <w:lang w:val="en-GB"/>
        </w:rPr>
        <w:t xml:space="preserve">by national users </w:t>
      </w:r>
      <w:r w:rsidR="00751919" w:rsidRPr="00091938">
        <w:rPr>
          <w:lang w:val="en-GB"/>
        </w:rPr>
        <w:t xml:space="preserve">in a minority of reviews, </w:t>
      </w:r>
      <w:r w:rsidR="00264ECA" w:rsidRPr="00091938">
        <w:rPr>
          <w:lang w:val="en-GB"/>
        </w:rPr>
        <w:t>initial</w:t>
      </w:r>
      <w:r w:rsidR="008A7318" w:rsidRPr="00091938">
        <w:rPr>
          <w:lang w:val="en-GB"/>
        </w:rPr>
        <w:t xml:space="preserve"> </w:t>
      </w:r>
      <w:r w:rsidR="00264ECA" w:rsidRPr="00091938">
        <w:rPr>
          <w:lang w:val="en-GB"/>
        </w:rPr>
        <w:t>statistics</w:t>
      </w:r>
      <w:r w:rsidR="00CA38A2" w:rsidRPr="00091938">
        <w:rPr>
          <w:lang w:val="en-GB"/>
        </w:rPr>
        <w:t xml:space="preserve"> </w:t>
      </w:r>
      <w:r w:rsidR="008A7318" w:rsidRPr="00091938">
        <w:rPr>
          <w:lang w:val="en-GB"/>
        </w:rPr>
        <w:t>point to an increase in use</w:t>
      </w:r>
      <w:r w:rsidR="00965D19">
        <w:rPr>
          <w:lang w:val="en-GB"/>
        </w:rPr>
        <w:t>.</w:t>
      </w:r>
      <w:r w:rsidR="00751919" w:rsidRPr="00091938">
        <w:rPr>
          <w:rStyle w:val="FootnoteReference"/>
          <w:lang w:val="en-GB"/>
        </w:rPr>
        <w:footnoteReference w:id="25"/>
      </w:r>
    </w:p>
    <w:p w14:paraId="1F500D03" w14:textId="77777777" w:rsidR="00CA258C" w:rsidRPr="00091938" w:rsidRDefault="00CA258C" w:rsidP="0019741F">
      <w:pPr>
        <w:spacing w:before="120" w:after="120" w:line="240" w:lineRule="auto"/>
        <w:jc w:val="both"/>
        <w:rPr>
          <w:lang w:val="en-GB"/>
        </w:rPr>
      </w:pPr>
    </w:p>
    <w:p w14:paraId="5D0FFDAF" w14:textId="77777777" w:rsidR="00CA258C" w:rsidRPr="00091938" w:rsidRDefault="00CA258C" w:rsidP="0019741F">
      <w:pPr>
        <w:pStyle w:val="ListParagraph"/>
        <w:numPr>
          <w:ilvl w:val="0"/>
          <w:numId w:val="13"/>
        </w:numPr>
        <w:spacing w:before="120" w:after="120" w:line="240" w:lineRule="auto"/>
        <w:jc w:val="both"/>
        <w:rPr>
          <w:color w:val="C00000"/>
          <w:szCs w:val="20"/>
          <w:lang w:val="en-GB"/>
        </w:rPr>
      </w:pPr>
      <w:r w:rsidRPr="00091938">
        <w:rPr>
          <w:color w:val="C00000"/>
          <w:szCs w:val="20"/>
          <w:lang w:val="en-GB"/>
        </w:rPr>
        <w:t>Recommendations</w:t>
      </w:r>
    </w:p>
    <w:p w14:paraId="49841B5C" w14:textId="2C7E3B54" w:rsidR="00CA258C" w:rsidRDefault="00CA258C" w:rsidP="0019741F">
      <w:pPr>
        <w:pStyle w:val="ListParagraph"/>
        <w:numPr>
          <w:ilvl w:val="0"/>
          <w:numId w:val="12"/>
        </w:numPr>
        <w:spacing w:before="120" w:after="120" w:line="240" w:lineRule="auto"/>
        <w:jc w:val="both"/>
        <w:rPr>
          <w:szCs w:val="20"/>
          <w:lang w:val="en-GB"/>
        </w:rPr>
      </w:pPr>
      <w:r w:rsidRPr="00091938">
        <w:rPr>
          <w:szCs w:val="20"/>
          <w:lang w:val="en-GB"/>
        </w:rPr>
        <w:t>As recommended in the previous report of the Secretary General, webcasting</w:t>
      </w:r>
      <w:r w:rsidR="00292F11" w:rsidRPr="00091938">
        <w:rPr>
          <w:szCs w:val="20"/>
          <w:lang w:val="en-GB"/>
        </w:rPr>
        <w:t xml:space="preserve"> and videoconferencing</w:t>
      </w:r>
      <w:r w:rsidRPr="00091938">
        <w:rPr>
          <w:szCs w:val="20"/>
          <w:lang w:val="en-GB"/>
        </w:rPr>
        <w:t xml:space="preserve"> should be funded through regular budget resources</w:t>
      </w:r>
      <w:r w:rsidRPr="00091938">
        <w:rPr>
          <w:rStyle w:val="FootnoteReference"/>
          <w:szCs w:val="20"/>
          <w:lang w:val="en-GB"/>
        </w:rPr>
        <w:footnoteReference w:id="26"/>
      </w:r>
      <w:r w:rsidRPr="00091938">
        <w:rPr>
          <w:szCs w:val="20"/>
          <w:lang w:val="en-GB"/>
        </w:rPr>
        <w:t>.</w:t>
      </w:r>
    </w:p>
    <w:p w14:paraId="01B6CF40" w14:textId="5CA4C71D" w:rsidR="002C6E46" w:rsidRPr="00091938" w:rsidRDefault="002C6E46" w:rsidP="0019741F">
      <w:pPr>
        <w:pStyle w:val="ListParagraph"/>
        <w:numPr>
          <w:ilvl w:val="0"/>
          <w:numId w:val="12"/>
        </w:numPr>
        <w:spacing w:before="120" w:after="120" w:line="240" w:lineRule="auto"/>
        <w:jc w:val="both"/>
        <w:rPr>
          <w:szCs w:val="20"/>
          <w:lang w:val="en-GB"/>
        </w:rPr>
      </w:pPr>
      <w:r>
        <w:rPr>
          <w:szCs w:val="20"/>
          <w:lang w:val="en-GB"/>
        </w:rPr>
        <w:t xml:space="preserve">The video archives of reviews should be indexed and searchable with relevant criteria, including speakers and/or themes. </w:t>
      </w:r>
    </w:p>
    <w:p w14:paraId="6C1A6AC4" w14:textId="1DD35FF3" w:rsidR="00D654D7" w:rsidRPr="00091938" w:rsidRDefault="001B2BCE" w:rsidP="0019741F">
      <w:pPr>
        <w:pStyle w:val="ListParagraph"/>
        <w:numPr>
          <w:ilvl w:val="0"/>
          <w:numId w:val="12"/>
        </w:numPr>
        <w:spacing w:before="120" w:after="120" w:line="240" w:lineRule="auto"/>
        <w:jc w:val="both"/>
        <w:rPr>
          <w:szCs w:val="20"/>
          <w:lang w:val="en-GB"/>
        </w:rPr>
      </w:pPr>
      <w:r w:rsidRPr="00091938">
        <w:rPr>
          <w:szCs w:val="20"/>
          <w:lang w:val="en-GB"/>
        </w:rPr>
        <w:t xml:space="preserve">The use of videoconferencing should continue to be proposed in situations where face-to-face interaction with stakeholders is not possible, but only as a last resort. Videoconferencing is all the more </w:t>
      </w:r>
      <w:r w:rsidR="00D86DB0">
        <w:rPr>
          <w:szCs w:val="20"/>
          <w:lang w:val="en-GB"/>
        </w:rPr>
        <w:t>necessary</w:t>
      </w:r>
      <w:r w:rsidR="00D86DB0" w:rsidRPr="00091938">
        <w:rPr>
          <w:szCs w:val="20"/>
          <w:lang w:val="en-GB"/>
        </w:rPr>
        <w:t xml:space="preserve"> </w:t>
      </w:r>
      <w:r w:rsidRPr="00091938">
        <w:rPr>
          <w:szCs w:val="20"/>
          <w:lang w:val="en-GB"/>
        </w:rPr>
        <w:t>and helpful for smaller and lesser-resourced countries</w:t>
      </w:r>
      <w:r w:rsidR="00292F11" w:rsidRPr="00091938">
        <w:rPr>
          <w:szCs w:val="20"/>
          <w:lang w:val="en-GB"/>
        </w:rPr>
        <w:t>,</w:t>
      </w:r>
      <w:r w:rsidRPr="00091938">
        <w:rPr>
          <w:szCs w:val="20"/>
          <w:lang w:val="en-GB"/>
        </w:rPr>
        <w:t xml:space="preserve"> </w:t>
      </w:r>
      <w:r w:rsidR="00965D19">
        <w:rPr>
          <w:szCs w:val="20"/>
          <w:lang w:val="en-GB"/>
        </w:rPr>
        <w:t xml:space="preserve">for civil society who lack the resources to travel or are restricted in travelling, </w:t>
      </w:r>
      <w:r w:rsidRPr="00091938">
        <w:rPr>
          <w:szCs w:val="20"/>
          <w:lang w:val="en-GB"/>
        </w:rPr>
        <w:t xml:space="preserve">and to </w:t>
      </w:r>
      <w:r w:rsidR="00D86DB0">
        <w:rPr>
          <w:szCs w:val="20"/>
          <w:lang w:val="en-GB"/>
        </w:rPr>
        <w:t xml:space="preserve">minimise </w:t>
      </w:r>
      <w:r w:rsidRPr="00091938">
        <w:rPr>
          <w:szCs w:val="20"/>
          <w:lang w:val="en-GB"/>
        </w:rPr>
        <w:t xml:space="preserve"> </w:t>
      </w:r>
      <w:r w:rsidR="00965D19">
        <w:rPr>
          <w:szCs w:val="20"/>
          <w:lang w:val="en-GB"/>
        </w:rPr>
        <w:t xml:space="preserve">the </w:t>
      </w:r>
      <w:r w:rsidR="00093143" w:rsidRPr="00091938">
        <w:rPr>
          <w:szCs w:val="20"/>
          <w:lang w:val="en-GB"/>
        </w:rPr>
        <w:t xml:space="preserve">global </w:t>
      </w:r>
      <w:r w:rsidRPr="00091938">
        <w:rPr>
          <w:szCs w:val="20"/>
          <w:lang w:val="en-GB"/>
        </w:rPr>
        <w:t>carbon footprint.</w:t>
      </w:r>
    </w:p>
    <w:p w14:paraId="4C7ED2F2" w14:textId="77777777" w:rsidR="00EC4590" w:rsidRPr="00091938" w:rsidRDefault="00EC4590" w:rsidP="0019741F">
      <w:pPr>
        <w:spacing w:before="120" w:after="120" w:line="240" w:lineRule="auto"/>
        <w:jc w:val="both"/>
        <w:rPr>
          <w:lang w:val="en-GB"/>
        </w:rPr>
      </w:pPr>
    </w:p>
    <w:p w14:paraId="386F5D90" w14:textId="77777777" w:rsidR="00E03605" w:rsidRPr="00091938" w:rsidRDefault="00655640" w:rsidP="0019741F">
      <w:pPr>
        <w:pStyle w:val="Heading2"/>
        <w:numPr>
          <w:ilvl w:val="1"/>
          <w:numId w:val="5"/>
        </w:numPr>
        <w:spacing w:before="120" w:after="120" w:line="240" w:lineRule="auto"/>
        <w:rPr>
          <w:rFonts w:asciiTheme="minorHAnsi" w:hAnsiTheme="minorHAnsi"/>
          <w:i/>
          <w:color w:val="C00000"/>
          <w:sz w:val="22"/>
          <w:lang w:val="en-GB"/>
        </w:rPr>
      </w:pPr>
      <w:bookmarkStart w:id="20" w:name="_Toc7787790"/>
      <w:r w:rsidRPr="00091938">
        <w:rPr>
          <w:rFonts w:asciiTheme="minorHAnsi" w:hAnsiTheme="minorHAnsi"/>
          <w:i/>
          <w:color w:val="C00000"/>
          <w:sz w:val="22"/>
          <w:lang w:val="en-GB"/>
        </w:rPr>
        <w:t>Public information</w:t>
      </w:r>
      <w:bookmarkEnd w:id="20"/>
    </w:p>
    <w:p w14:paraId="23653A60" w14:textId="20EECC33" w:rsidR="00370442" w:rsidRPr="00091938" w:rsidRDefault="00E63AC5" w:rsidP="0019741F">
      <w:pPr>
        <w:spacing w:before="120" w:after="120" w:line="240" w:lineRule="auto"/>
        <w:jc w:val="both"/>
        <w:rPr>
          <w:lang w:val="en-GB"/>
        </w:rPr>
      </w:pPr>
      <w:r w:rsidRPr="00091938">
        <w:rPr>
          <w:lang w:val="en-GB"/>
        </w:rPr>
        <w:t xml:space="preserve">The main developments related to public information about the treaty bodies’ work are the </w:t>
      </w:r>
      <w:r w:rsidR="00D86DB0">
        <w:rPr>
          <w:lang w:val="en-GB"/>
        </w:rPr>
        <w:t>universal practice</w:t>
      </w:r>
      <w:r w:rsidR="00D86DB0" w:rsidRPr="00091938">
        <w:rPr>
          <w:lang w:val="en-GB"/>
        </w:rPr>
        <w:t xml:space="preserve"> </w:t>
      </w:r>
      <w:r w:rsidRPr="00091938">
        <w:rPr>
          <w:lang w:val="en-GB"/>
        </w:rPr>
        <w:t>of webcasting and the option of videoconferencing.</w:t>
      </w:r>
    </w:p>
    <w:p w14:paraId="7D7D3F46" w14:textId="77777777" w:rsidR="00E63AC5" w:rsidRPr="00091938" w:rsidRDefault="00E63AC5" w:rsidP="0019741F">
      <w:pPr>
        <w:spacing w:before="120" w:after="120" w:line="240" w:lineRule="auto"/>
        <w:jc w:val="both"/>
        <w:rPr>
          <w:lang w:val="en-GB"/>
        </w:rPr>
      </w:pPr>
      <w:r w:rsidRPr="00091938">
        <w:rPr>
          <w:lang w:val="en-GB"/>
        </w:rPr>
        <w:t xml:space="preserve">Despite these significant advances, ISHR has identified </w:t>
      </w:r>
      <w:r w:rsidR="00E03960" w:rsidRPr="00091938">
        <w:rPr>
          <w:lang w:val="en-GB"/>
        </w:rPr>
        <w:t>significant ongoing</w:t>
      </w:r>
      <w:r w:rsidRPr="00091938">
        <w:rPr>
          <w:lang w:val="en-GB"/>
        </w:rPr>
        <w:t xml:space="preserve"> information sharing gaps in various areas of treaty bodies</w:t>
      </w:r>
      <w:r w:rsidR="00965D19">
        <w:rPr>
          <w:lang w:val="en-GB"/>
        </w:rPr>
        <w:t>’</w:t>
      </w:r>
      <w:r w:rsidRPr="00091938">
        <w:rPr>
          <w:lang w:val="en-GB"/>
        </w:rPr>
        <w:t xml:space="preserve"> work. Those include, but are not limited to:</w:t>
      </w:r>
    </w:p>
    <w:p w14:paraId="48F16ECB" w14:textId="77777777" w:rsidR="006F1701" w:rsidRPr="00091938" w:rsidRDefault="00DD7E34" w:rsidP="0019741F">
      <w:pPr>
        <w:pStyle w:val="ListParagraph"/>
        <w:numPr>
          <w:ilvl w:val="0"/>
          <w:numId w:val="14"/>
        </w:numPr>
        <w:spacing w:before="120" w:after="120" w:line="240" w:lineRule="auto"/>
        <w:jc w:val="both"/>
        <w:rPr>
          <w:lang w:val="en-GB"/>
        </w:rPr>
      </w:pPr>
      <w:r w:rsidRPr="00091938">
        <w:rPr>
          <w:b/>
          <w:lang w:val="en-GB"/>
        </w:rPr>
        <w:t>Publication and ongoing updating of individual communications</w:t>
      </w:r>
      <w:r w:rsidR="0042104C" w:rsidRPr="00091938">
        <w:rPr>
          <w:b/>
          <w:lang w:val="en-GB"/>
        </w:rPr>
        <w:t xml:space="preserve"> pending review</w:t>
      </w:r>
      <w:r w:rsidRPr="00091938">
        <w:rPr>
          <w:b/>
          <w:lang w:val="en-GB"/>
        </w:rPr>
        <w:t xml:space="preserve"> by the treaty bodies</w:t>
      </w:r>
    </w:p>
    <w:p w14:paraId="71344014" w14:textId="0719CA50" w:rsidR="00655640" w:rsidRPr="00091938" w:rsidRDefault="006F1701" w:rsidP="0019741F">
      <w:pPr>
        <w:spacing w:before="120" w:after="120" w:line="240" w:lineRule="auto"/>
        <w:jc w:val="both"/>
        <w:rPr>
          <w:lang w:val="en-GB"/>
        </w:rPr>
      </w:pPr>
      <w:r w:rsidRPr="00091938">
        <w:rPr>
          <w:lang w:val="en-GB"/>
        </w:rPr>
        <w:t>I</w:t>
      </w:r>
      <w:r w:rsidR="00CF1670" w:rsidRPr="00091938">
        <w:rPr>
          <w:lang w:val="en-GB"/>
        </w:rPr>
        <w:t>n a welcome development, some treaty bodies such as the CESCR</w:t>
      </w:r>
      <w:r w:rsidR="00965D19">
        <w:rPr>
          <w:lang w:val="en-GB"/>
        </w:rPr>
        <w:t>,</w:t>
      </w:r>
      <w:r w:rsidR="00CF1670" w:rsidRPr="00091938">
        <w:rPr>
          <w:rStyle w:val="FootnoteReference"/>
          <w:lang w:val="en-GB"/>
        </w:rPr>
        <w:footnoteReference w:id="27"/>
      </w:r>
      <w:r w:rsidR="00CF1670" w:rsidRPr="00091938">
        <w:rPr>
          <w:lang w:val="en-GB"/>
        </w:rPr>
        <w:t xml:space="preserve"> Human Rights Committee</w:t>
      </w:r>
      <w:r w:rsidR="00965D19">
        <w:rPr>
          <w:lang w:val="en-GB"/>
        </w:rPr>
        <w:t>,</w:t>
      </w:r>
      <w:r w:rsidR="00CF1670" w:rsidRPr="00091938">
        <w:rPr>
          <w:rStyle w:val="FootnoteReference"/>
          <w:lang w:val="en-GB"/>
        </w:rPr>
        <w:footnoteReference w:id="28"/>
      </w:r>
      <w:r w:rsidR="00782699" w:rsidRPr="00091938">
        <w:rPr>
          <w:lang w:val="en-GB"/>
        </w:rPr>
        <w:t xml:space="preserve"> </w:t>
      </w:r>
      <w:r w:rsidR="00193E87" w:rsidRPr="00091938">
        <w:rPr>
          <w:lang w:val="en-GB"/>
        </w:rPr>
        <w:t>CEDAW</w:t>
      </w:r>
      <w:r w:rsidR="00965D19">
        <w:rPr>
          <w:lang w:val="en-GB"/>
        </w:rPr>
        <w:t>,</w:t>
      </w:r>
      <w:r w:rsidR="00193E87" w:rsidRPr="00091938">
        <w:rPr>
          <w:rStyle w:val="FootnoteReference"/>
          <w:lang w:val="en-GB"/>
        </w:rPr>
        <w:footnoteReference w:id="29"/>
      </w:r>
      <w:r w:rsidR="00193E87" w:rsidRPr="00091938">
        <w:rPr>
          <w:lang w:val="en-GB"/>
        </w:rPr>
        <w:t xml:space="preserve"> </w:t>
      </w:r>
      <w:r w:rsidR="00AF5388" w:rsidRPr="00091938">
        <w:rPr>
          <w:lang w:val="en-GB"/>
        </w:rPr>
        <w:t>CRC</w:t>
      </w:r>
      <w:r w:rsidR="00AF5388" w:rsidRPr="00091938">
        <w:rPr>
          <w:rStyle w:val="FootnoteReference"/>
          <w:lang w:val="en-GB"/>
        </w:rPr>
        <w:footnoteReference w:id="30"/>
      </w:r>
      <w:r w:rsidR="00AF5388" w:rsidRPr="00091938">
        <w:rPr>
          <w:lang w:val="en-GB"/>
        </w:rPr>
        <w:t xml:space="preserve"> and </w:t>
      </w:r>
      <w:r w:rsidR="00782699" w:rsidRPr="00091938">
        <w:rPr>
          <w:lang w:val="en-GB"/>
        </w:rPr>
        <w:t>CRPD</w:t>
      </w:r>
      <w:r w:rsidR="00782699" w:rsidRPr="00091938">
        <w:rPr>
          <w:rStyle w:val="FootnoteReference"/>
          <w:lang w:val="en-GB"/>
        </w:rPr>
        <w:footnoteReference w:id="31"/>
      </w:r>
      <w:r w:rsidR="00CF1670" w:rsidRPr="00091938">
        <w:rPr>
          <w:lang w:val="en-GB"/>
        </w:rPr>
        <w:t xml:space="preserve"> have started publicising lists of cases pending review.</w:t>
      </w:r>
      <w:r w:rsidR="00345718" w:rsidRPr="00091938">
        <w:rPr>
          <w:lang w:val="en-GB"/>
        </w:rPr>
        <w:t xml:space="preserve"> The establishment of the database juris.ohchr.org constitutes another very welcome development to enhance public access to information on treaty body jurisprudence.</w:t>
      </w:r>
      <w:r w:rsidR="00CF1670" w:rsidRPr="00091938">
        <w:rPr>
          <w:lang w:val="en-GB"/>
        </w:rPr>
        <w:t xml:space="preserve"> Nonetheless, </w:t>
      </w:r>
      <w:r w:rsidR="00713F42" w:rsidRPr="00091938">
        <w:rPr>
          <w:lang w:val="en-GB"/>
        </w:rPr>
        <w:t>the tables of cases pending review</w:t>
      </w:r>
      <w:r w:rsidR="00CF1670" w:rsidRPr="00091938">
        <w:rPr>
          <w:lang w:val="en-GB"/>
        </w:rPr>
        <w:t xml:space="preserve"> do not seem to be updated </w:t>
      </w:r>
      <w:r w:rsidR="00652873">
        <w:rPr>
          <w:lang w:val="en-GB"/>
        </w:rPr>
        <w:t>consistently</w:t>
      </w:r>
      <w:r w:rsidR="00CF1670" w:rsidRPr="00091938">
        <w:rPr>
          <w:lang w:val="en-GB"/>
        </w:rPr>
        <w:t>, and some treaty bodies such as CERD</w:t>
      </w:r>
      <w:r w:rsidR="00AF5388" w:rsidRPr="00091938">
        <w:rPr>
          <w:lang w:val="en-GB"/>
        </w:rPr>
        <w:t xml:space="preserve"> and CED</w:t>
      </w:r>
      <w:r w:rsidR="00CF1670" w:rsidRPr="00091938">
        <w:rPr>
          <w:lang w:val="en-GB"/>
        </w:rPr>
        <w:t xml:space="preserve"> do not publicise updated lists of cases pending review</w:t>
      </w:r>
      <w:r w:rsidR="00965D19">
        <w:rPr>
          <w:lang w:val="en-GB"/>
        </w:rPr>
        <w:t>.</w:t>
      </w:r>
      <w:r w:rsidR="00345718" w:rsidRPr="00091938">
        <w:rPr>
          <w:rStyle w:val="FootnoteReference"/>
          <w:lang w:val="en-GB"/>
        </w:rPr>
        <w:footnoteReference w:id="32"/>
      </w:r>
      <w:r w:rsidR="00CF1670" w:rsidRPr="00091938">
        <w:rPr>
          <w:lang w:val="en-GB"/>
        </w:rPr>
        <w:t xml:space="preserve"> </w:t>
      </w:r>
      <w:r w:rsidR="00713F42" w:rsidRPr="00091938">
        <w:rPr>
          <w:lang w:val="en-GB"/>
        </w:rPr>
        <w:t xml:space="preserve">Furthermore, no details or </w:t>
      </w:r>
      <w:r w:rsidR="00652873" w:rsidRPr="00091938">
        <w:rPr>
          <w:lang w:val="en-GB"/>
        </w:rPr>
        <w:t>summar</w:t>
      </w:r>
      <w:r w:rsidR="00652873">
        <w:rPr>
          <w:lang w:val="en-GB"/>
        </w:rPr>
        <w:t>ies</w:t>
      </w:r>
      <w:r w:rsidR="00652873" w:rsidRPr="00091938">
        <w:rPr>
          <w:lang w:val="en-GB"/>
        </w:rPr>
        <w:t xml:space="preserve"> </w:t>
      </w:r>
      <w:r w:rsidR="00713F42" w:rsidRPr="00091938">
        <w:rPr>
          <w:lang w:val="en-GB"/>
        </w:rPr>
        <w:t xml:space="preserve">of the cases are provided. </w:t>
      </w:r>
      <w:r w:rsidR="00CF1670" w:rsidRPr="00091938">
        <w:rPr>
          <w:lang w:val="en-GB"/>
        </w:rPr>
        <w:t xml:space="preserve">Such information is vital for interested third parties, especially NGOs with an interest </w:t>
      </w:r>
      <w:r w:rsidR="00965D19">
        <w:rPr>
          <w:lang w:val="en-GB"/>
        </w:rPr>
        <w:t xml:space="preserve">and expertise </w:t>
      </w:r>
      <w:r w:rsidR="00CF1670" w:rsidRPr="00091938">
        <w:rPr>
          <w:lang w:val="en-GB"/>
        </w:rPr>
        <w:t>in the subject matter</w:t>
      </w:r>
      <w:r w:rsidR="00965D19">
        <w:rPr>
          <w:lang w:val="en-GB"/>
        </w:rPr>
        <w:t xml:space="preserve"> who may be able to inform the treaty bodies in their expert deliberations</w:t>
      </w:r>
      <w:r w:rsidR="00CF1670" w:rsidRPr="00091938">
        <w:rPr>
          <w:lang w:val="en-GB"/>
        </w:rPr>
        <w:t xml:space="preserve">. </w:t>
      </w:r>
      <w:r w:rsidR="000C13B3" w:rsidRPr="00091938">
        <w:rPr>
          <w:lang w:val="en-GB"/>
        </w:rPr>
        <w:t xml:space="preserve">This </w:t>
      </w:r>
      <w:r w:rsidR="003619A3" w:rsidRPr="00091938">
        <w:rPr>
          <w:lang w:val="en-GB"/>
        </w:rPr>
        <w:t>limited</w:t>
      </w:r>
      <w:r w:rsidR="000C13B3" w:rsidRPr="00091938">
        <w:rPr>
          <w:lang w:val="en-GB"/>
        </w:rPr>
        <w:t xml:space="preserve"> transparency makes third party </w:t>
      </w:r>
      <w:r w:rsidR="00965D19">
        <w:rPr>
          <w:lang w:val="en-GB"/>
        </w:rPr>
        <w:t xml:space="preserve">and amicus curiae </w:t>
      </w:r>
      <w:r w:rsidR="000C13B3" w:rsidRPr="00091938">
        <w:rPr>
          <w:lang w:val="en-GB"/>
        </w:rPr>
        <w:t xml:space="preserve">interventions very difficult. </w:t>
      </w:r>
      <w:r w:rsidR="00CF1670" w:rsidRPr="00091938">
        <w:rPr>
          <w:lang w:val="en-GB"/>
        </w:rPr>
        <w:t>Treaty bodies ought to follow the good practices established by mechanisms such as the European Court of Human Rights</w:t>
      </w:r>
      <w:r w:rsidRPr="00091938">
        <w:rPr>
          <w:rStyle w:val="FootnoteReference"/>
          <w:lang w:val="en-GB"/>
        </w:rPr>
        <w:footnoteReference w:id="33"/>
      </w:r>
      <w:r w:rsidR="00CF1670" w:rsidRPr="00091938">
        <w:rPr>
          <w:lang w:val="en-GB"/>
        </w:rPr>
        <w:t xml:space="preserve"> </w:t>
      </w:r>
      <w:r w:rsidR="00965D19">
        <w:rPr>
          <w:lang w:val="en-GB"/>
        </w:rPr>
        <w:t>in this regard</w:t>
      </w:r>
      <w:r w:rsidR="00CF1670" w:rsidRPr="00091938">
        <w:rPr>
          <w:lang w:val="en-GB"/>
        </w:rPr>
        <w:t xml:space="preserve">. </w:t>
      </w:r>
    </w:p>
    <w:p w14:paraId="7C8B3367" w14:textId="77777777" w:rsidR="00EC4F6A" w:rsidRPr="00091938" w:rsidRDefault="00EC4F6A" w:rsidP="0019741F">
      <w:pPr>
        <w:spacing w:before="120" w:after="120" w:line="240" w:lineRule="auto"/>
        <w:jc w:val="both"/>
        <w:rPr>
          <w:lang w:val="en-GB"/>
        </w:rPr>
      </w:pPr>
    </w:p>
    <w:p w14:paraId="033FE53E" w14:textId="77777777" w:rsidR="00A766BD" w:rsidRPr="00091938" w:rsidRDefault="00B52280" w:rsidP="0019741F">
      <w:pPr>
        <w:pStyle w:val="ListParagraph"/>
        <w:numPr>
          <w:ilvl w:val="0"/>
          <w:numId w:val="14"/>
        </w:numPr>
        <w:spacing w:before="120" w:after="120" w:line="240" w:lineRule="auto"/>
        <w:rPr>
          <w:b/>
          <w:lang w:val="en-GB"/>
        </w:rPr>
      </w:pPr>
      <w:r w:rsidRPr="00091938">
        <w:rPr>
          <w:b/>
          <w:lang w:val="en-GB"/>
        </w:rPr>
        <w:t>Information on</w:t>
      </w:r>
      <w:r w:rsidR="00A766BD" w:rsidRPr="00091938">
        <w:rPr>
          <w:b/>
          <w:lang w:val="en-GB"/>
        </w:rPr>
        <w:t xml:space="preserve"> follow up </w:t>
      </w:r>
    </w:p>
    <w:p w14:paraId="454A2183" w14:textId="5AED4570" w:rsidR="000F6161" w:rsidRPr="00091938" w:rsidRDefault="00E03960" w:rsidP="0019741F">
      <w:pPr>
        <w:pStyle w:val="Header"/>
        <w:spacing w:before="120" w:after="120"/>
        <w:jc w:val="both"/>
        <w:rPr>
          <w:lang w:val="en-GB"/>
        </w:rPr>
      </w:pPr>
      <w:r w:rsidRPr="00091938">
        <w:rPr>
          <w:lang w:val="en-GB"/>
        </w:rPr>
        <w:t xml:space="preserve">The expert meeting on follow-up to treaty body recommendations organised in October 2017 </w:t>
      </w:r>
      <w:r w:rsidR="00FF721F" w:rsidRPr="00091938">
        <w:rPr>
          <w:lang w:val="en-GB"/>
        </w:rPr>
        <w:t>i</w:t>
      </w:r>
      <w:r w:rsidRPr="00091938">
        <w:rPr>
          <w:lang w:val="en-GB"/>
        </w:rPr>
        <w:t>dentified fundamental issues related to civil society engagement in the follow up procedure of treaty bodies</w:t>
      </w:r>
      <w:r w:rsidR="00965D19">
        <w:rPr>
          <w:lang w:val="en-GB"/>
        </w:rPr>
        <w:t>.</w:t>
      </w:r>
      <w:r w:rsidRPr="00091938">
        <w:rPr>
          <w:rStyle w:val="FootnoteReference"/>
          <w:lang w:val="en-GB"/>
        </w:rPr>
        <w:footnoteReference w:id="34"/>
      </w:r>
      <w:r w:rsidR="00FF721F" w:rsidRPr="00091938">
        <w:rPr>
          <w:lang w:val="en-GB"/>
        </w:rPr>
        <w:t xml:space="preserve"> </w:t>
      </w:r>
      <w:r w:rsidR="005D752F" w:rsidRPr="00091938">
        <w:rPr>
          <w:lang w:val="en-GB"/>
        </w:rPr>
        <w:t>As noted in the report</w:t>
      </w:r>
      <w:r w:rsidR="00FF721F" w:rsidRPr="00091938">
        <w:rPr>
          <w:lang w:val="en-GB"/>
        </w:rPr>
        <w:t xml:space="preserve"> </w:t>
      </w:r>
      <w:r w:rsidR="00A766BD" w:rsidRPr="00091938">
        <w:rPr>
          <w:lang w:val="en-GB"/>
        </w:rPr>
        <w:t>“</w:t>
      </w:r>
      <w:r w:rsidR="005D752F" w:rsidRPr="00091938">
        <w:rPr>
          <w:lang w:val="en-GB"/>
        </w:rPr>
        <w:t xml:space="preserve">the </w:t>
      </w:r>
      <w:r w:rsidR="00A766BD" w:rsidRPr="00091938">
        <w:rPr>
          <w:lang w:val="en-GB"/>
        </w:rPr>
        <w:t>follow-up procedure is important and there is a need to engage civil society through more accessible information”</w:t>
      </w:r>
      <w:r w:rsidR="00965D19">
        <w:rPr>
          <w:lang w:val="en-GB"/>
        </w:rPr>
        <w:t>.</w:t>
      </w:r>
      <w:r w:rsidR="00FF721F" w:rsidRPr="00091938">
        <w:rPr>
          <w:rStyle w:val="FootnoteReference"/>
          <w:lang w:val="en-GB"/>
        </w:rPr>
        <w:footnoteReference w:id="35"/>
      </w:r>
      <w:r w:rsidR="00FF721F" w:rsidRPr="00091938">
        <w:rPr>
          <w:lang w:val="en-GB"/>
        </w:rPr>
        <w:t xml:space="preserve"> </w:t>
      </w:r>
      <w:r w:rsidR="00A766BD" w:rsidRPr="00091938">
        <w:rPr>
          <w:lang w:val="en-GB"/>
        </w:rPr>
        <w:t xml:space="preserve">“Any </w:t>
      </w:r>
      <w:r w:rsidR="00A766BD" w:rsidRPr="00091938">
        <w:rPr>
          <w:rFonts w:eastAsiaTheme="minorEastAsia"/>
          <w:lang w:val="en-GB"/>
        </w:rPr>
        <w:t>CS</w:t>
      </w:r>
      <w:r w:rsidR="00A766BD" w:rsidRPr="00091938">
        <w:rPr>
          <w:lang w:val="en-GB"/>
        </w:rPr>
        <w:t>O that wants to make a submission, can do so…But more publicity should be given to the follow-up procedures in the countries”</w:t>
      </w:r>
      <w:r w:rsidR="00965D19">
        <w:rPr>
          <w:lang w:val="en-GB"/>
        </w:rPr>
        <w:t>.</w:t>
      </w:r>
      <w:r w:rsidR="00FF721F" w:rsidRPr="00091938">
        <w:rPr>
          <w:rStyle w:val="FootnoteReference"/>
          <w:lang w:val="en-GB"/>
        </w:rPr>
        <w:footnoteReference w:id="36"/>
      </w:r>
      <w:r w:rsidR="00A766BD" w:rsidRPr="00091938">
        <w:rPr>
          <w:lang w:val="en-GB"/>
        </w:rPr>
        <w:t xml:space="preserve"> </w:t>
      </w:r>
      <w:r w:rsidR="000F6161" w:rsidRPr="00091938">
        <w:rPr>
          <w:lang w:val="en-GB"/>
        </w:rPr>
        <w:t xml:space="preserve"> </w:t>
      </w:r>
    </w:p>
    <w:p w14:paraId="47F47BF4" w14:textId="5B8DBA1E" w:rsidR="00364A07" w:rsidRPr="00091938" w:rsidRDefault="000F6161" w:rsidP="0019741F">
      <w:pPr>
        <w:pStyle w:val="Header"/>
        <w:spacing w:before="120" w:after="120"/>
        <w:jc w:val="both"/>
        <w:rPr>
          <w:lang w:val="en-GB"/>
        </w:rPr>
      </w:pPr>
      <w:r w:rsidRPr="00091938">
        <w:rPr>
          <w:lang w:val="en-GB"/>
        </w:rPr>
        <w:t xml:space="preserve">On the </w:t>
      </w:r>
      <w:r w:rsidR="001C3E90">
        <w:rPr>
          <w:lang w:val="en-GB"/>
        </w:rPr>
        <w:t>important</w:t>
      </w:r>
      <w:r w:rsidRPr="00091938">
        <w:rPr>
          <w:lang w:val="en-GB"/>
        </w:rPr>
        <w:t xml:space="preserve"> question of predictability </w:t>
      </w:r>
      <w:r w:rsidR="005D752F" w:rsidRPr="00091938">
        <w:rPr>
          <w:lang w:val="en-GB"/>
        </w:rPr>
        <w:t>of</w:t>
      </w:r>
      <w:r w:rsidRPr="00091938">
        <w:rPr>
          <w:lang w:val="en-GB"/>
        </w:rPr>
        <w:t xml:space="preserve"> follow up assessments</w:t>
      </w:r>
      <w:r w:rsidR="00965D19">
        <w:rPr>
          <w:lang w:val="en-GB"/>
        </w:rPr>
        <w:t>,</w:t>
      </w:r>
      <w:r w:rsidRPr="00091938">
        <w:rPr>
          <w:lang w:val="en-GB"/>
        </w:rPr>
        <w:t xml:space="preserve"> </w:t>
      </w:r>
      <w:r w:rsidR="005D752F" w:rsidRPr="00091938">
        <w:rPr>
          <w:lang w:val="en-GB"/>
        </w:rPr>
        <w:t>the report rightly noted that</w:t>
      </w:r>
      <w:r w:rsidRPr="00091938">
        <w:rPr>
          <w:lang w:val="en-GB"/>
        </w:rPr>
        <w:t xml:space="preserve"> </w:t>
      </w:r>
      <w:r w:rsidR="00364A07" w:rsidRPr="00091938">
        <w:rPr>
          <w:lang w:val="en-GB"/>
        </w:rPr>
        <w:t xml:space="preserve">“It should </w:t>
      </w:r>
      <w:r w:rsidRPr="00091938">
        <w:rPr>
          <w:lang w:val="en-GB"/>
        </w:rPr>
        <w:t>..</w:t>
      </w:r>
      <w:r w:rsidR="00364A07" w:rsidRPr="00091938">
        <w:rPr>
          <w:lang w:val="en-GB"/>
        </w:rPr>
        <w:t xml:space="preserve"> be clear during which session a view is going to be considered”</w:t>
      </w:r>
      <w:r w:rsidR="00965D19">
        <w:rPr>
          <w:lang w:val="en-GB"/>
        </w:rPr>
        <w:t>,</w:t>
      </w:r>
      <w:r w:rsidRPr="00091938">
        <w:rPr>
          <w:rStyle w:val="FootnoteReference"/>
          <w:lang w:val="en-GB"/>
        </w:rPr>
        <w:footnoteReference w:id="37"/>
      </w:r>
      <w:r w:rsidRPr="00091938">
        <w:rPr>
          <w:lang w:val="en-GB"/>
        </w:rPr>
        <w:t xml:space="preserve"> which </w:t>
      </w:r>
      <w:r w:rsidR="00364A07" w:rsidRPr="00091938">
        <w:rPr>
          <w:lang w:val="en-GB"/>
        </w:rPr>
        <w:t xml:space="preserve">could </w:t>
      </w:r>
      <w:r w:rsidR="005D752F" w:rsidRPr="00091938">
        <w:rPr>
          <w:lang w:val="en-GB"/>
        </w:rPr>
        <w:t xml:space="preserve">equally </w:t>
      </w:r>
      <w:r w:rsidR="00364A07" w:rsidRPr="00091938">
        <w:rPr>
          <w:lang w:val="en-GB"/>
        </w:rPr>
        <w:t>be said on foll</w:t>
      </w:r>
      <w:r w:rsidRPr="00091938">
        <w:rPr>
          <w:lang w:val="en-GB"/>
        </w:rPr>
        <w:t xml:space="preserve">ow up to Concluding observations. </w:t>
      </w:r>
    </w:p>
    <w:p w14:paraId="09441690" w14:textId="672A0855" w:rsidR="009147D9" w:rsidRPr="00091938" w:rsidRDefault="005D752F" w:rsidP="0019741F">
      <w:pPr>
        <w:pStyle w:val="Header"/>
        <w:spacing w:before="120" w:after="120"/>
        <w:jc w:val="both"/>
        <w:rPr>
          <w:lang w:val="en-GB"/>
        </w:rPr>
      </w:pPr>
      <w:r w:rsidRPr="00091938">
        <w:rPr>
          <w:lang w:val="en-GB"/>
        </w:rPr>
        <w:t xml:space="preserve">The report further noted that </w:t>
      </w:r>
      <w:r w:rsidR="00710F06" w:rsidRPr="00091938">
        <w:rPr>
          <w:lang w:val="en-GB"/>
        </w:rPr>
        <w:t xml:space="preserve">“the deadline to submit a follow-up report should be mentioned explicitly in the COBs. From the perspective of CSOs, it is sometimes difficult to understand when and how to access the work of </w:t>
      </w:r>
      <w:r w:rsidR="00710F06" w:rsidRPr="00091938">
        <w:rPr>
          <w:rFonts w:eastAsiaTheme="minorEastAsia"/>
          <w:lang w:val="en-GB"/>
        </w:rPr>
        <w:t>UNTB</w:t>
      </w:r>
      <w:r w:rsidR="00710F06" w:rsidRPr="00091938">
        <w:rPr>
          <w:lang w:val="en-GB"/>
        </w:rPr>
        <w:t>s and to engage with them and their follow-up procedure, especially for CSOs in the field”</w:t>
      </w:r>
      <w:r w:rsidR="00FA0304">
        <w:rPr>
          <w:lang w:val="en-GB"/>
        </w:rPr>
        <w:t>.</w:t>
      </w:r>
      <w:r w:rsidR="000F6161" w:rsidRPr="00091938">
        <w:rPr>
          <w:rStyle w:val="FootnoteReference"/>
          <w:lang w:val="en-GB"/>
        </w:rPr>
        <w:footnoteReference w:id="38"/>
      </w:r>
      <w:r w:rsidR="009147D9" w:rsidRPr="00091938">
        <w:rPr>
          <w:lang w:val="en-GB"/>
        </w:rPr>
        <w:t xml:space="preserve"> And finally, </w:t>
      </w:r>
      <w:r w:rsidR="00710F06" w:rsidRPr="00091938">
        <w:rPr>
          <w:lang w:val="en-GB"/>
        </w:rPr>
        <w:t>“in many of the cases the State does not submit a report on time, which puts the CSOs in a difficult position”</w:t>
      </w:r>
      <w:r w:rsidR="00FA0304">
        <w:rPr>
          <w:lang w:val="en-GB"/>
        </w:rPr>
        <w:t>.</w:t>
      </w:r>
      <w:r w:rsidR="009147D9" w:rsidRPr="00091938">
        <w:rPr>
          <w:rStyle w:val="FootnoteReference"/>
          <w:lang w:val="en-GB"/>
        </w:rPr>
        <w:footnoteReference w:id="39"/>
      </w:r>
    </w:p>
    <w:p w14:paraId="14223A67" w14:textId="528E933F" w:rsidR="00710F06" w:rsidRPr="00091938" w:rsidRDefault="009147D9" w:rsidP="0019741F">
      <w:pPr>
        <w:pStyle w:val="Header"/>
        <w:spacing w:before="120" w:after="120"/>
        <w:jc w:val="both"/>
        <w:rPr>
          <w:lang w:val="en-GB"/>
        </w:rPr>
      </w:pPr>
      <w:r w:rsidRPr="00091938">
        <w:rPr>
          <w:lang w:val="en-GB"/>
        </w:rPr>
        <w:t xml:space="preserve">The acknowledgment of the challenges and lack of information made available to civil society, especially at the national level on follow up, is well reflected in the </w:t>
      </w:r>
      <w:r w:rsidR="005D752F" w:rsidRPr="00091938">
        <w:rPr>
          <w:lang w:val="en-GB"/>
        </w:rPr>
        <w:t>above-mentioned</w:t>
      </w:r>
      <w:r w:rsidRPr="00091938">
        <w:rPr>
          <w:lang w:val="en-GB"/>
        </w:rPr>
        <w:t xml:space="preserve"> report. Unfortunately, the “Possible elements of a common aligned procedure for follow-up to concluding observations, decisions and views for all treaty bodies”</w:t>
      </w:r>
      <w:r w:rsidR="005D752F" w:rsidRPr="00091938">
        <w:rPr>
          <w:rStyle w:val="FootnoteReference"/>
          <w:lang w:val="en-GB"/>
        </w:rPr>
        <w:footnoteReference w:id="40"/>
      </w:r>
      <w:r w:rsidRPr="00091938">
        <w:rPr>
          <w:lang w:val="en-GB"/>
        </w:rPr>
        <w:t xml:space="preserve"> endorsed at the 30</w:t>
      </w:r>
      <w:r w:rsidRPr="00091938">
        <w:rPr>
          <w:vertAlign w:val="superscript"/>
          <w:lang w:val="en-GB"/>
        </w:rPr>
        <w:t>th</w:t>
      </w:r>
      <w:r w:rsidRPr="00091938">
        <w:rPr>
          <w:lang w:val="en-GB"/>
        </w:rPr>
        <w:t xml:space="preserve"> meeting of Chairs in June 2018 contain no provision or commitment </w:t>
      </w:r>
      <w:r w:rsidR="00DB24F9" w:rsidRPr="00091938">
        <w:rPr>
          <w:lang w:val="en-GB"/>
        </w:rPr>
        <w:t>that the treaty bodies will enhance public information sharing on follow up.</w:t>
      </w:r>
      <w:r w:rsidRPr="00091938">
        <w:rPr>
          <w:lang w:val="en-GB"/>
        </w:rPr>
        <w:t xml:space="preserve"> This lack of </w:t>
      </w:r>
      <w:r w:rsidR="00DB24F9" w:rsidRPr="00091938">
        <w:rPr>
          <w:lang w:val="en-GB"/>
        </w:rPr>
        <w:t xml:space="preserve">public </w:t>
      </w:r>
      <w:r w:rsidRPr="00091938">
        <w:rPr>
          <w:lang w:val="en-GB"/>
        </w:rPr>
        <w:t>information will contribute to maintain</w:t>
      </w:r>
      <w:r w:rsidR="00652873">
        <w:rPr>
          <w:lang w:val="en-GB"/>
        </w:rPr>
        <w:t>ing</w:t>
      </w:r>
      <w:r w:rsidRPr="00091938">
        <w:rPr>
          <w:lang w:val="en-GB"/>
        </w:rPr>
        <w:t xml:space="preserve"> a high level of disengagement from civil society in follow up reviews, and risk treaty body assessments based solely </w:t>
      </w:r>
      <w:r w:rsidR="00DB24F9" w:rsidRPr="00091938">
        <w:rPr>
          <w:lang w:val="en-GB"/>
        </w:rPr>
        <w:t xml:space="preserve">or primarily </w:t>
      </w:r>
      <w:r w:rsidRPr="00091938">
        <w:rPr>
          <w:lang w:val="en-GB"/>
        </w:rPr>
        <w:t xml:space="preserve">on information provided by states parties. </w:t>
      </w:r>
    </w:p>
    <w:p w14:paraId="00273BB7" w14:textId="77777777" w:rsidR="00710F06" w:rsidRPr="00091938" w:rsidRDefault="00710F06" w:rsidP="0019741F">
      <w:pPr>
        <w:pStyle w:val="Header"/>
        <w:spacing w:before="120" w:after="120"/>
        <w:rPr>
          <w:lang w:val="en-GB"/>
        </w:rPr>
      </w:pPr>
    </w:p>
    <w:p w14:paraId="7C2A9B17" w14:textId="77777777" w:rsidR="00452652" w:rsidRPr="00091938" w:rsidRDefault="00A56F09" w:rsidP="0019741F">
      <w:pPr>
        <w:pStyle w:val="ListParagraph"/>
        <w:numPr>
          <w:ilvl w:val="0"/>
          <w:numId w:val="14"/>
        </w:numPr>
        <w:spacing w:before="120" w:after="120" w:line="240" w:lineRule="auto"/>
        <w:rPr>
          <w:b/>
          <w:lang w:val="en-GB"/>
        </w:rPr>
      </w:pPr>
      <w:r w:rsidRPr="00091938">
        <w:rPr>
          <w:b/>
          <w:lang w:val="en-GB"/>
        </w:rPr>
        <w:t>I</w:t>
      </w:r>
      <w:r w:rsidR="00452652" w:rsidRPr="00091938">
        <w:rPr>
          <w:b/>
          <w:lang w:val="en-GB"/>
        </w:rPr>
        <w:t>nter-state complaints</w:t>
      </w:r>
    </w:p>
    <w:p w14:paraId="098CC9BB" w14:textId="476EAE40" w:rsidR="00A766BD" w:rsidRPr="00091938" w:rsidRDefault="0071569B" w:rsidP="0019741F">
      <w:pPr>
        <w:spacing w:before="120" w:after="120" w:line="240" w:lineRule="auto"/>
        <w:jc w:val="both"/>
        <w:rPr>
          <w:lang w:val="en-GB"/>
        </w:rPr>
      </w:pPr>
      <w:r w:rsidRPr="00091938">
        <w:rPr>
          <w:lang w:val="en-GB"/>
        </w:rPr>
        <w:t xml:space="preserve">The first ever three inter-state complaints under the Convention on the Elimination of Racial Discrimination were registered in March and April 2018. Following a number of calls for information on this major international human rights </w:t>
      </w:r>
      <w:r w:rsidR="004A67B5">
        <w:rPr>
          <w:lang w:val="en-GB"/>
        </w:rPr>
        <w:t>jurisprudential</w:t>
      </w:r>
      <w:r w:rsidRPr="00091938">
        <w:rPr>
          <w:lang w:val="en-GB"/>
        </w:rPr>
        <w:t xml:space="preserve"> development to be made public, OHCHR published a</w:t>
      </w:r>
      <w:r w:rsidR="004A67B5">
        <w:rPr>
          <w:lang w:val="en-GB"/>
        </w:rPr>
        <w:t>n information note</w:t>
      </w:r>
      <w:r w:rsidR="004A67B5">
        <w:rPr>
          <w:rStyle w:val="FootnoteReference"/>
          <w:lang w:val="en-GB"/>
        </w:rPr>
        <w:footnoteReference w:id="41"/>
      </w:r>
      <w:r w:rsidRPr="00091938">
        <w:rPr>
          <w:lang w:val="en-GB"/>
        </w:rPr>
        <w:t xml:space="preserve"> on 30 August 2018. </w:t>
      </w:r>
      <w:r w:rsidR="00417443" w:rsidRPr="00091938">
        <w:rPr>
          <w:lang w:val="en-GB"/>
        </w:rPr>
        <w:t xml:space="preserve">The </w:t>
      </w:r>
      <w:r w:rsidR="00CB306A">
        <w:rPr>
          <w:lang w:val="en-GB"/>
        </w:rPr>
        <w:t xml:space="preserve">note </w:t>
      </w:r>
      <w:r w:rsidR="00417443" w:rsidRPr="00091938">
        <w:rPr>
          <w:lang w:val="en-GB"/>
        </w:rPr>
        <w:t xml:space="preserve">provides welcome details on the cases, and the stages of the procedure. </w:t>
      </w:r>
      <w:r w:rsidR="00CB306A">
        <w:rPr>
          <w:lang w:val="en-GB"/>
        </w:rPr>
        <w:t>Furthermore, in December 2018, the Committee published three decisions related to the three cases</w:t>
      </w:r>
      <w:r w:rsidR="00FA0304">
        <w:rPr>
          <w:lang w:val="en-GB"/>
        </w:rPr>
        <w:t>.</w:t>
      </w:r>
      <w:r w:rsidR="00CB306A">
        <w:rPr>
          <w:rStyle w:val="FootnoteReference"/>
          <w:lang w:val="en-GB"/>
        </w:rPr>
        <w:footnoteReference w:id="42"/>
      </w:r>
      <w:r w:rsidR="00FB50E2">
        <w:rPr>
          <w:lang w:val="en-GB"/>
        </w:rPr>
        <w:t xml:space="preserve"> Despite the disclosure of some information related to the complaints,</w:t>
      </w:r>
      <w:r w:rsidR="00CB306A">
        <w:rPr>
          <w:lang w:val="en-GB"/>
        </w:rPr>
        <w:t xml:space="preserve"> </w:t>
      </w:r>
      <w:r w:rsidR="00263DB0" w:rsidRPr="00091938">
        <w:rPr>
          <w:lang w:val="en-GB"/>
        </w:rPr>
        <w:t xml:space="preserve">information on the substance of the cases, and copies of the complaints have not been made accessible to the public. </w:t>
      </w:r>
      <w:r w:rsidR="00FB50E2">
        <w:rPr>
          <w:lang w:val="en-GB"/>
        </w:rPr>
        <w:t xml:space="preserve">This negatively impacts </w:t>
      </w:r>
      <w:r w:rsidR="00323877">
        <w:rPr>
          <w:lang w:val="en-GB"/>
        </w:rPr>
        <w:t xml:space="preserve">on </w:t>
      </w:r>
      <w:r w:rsidR="00FB50E2">
        <w:rPr>
          <w:lang w:val="en-GB"/>
        </w:rPr>
        <w:t>the ability of civil society to be aware of the issues at stake</w:t>
      </w:r>
      <w:r w:rsidR="005B3D95">
        <w:rPr>
          <w:lang w:val="en-GB"/>
        </w:rPr>
        <w:t xml:space="preserve"> and</w:t>
      </w:r>
      <w:r w:rsidR="00FB50E2">
        <w:rPr>
          <w:lang w:val="en-GB"/>
        </w:rPr>
        <w:t xml:space="preserve"> allegations of infringements to the Convention. It also contributes to the circulation of potentially unverifie</w:t>
      </w:r>
      <w:r w:rsidR="00DB3710">
        <w:rPr>
          <w:lang w:val="en-GB"/>
        </w:rPr>
        <w:t>d and/or erroneous information.</w:t>
      </w:r>
    </w:p>
    <w:p w14:paraId="7923BCE8" w14:textId="77777777" w:rsidR="0071569B" w:rsidRPr="00091938" w:rsidRDefault="0071569B" w:rsidP="0019741F">
      <w:pPr>
        <w:spacing w:before="120" w:after="120" w:line="240" w:lineRule="auto"/>
        <w:jc w:val="both"/>
        <w:rPr>
          <w:lang w:val="en-GB"/>
        </w:rPr>
      </w:pPr>
    </w:p>
    <w:p w14:paraId="6B131667" w14:textId="77777777" w:rsidR="0042104C" w:rsidRPr="00091938" w:rsidRDefault="004A6C4A" w:rsidP="0019741F">
      <w:pPr>
        <w:pStyle w:val="ListParagraph"/>
        <w:numPr>
          <w:ilvl w:val="0"/>
          <w:numId w:val="14"/>
        </w:numPr>
        <w:spacing w:before="120" w:after="120" w:line="240" w:lineRule="auto"/>
        <w:rPr>
          <w:b/>
          <w:lang w:val="en-GB"/>
        </w:rPr>
      </w:pPr>
      <w:r>
        <w:rPr>
          <w:b/>
          <w:lang w:val="en-GB"/>
        </w:rPr>
        <w:t>Follow up</w:t>
      </w:r>
      <w:r w:rsidR="00952BEC" w:rsidRPr="00091938">
        <w:rPr>
          <w:b/>
          <w:lang w:val="en-GB"/>
        </w:rPr>
        <w:t xml:space="preserve"> to CERD early warning and urgent action</w:t>
      </w:r>
    </w:p>
    <w:p w14:paraId="564F4CA7" w14:textId="34809289" w:rsidR="006B00C8" w:rsidRPr="00091938" w:rsidRDefault="00263DB0" w:rsidP="0019741F">
      <w:pPr>
        <w:spacing w:before="120" w:after="120" w:line="240" w:lineRule="auto"/>
        <w:jc w:val="both"/>
        <w:rPr>
          <w:lang w:val="en-GB"/>
        </w:rPr>
      </w:pPr>
      <w:r w:rsidRPr="00091938">
        <w:rPr>
          <w:lang w:val="en-GB"/>
        </w:rPr>
        <w:t xml:space="preserve">The early warning and urgent action measures of CERD are a unique and vital tool available to civil society and other actors to make states accountable. The swiftness with which the Committee can </w:t>
      </w:r>
      <w:r w:rsidR="00847510" w:rsidRPr="00091938">
        <w:rPr>
          <w:lang w:val="en-GB"/>
        </w:rPr>
        <w:t>adopt decisions under this procedure</w:t>
      </w:r>
      <w:r w:rsidRPr="00091938">
        <w:rPr>
          <w:lang w:val="en-GB"/>
        </w:rPr>
        <w:t xml:space="preserve"> is very valuable. Nonetheless, the Committee/OHCHR have established a practice of not publicising state responses to urgent action</w:t>
      </w:r>
      <w:r w:rsidR="00847510" w:rsidRPr="00091938">
        <w:rPr>
          <w:lang w:val="en-GB"/>
        </w:rPr>
        <w:t>, and not proactively sharing responses with petitioners</w:t>
      </w:r>
      <w:r w:rsidRPr="00091938">
        <w:rPr>
          <w:lang w:val="en-GB"/>
        </w:rPr>
        <w:t xml:space="preserve">. </w:t>
      </w:r>
      <w:r w:rsidR="00B24CA2" w:rsidRPr="00091938">
        <w:rPr>
          <w:lang w:val="en-GB"/>
        </w:rPr>
        <w:t xml:space="preserve">ISHR is aware of </w:t>
      </w:r>
      <w:r w:rsidR="00922108">
        <w:rPr>
          <w:lang w:val="en-GB"/>
        </w:rPr>
        <w:t>at least</w:t>
      </w:r>
      <w:r w:rsidR="00B24CA2" w:rsidRPr="00091938">
        <w:rPr>
          <w:lang w:val="en-GB"/>
        </w:rPr>
        <w:t xml:space="preserve"> one state party having proactively publicly disclosed its responses to CERD urgent action</w:t>
      </w:r>
      <w:r w:rsidR="00FA0304">
        <w:rPr>
          <w:lang w:val="en-GB"/>
        </w:rPr>
        <w:t>.</w:t>
      </w:r>
      <w:r w:rsidR="00B24CA2" w:rsidRPr="00091938">
        <w:rPr>
          <w:rStyle w:val="FootnoteReference"/>
          <w:lang w:val="en-GB"/>
        </w:rPr>
        <w:footnoteReference w:id="43"/>
      </w:r>
      <w:r w:rsidR="00B24CA2" w:rsidRPr="00091938">
        <w:rPr>
          <w:lang w:val="en-GB"/>
        </w:rPr>
        <w:t xml:space="preserve"> </w:t>
      </w:r>
      <w:r w:rsidR="00652873">
        <w:rPr>
          <w:lang w:val="en-GB"/>
        </w:rPr>
        <w:t>The Committee’s/OHCHR’s practice</w:t>
      </w:r>
      <w:r w:rsidR="00652873" w:rsidRPr="00091938">
        <w:rPr>
          <w:lang w:val="en-GB"/>
        </w:rPr>
        <w:t xml:space="preserve"> </w:t>
      </w:r>
      <w:r w:rsidR="00847510" w:rsidRPr="00091938">
        <w:rPr>
          <w:lang w:val="en-GB"/>
        </w:rPr>
        <w:t xml:space="preserve">constitutes a clear disincentive for states parties to provide a response to the Committee, and an unacceptable lack of transparency and accountability towards victims and petitioners. </w:t>
      </w:r>
    </w:p>
    <w:p w14:paraId="0BC2F550" w14:textId="77777777" w:rsidR="008D5BD8" w:rsidRDefault="008D5BD8" w:rsidP="0019741F">
      <w:pPr>
        <w:spacing w:before="120" w:after="120" w:line="240" w:lineRule="auto"/>
        <w:jc w:val="both"/>
        <w:rPr>
          <w:lang w:val="en-GB"/>
        </w:rPr>
      </w:pPr>
    </w:p>
    <w:p w14:paraId="3B3C776A" w14:textId="49429FA3" w:rsidR="00562036" w:rsidRPr="00091938" w:rsidRDefault="00F16D5F" w:rsidP="0019741F">
      <w:pPr>
        <w:spacing w:before="120" w:after="120" w:line="240" w:lineRule="auto"/>
        <w:jc w:val="both"/>
        <w:rPr>
          <w:lang w:val="en-GB"/>
        </w:rPr>
      </w:pPr>
      <w:r>
        <w:rPr>
          <w:lang w:val="en-GB"/>
        </w:rPr>
        <w:t>Against the above</w:t>
      </w:r>
      <w:r w:rsidR="00E63AC5" w:rsidRPr="00091938">
        <w:rPr>
          <w:lang w:val="en-GB"/>
        </w:rPr>
        <w:t xml:space="preserve"> background, ISHR has called for a paradigm shift away from a culture where opacity and disparity are the rules, to a new culture where openness and unity prevail within the different parts of the treaty body system</w:t>
      </w:r>
      <w:r w:rsidR="00FA0304">
        <w:rPr>
          <w:lang w:val="en-GB"/>
        </w:rPr>
        <w:t>.</w:t>
      </w:r>
      <w:r w:rsidR="00DB3121" w:rsidRPr="00091938">
        <w:rPr>
          <w:rStyle w:val="FootnoteReference"/>
          <w:lang w:val="en-GB"/>
        </w:rPr>
        <w:footnoteReference w:id="44"/>
      </w:r>
      <w:r w:rsidR="00E63AC5" w:rsidRPr="00091938">
        <w:rPr>
          <w:lang w:val="en-GB"/>
        </w:rPr>
        <w:t xml:space="preserve"> </w:t>
      </w:r>
    </w:p>
    <w:p w14:paraId="19BDE1B2" w14:textId="77777777" w:rsidR="00FA3735" w:rsidRPr="00091938" w:rsidRDefault="00FA3735" w:rsidP="0019741F">
      <w:pPr>
        <w:spacing w:before="120" w:after="120" w:line="240" w:lineRule="auto"/>
        <w:jc w:val="both"/>
        <w:rPr>
          <w:lang w:val="en-GB"/>
        </w:rPr>
      </w:pPr>
    </w:p>
    <w:p w14:paraId="24882862" w14:textId="77777777" w:rsidR="00B52280" w:rsidRPr="00091938" w:rsidRDefault="00B52280" w:rsidP="0019741F">
      <w:pPr>
        <w:pStyle w:val="ListParagraph"/>
        <w:numPr>
          <w:ilvl w:val="0"/>
          <w:numId w:val="13"/>
        </w:numPr>
        <w:spacing w:before="120" w:after="120" w:line="240" w:lineRule="auto"/>
        <w:jc w:val="both"/>
        <w:rPr>
          <w:color w:val="C00000"/>
          <w:szCs w:val="20"/>
          <w:lang w:val="en-GB"/>
        </w:rPr>
      </w:pPr>
      <w:r w:rsidRPr="00091938">
        <w:rPr>
          <w:color w:val="C00000"/>
          <w:szCs w:val="20"/>
          <w:lang w:val="en-GB"/>
        </w:rPr>
        <w:t>Recommendations</w:t>
      </w:r>
    </w:p>
    <w:p w14:paraId="1681EC5B" w14:textId="77777777" w:rsidR="00FA0304" w:rsidRDefault="00FA0304" w:rsidP="0019741F">
      <w:pPr>
        <w:pStyle w:val="ListParagraph"/>
        <w:numPr>
          <w:ilvl w:val="0"/>
          <w:numId w:val="12"/>
        </w:numPr>
        <w:spacing w:before="120" w:after="120" w:line="240" w:lineRule="auto"/>
        <w:jc w:val="both"/>
        <w:rPr>
          <w:szCs w:val="20"/>
          <w:lang w:val="en-GB"/>
        </w:rPr>
      </w:pPr>
      <w:r>
        <w:rPr>
          <w:szCs w:val="20"/>
          <w:lang w:val="en-GB"/>
        </w:rPr>
        <w:t xml:space="preserve">All treaty bodies should publish timely information about pending cases and the procedures for third parties or amicus curiae to submit information which may assist the treaty body in its consideration of those cases. </w:t>
      </w:r>
    </w:p>
    <w:p w14:paraId="11550DBE" w14:textId="0B026B9C" w:rsidR="00263DB0" w:rsidRPr="00091938" w:rsidRDefault="00263DB0" w:rsidP="0019741F">
      <w:pPr>
        <w:pStyle w:val="ListParagraph"/>
        <w:numPr>
          <w:ilvl w:val="0"/>
          <w:numId w:val="12"/>
        </w:numPr>
        <w:spacing w:before="120" w:after="120" w:line="240" w:lineRule="auto"/>
        <w:jc w:val="both"/>
        <w:rPr>
          <w:szCs w:val="20"/>
          <w:lang w:val="en-GB"/>
        </w:rPr>
      </w:pPr>
      <w:r w:rsidRPr="00091938">
        <w:rPr>
          <w:szCs w:val="20"/>
          <w:lang w:val="en-GB"/>
        </w:rPr>
        <w:t>OHCHR should urgently and substantially increase efforts to improve public information sharing about the work of treaty bodies, especially through measures that are cost neutral</w:t>
      </w:r>
      <w:r w:rsidR="00FB01D0">
        <w:rPr>
          <w:szCs w:val="20"/>
          <w:lang w:val="en-GB"/>
        </w:rPr>
        <w:t xml:space="preserve"> (e.g. use of social media), and comprehensive, user-friendly and multilingual webpages. </w:t>
      </w:r>
    </w:p>
    <w:p w14:paraId="06FCEBB9" w14:textId="77777777" w:rsidR="00B52280" w:rsidRPr="00091938" w:rsidRDefault="00B52280" w:rsidP="0019741F">
      <w:pPr>
        <w:pStyle w:val="ListParagraph"/>
        <w:numPr>
          <w:ilvl w:val="0"/>
          <w:numId w:val="12"/>
        </w:numPr>
        <w:spacing w:before="120" w:after="120" w:line="240" w:lineRule="auto"/>
        <w:jc w:val="both"/>
        <w:rPr>
          <w:szCs w:val="20"/>
          <w:lang w:val="en-GB"/>
        </w:rPr>
      </w:pPr>
      <w:r w:rsidRPr="00091938">
        <w:rPr>
          <w:szCs w:val="20"/>
          <w:lang w:val="en-GB"/>
        </w:rPr>
        <w:t xml:space="preserve">In line with the recommendations of the report of the expert meeting on follow-up to treaty body recommendations, the treaty bodies should proactively reach out to civil society organisations involved in a state review to encourage them to submit information on follow up and state compliance with the concluding observations. At </w:t>
      </w:r>
      <w:r w:rsidR="00FA0304">
        <w:rPr>
          <w:szCs w:val="20"/>
          <w:lang w:val="en-GB"/>
        </w:rPr>
        <w:t xml:space="preserve">a </w:t>
      </w:r>
      <w:r w:rsidRPr="00091938">
        <w:rPr>
          <w:szCs w:val="20"/>
          <w:lang w:val="en-GB"/>
        </w:rPr>
        <w:t xml:space="preserve">minimum, all treaty bodies </w:t>
      </w:r>
      <w:r w:rsidR="001A337B" w:rsidRPr="00091938">
        <w:rPr>
          <w:szCs w:val="20"/>
          <w:lang w:val="en-GB"/>
        </w:rPr>
        <w:t>should provide clear, timely and easily accessible information regarding what states parties are to be assessed as part of the follow up procedure during each session</w:t>
      </w:r>
      <w:r w:rsidR="00FA0304">
        <w:rPr>
          <w:szCs w:val="20"/>
          <w:lang w:val="en-GB"/>
        </w:rPr>
        <w:t>.</w:t>
      </w:r>
      <w:r w:rsidR="00A6547A">
        <w:rPr>
          <w:rStyle w:val="FootnoteReference"/>
          <w:szCs w:val="20"/>
          <w:lang w:val="en-GB"/>
        </w:rPr>
        <w:footnoteReference w:id="45"/>
      </w:r>
    </w:p>
    <w:p w14:paraId="2FEBC670" w14:textId="77777777" w:rsidR="00263DB0" w:rsidRPr="00091938" w:rsidRDefault="00263DB0" w:rsidP="0019741F">
      <w:pPr>
        <w:pStyle w:val="ListParagraph"/>
        <w:numPr>
          <w:ilvl w:val="0"/>
          <w:numId w:val="12"/>
        </w:numPr>
        <w:spacing w:before="120" w:after="120" w:line="240" w:lineRule="auto"/>
        <w:jc w:val="both"/>
        <w:rPr>
          <w:szCs w:val="20"/>
          <w:lang w:val="en-GB"/>
        </w:rPr>
      </w:pPr>
      <w:r w:rsidRPr="00091938">
        <w:rPr>
          <w:szCs w:val="20"/>
          <w:lang w:val="en-GB"/>
        </w:rPr>
        <w:t xml:space="preserve">The CERD Committee/OHCHR should post all correspondence with states related to early warning and urgent action on the website, including but not limited to state responses to </w:t>
      </w:r>
      <w:r w:rsidR="00F22973" w:rsidRPr="00091938">
        <w:rPr>
          <w:szCs w:val="20"/>
          <w:lang w:val="en-GB"/>
        </w:rPr>
        <w:t xml:space="preserve">letters to states parties adopted pursuant to article 9 (1) of the Convention and article 65 of its Rules of Procedure. </w:t>
      </w:r>
    </w:p>
    <w:p w14:paraId="0328934E" w14:textId="77777777" w:rsidR="00C77102" w:rsidRPr="00091938" w:rsidRDefault="00C77102" w:rsidP="0019741F">
      <w:pPr>
        <w:spacing w:before="120" w:after="120" w:line="240" w:lineRule="auto"/>
        <w:rPr>
          <w:lang w:val="en-GB"/>
        </w:rPr>
      </w:pPr>
    </w:p>
    <w:p w14:paraId="46A7B7EE" w14:textId="77777777" w:rsidR="00655640" w:rsidRPr="00091938" w:rsidRDefault="00655640" w:rsidP="0019741F">
      <w:pPr>
        <w:pStyle w:val="Heading2"/>
        <w:numPr>
          <w:ilvl w:val="1"/>
          <w:numId w:val="5"/>
        </w:numPr>
        <w:spacing w:before="120" w:after="120" w:line="240" w:lineRule="auto"/>
        <w:rPr>
          <w:rFonts w:asciiTheme="minorHAnsi" w:hAnsiTheme="minorHAnsi"/>
          <w:i/>
          <w:color w:val="C00000"/>
          <w:sz w:val="22"/>
          <w:lang w:val="en-GB"/>
        </w:rPr>
      </w:pPr>
      <w:bookmarkStart w:id="21" w:name="_Toc7787791"/>
      <w:r w:rsidRPr="00091938">
        <w:rPr>
          <w:rFonts w:asciiTheme="minorHAnsi" w:hAnsiTheme="minorHAnsi"/>
          <w:i/>
          <w:color w:val="C00000"/>
          <w:sz w:val="22"/>
          <w:lang w:val="en-GB"/>
        </w:rPr>
        <w:t>Efficiency, transparency, effectiveness and harmonization</w:t>
      </w:r>
      <w:bookmarkEnd w:id="21"/>
    </w:p>
    <w:p w14:paraId="2B47FFD4" w14:textId="35932FFD" w:rsidR="00091938" w:rsidRDefault="009D7457" w:rsidP="0019741F">
      <w:pPr>
        <w:spacing w:before="120" w:after="120" w:line="240" w:lineRule="auto"/>
        <w:jc w:val="both"/>
        <w:rPr>
          <w:lang w:val="en-GB"/>
        </w:rPr>
      </w:pPr>
      <w:r w:rsidRPr="00091938">
        <w:rPr>
          <w:lang w:val="en-GB"/>
        </w:rPr>
        <w:t>The first report of the UNSG on follow up to res 68/268</w:t>
      </w:r>
      <w:r w:rsidRPr="00091938">
        <w:rPr>
          <w:rStyle w:val="FootnoteReference"/>
          <w:lang w:val="en-GB"/>
        </w:rPr>
        <w:footnoteReference w:id="46"/>
      </w:r>
      <w:r w:rsidRPr="00091938">
        <w:rPr>
          <w:lang w:val="en-GB"/>
        </w:rPr>
        <w:t xml:space="preserve"> noted that harmonisation was progressing “with varying results”. The second report confirmed that considerable efforts were deployed “over the past decades” in that regard, yet “important variations among the Committees remain”</w:t>
      </w:r>
      <w:r w:rsidR="00FA0304">
        <w:rPr>
          <w:lang w:val="en-GB"/>
        </w:rPr>
        <w:t>.</w:t>
      </w:r>
      <w:r w:rsidRPr="00091938">
        <w:rPr>
          <w:rStyle w:val="FootnoteReference"/>
          <w:lang w:val="en-GB"/>
        </w:rPr>
        <w:footnoteReference w:id="47"/>
      </w:r>
      <w:r w:rsidR="00DC56C2" w:rsidRPr="00091938">
        <w:rPr>
          <w:lang w:val="en-GB"/>
        </w:rPr>
        <w:t xml:space="preserve"> </w:t>
      </w:r>
      <w:r w:rsidR="00091938">
        <w:rPr>
          <w:lang w:val="en-GB"/>
        </w:rPr>
        <w:t>The comprehensive note prepared at the request of the chairs on the alignment of working methods and published in March 2018</w:t>
      </w:r>
      <w:r w:rsidR="00C65A67">
        <w:rPr>
          <w:rStyle w:val="FootnoteReference"/>
          <w:lang w:val="en-GB"/>
        </w:rPr>
        <w:footnoteReference w:id="48"/>
      </w:r>
      <w:r w:rsidR="00091938">
        <w:rPr>
          <w:lang w:val="en-GB"/>
        </w:rPr>
        <w:t xml:space="preserve"> provides a good overview of the significant discrepancies which remain among treaty bodies, despite the progress achieved in recent years. </w:t>
      </w:r>
    </w:p>
    <w:p w14:paraId="042E34BF" w14:textId="508A5886" w:rsidR="00B42E65" w:rsidRDefault="00EC785B" w:rsidP="0019741F">
      <w:pPr>
        <w:spacing w:before="120" w:after="120" w:line="240" w:lineRule="auto"/>
        <w:jc w:val="both"/>
        <w:rPr>
          <w:lang w:val="en-GB"/>
        </w:rPr>
      </w:pPr>
      <w:r w:rsidRPr="00091938">
        <w:rPr>
          <w:lang w:val="en-GB"/>
        </w:rPr>
        <w:t>The second report</w:t>
      </w:r>
      <w:r w:rsidR="00601858">
        <w:rPr>
          <w:lang w:val="en-GB"/>
        </w:rPr>
        <w:t xml:space="preserve"> of the SG</w:t>
      </w:r>
      <w:r w:rsidRPr="00091938">
        <w:rPr>
          <w:lang w:val="en-GB"/>
        </w:rPr>
        <w:t xml:space="preserve"> analyses the limits </w:t>
      </w:r>
      <w:r w:rsidRPr="00601858">
        <w:rPr>
          <w:lang w:val="en-GB"/>
        </w:rPr>
        <w:t xml:space="preserve">of harmonization inherent to the current set up of the annual chairs meeting, which </w:t>
      </w:r>
      <w:r w:rsidR="00091938" w:rsidRPr="00601858">
        <w:rPr>
          <w:lang w:val="en-GB"/>
        </w:rPr>
        <w:t>serves primarily</w:t>
      </w:r>
      <w:r w:rsidRPr="00601858">
        <w:rPr>
          <w:lang w:val="en-GB"/>
        </w:rPr>
        <w:t xml:space="preserve"> as a consultative body</w:t>
      </w:r>
      <w:r w:rsidR="00FA0304">
        <w:rPr>
          <w:lang w:val="en-GB"/>
        </w:rPr>
        <w:t>.</w:t>
      </w:r>
      <w:r w:rsidR="00020124">
        <w:rPr>
          <w:rStyle w:val="FootnoteReference"/>
          <w:lang w:val="en-GB"/>
        </w:rPr>
        <w:footnoteReference w:id="49"/>
      </w:r>
      <w:r w:rsidRPr="00601858">
        <w:rPr>
          <w:lang w:val="en-GB"/>
        </w:rPr>
        <w:t xml:space="preserve"> Unless and</w:t>
      </w:r>
      <w:r w:rsidRPr="00091938">
        <w:rPr>
          <w:lang w:val="en-GB"/>
        </w:rPr>
        <w:t xml:space="preserve"> until fundamental changes can be brought to the chairs meeting mandate, or a new architecture adopted, fragmentation of working methods among the treaty bodies will persist. </w:t>
      </w:r>
    </w:p>
    <w:p w14:paraId="7BAA36DC" w14:textId="77777777" w:rsidR="00F906A2" w:rsidRDefault="00F906A2" w:rsidP="0019741F">
      <w:pPr>
        <w:spacing w:before="120" w:after="120" w:line="240" w:lineRule="auto"/>
        <w:jc w:val="both"/>
        <w:rPr>
          <w:lang w:val="en-GB"/>
        </w:rPr>
      </w:pPr>
    </w:p>
    <w:p w14:paraId="4C078DF5" w14:textId="77777777" w:rsidR="00F906A2" w:rsidRPr="00091938" w:rsidRDefault="00F906A2" w:rsidP="0019741F">
      <w:pPr>
        <w:pStyle w:val="ListParagraph"/>
        <w:numPr>
          <w:ilvl w:val="0"/>
          <w:numId w:val="13"/>
        </w:numPr>
        <w:spacing w:before="120" w:after="120" w:line="240" w:lineRule="auto"/>
        <w:jc w:val="both"/>
        <w:rPr>
          <w:color w:val="C00000"/>
          <w:szCs w:val="20"/>
          <w:lang w:val="en-GB"/>
        </w:rPr>
      </w:pPr>
      <w:r w:rsidRPr="00091938">
        <w:rPr>
          <w:color w:val="C00000"/>
          <w:szCs w:val="20"/>
          <w:lang w:val="en-GB"/>
        </w:rPr>
        <w:t>Recommendations</w:t>
      </w:r>
    </w:p>
    <w:p w14:paraId="710AD7E7" w14:textId="4E1B4CE0" w:rsidR="00F906A2" w:rsidRPr="00FA0304" w:rsidRDefault="00CD4EA3" w:rsidP="0019741F">
      <w:pPr>
        <w:pStyle w:val="ListParagraph"/>
        <w:numPr>
          <w:ilvl w:val="0"/>
          <w:numId w:val="12"/>
        </w:numPr>
        <w:spacing w:before="120" w:after="120" w:line="240" w:lineRule="auto"/>
        <w:jc w:val="both"/>
        <w:rPr>
          <w:lang w:val="en-GB"/>
        </w:rPr>
      </w:pPr>
      <w:r>
        <w:rPr>
          <w:szCs w:val="20"/>
          <w:lang w:val="en-GB"/>
        </w:rPr>
        <w:t xml:space="preserve">Without precluding their </w:t>
      </w:r>
      <w:r w:rsidR="00C01DB7">
        <w:rPr>
          <w:szCs w:val="20"/>
          <w:lang w:val="en-GB"/>
        </w:rPr>
        <w:t xml:space="preserve">individual </w:t>
      </w:r>
      <w:r>
        <w:rPr>
          <w:szCs w:val="20"/>
          <w:lang w:val="en-GB"/>
        </w:rPr>
        <w:t>specificity and independence, t</w:t>
      </w:r>
      <w:r w:rsidR="00F906A2">
        <w:rPr>
          <w:szCs w:val="20"/>
          <w:lang w:val="en-GB"/>
        </w:rPr>
        <w:t xml:space="preserve">he treaty bodies should urgently </w:t>
      </w:r>
      <w:r w:rsidR="00C01DB7">
        <w:rPr>
          <w:szCs w:val="20"/>
          <w:lang w:val="en-GB"/>
        </w:rPr>
        <w:t>undertake</w:t>
      </w:r>
      <w:r w:rsidR="00F906A2">
        <w:rPr>
          <w:szCs w:val="20"/>
          <w:lang w:val="en-GB"/>
        </w:rPr>
        <w:t xml:space="preserve"> a reform of the management of </w:t>
      </w:r>
      <w:r w:rsidR="003F7962">
        <w:rPr>
          <w:szCs w:val="20"/>
          <w:lang w:val="en-GB"/>
        </w:rPr>
        <w:t>working methods</w:t>
      </w:r>
      <w:r w:rsidR="00F906A2">
        <w:rPr>
          <w:szCs w:val="20"/>
          <w:lang w:val="en-GB"/>
        </w:rPr>
        <w:t xml:space="preserve"> based on the objective of finding </w:t>
      </w:r>
      <w:r w:rsidR="00FA0304">
        <w:rPr>
          <w:szCs w:val="20"/>
          <w:lang w:val="en-GB"/>
        </w:rPr>
        <w:t xml:space="preserve">best practice </w:t>
      </w:r>
      <w:r w:rsidR="00F906A2">
        <w:rPr>
          <w:szCs w:val="20"/>
          <w:lang w:val="en-GB"/>
        </w:rPr>
        <w:t xml:space="preserve">common ground rather than least common denominators. The reform could consist of </w:t>
      </w:r>
      <w:r w:rsidR="00FA0304">
        <w:rPr>
          <w:lang w:val="en-GB"/>
        </w:rPr>
        <w:t>t</w:t>
      </w:r>
      <w:r w:rsidR="00F906A2" w:rsidRPr="00FA0304">
        <w:rPr>
          <w:lang w:val="en-GB"/>
        </w:rPr>
        <w:t>he establishment of a joint treaty body working group</w:t>
      </w:r>
      <w:r w:rsidR="007F4143">
        <w:rPr>
          <w:lang w:val="en-GB"/>
        </w:rPr>
        <w:t xml:space="preserve"> or coordination committee</w:t>
      </w:r>
      <w:r w:rsidR="00F906A2" w:rsidRPr="00FA0304">
        <w:rPr>
          <w:lang w:val="en-GB"/>
        </w:rPr>
        <w:t xml:space="preserve"> on </w:t>
      </w:r>
      <w:r w:rsidR="003F7962" w:rsidRPr="00FA0304">
        <w:rPr>
          <w:lang w:val="en-GB"/>
        </w:rPr>
        <w:t>working methods</w:t>
      </w:r>
      <w:r w:rsidR="00F906A2" w:rsidRPr="00FA0304">
        <w:rPr>
          <w:lang w:val="en-GB"/>
        </w:rPr>
        <w:t>, mandated to adopt procedures across the system as a whole</w:t>
      </w:r>
      <w:r w:rsidR="00FA0304">
        <w:rPr>
          <w:lang w:val="en-GB"/>
        </w:rPr>
        <w:t>.</w:t>
      </w:r>
      <w:r w:rsidR="00E65B50">
        <w:rPr>
          <w:lang w:val="en-GB"/>
        </w:rPr>
        <w:t xml:space="preserve"> The body could be mandated</w:t>
      </w:r>
      <w:r w:rsidR="00AC1EC7">
        <w:rPr>
          <w:lang w:val="en-GB"/>
        </w:rPr>
        <w:t xml:space="preserve"> and empowered</w:t>
      </w:r>
      <w:r w:rsidR="00E65B50">
        <w:rPr>
          <w:lang w:val="en-GB"/>
        </w:rPr>
        <w:t xml:space="preserve"> to meet regularly (</w:t>
      </w:r>
      <w:r w:rsidR="007F4143">
        <w:rPr>
          <w:lang w:val="en-GB"/>
        </w:rPr>
        <w:t>ideally on a monthly basis</w:t>
      </w:r>
      <w:r w:rsidR="00FC3DED">
        <w:rPr>
          <w:lang w:val="en-GB"/>
        </w:rPr>
        <w:t xml:space="preserve">, </w:t>
      </w:r>
      <w:r w:rsidR="001C1743">
        <w:rPr>
          <w:lang w:val="en-GB"/>
        </w:rPr>
        <w:t xml:space="preserve">through </w:t>
      </w:r>
      <w:r w:rsidR="00FC3DED">
        <w:rPr>
          <w:lang w:val="en-GB"/>
        </w:rPr>
        <w:t>videoconference</w:t>
      </w:r>
      <w:r w:rsidR="00E65B50">
        <w:rPr>
          <w:lang w:val="en-GB"/>
        </w:rPr>
        <w:t xml:space="preserve">), and its decisions could be implementable by treaty bodies unless specifically objected </w:t>
      </w:r>
      <w:r w:rsidR="006D0CF1">
        <w:rPr>
          <w:lang w:val="en-GB"/>
        </w:rPr>
        <w:t>or inapplicable</w:t>
      </w:r>
      <w:r w:rsidR="00B602F9">
        <w:rPr>
          <w:lang w:val="en-GB"/>
        </w:rPr>
        <w:t xml:space="preserve"> or irrelevant</w:t>
      </w:r>
      <w:r w:rsidR="00E65B50">
        <w:rPr>
          <w:lang w:val="en-GB"/>
        </w:rPr>
        <w:t xml:space="preserve"> </w:t>
      </w:r>
      <w:r w:rsidR="005542C9">
        <w:rPr>
          <w:lang w:val="en-GB"/>
        </w:rPr>
        <w:t>to</w:t>
      </w:r>
      <w:r w:rsidR="00E65B50">
        <w:rPr>
          <w:lang w:val="en-GB"/>
        </w:rPr>
        <w:t xml:space="preserve"> a </w:t>
      </w:r>
      <w:r w:rsidR="00765C30">
        <w:rPr>
          <w:lang w:val="en-GB"/>
        </w:rPr>
        <w:t>specific</w:t>
      </w:r>
      <w:r w:rsidR="00E65B50">
        <w:rPr>
          <w:lang w:val="en-GB"/>
        </w:rPr>
        <w:t xml:space="preserve"> treaty body</w:t>
      </w:r>
      <w:r w:rsidR="00085963">
        <w:rPr>
          <w:rStyle w:val="FootnoteReference"/>
          <w:lang w:val="en-GB"/>
        </w:rPr>
        <w:footnoteReference w:id="50"/>
      </w:r>
      <w:r w:rsidR="00E65B50">
        <w:rPr>
          <w:lang w:val="en-GB"/>
        </w:rPr>
        <w:t>.</w:t>
      </w:r>
      <w:r w:rsidR="007F4143">
        <w:rPr>
          <w:lang w:val="en-GB"/>
        </w:rPr>
        <w:t xml:space="preserve"> The working group could be composed of 3 (troika) to 5 members and could integrate existing chairs. Such a coordination committee or joint working group could draw inspiration from other relevant bodies, including but not limited to the coordination committee of special procedures. </w:t>
      </w:r>
    </w:p>
    <w:p w14:paraId="4809AC02" w14:textId="77777777" w:rsidR="00F906A2" w:rsidRPr="00F906A2" w:rsidRDefault="00F906A2" w:rsidP="0019741F">
      <w:pPr>
        <w:pStyle w:val="ListParagraph"/>
        <w:spacing w:before="120" w:after="120" w:line="240" w:lineRule="auto"/>
        <w:ind w:left="1068"/>
        <w:jc w:val="both"/>
        <w:rPr>
          <w:lang w:val="en-GB"/>
        </w:rPr>
      </w:pPr>
    </w:p>
    <w:p w14:paraId="3618A291" w14:textId="77777777" w:rsidR="00591327" w:rsidRDefault="00591327" w:rsidP="0019741F">
      <w:pPr>
        <w:pStyle w:val="Heading1"/>
        <w:numPr>
          <w:ilvl w:val="0"/>
          <w:numId w:val="4"/>
        </w:numPr>
        <w:spacing w:before="120" w:after="120" w:line="240" w:lineRule="auto"/>
        <w:ind w:left="426" w:hanging="66"/>
        <w:jc w:val="both"/>
        <w:rPr>
          <w:rFonts w:asciiTheme="minorHAnsi" w:hAnsiTheme="minorHAnsi"/>
          <w:color w:val="C00000"/>
          <w:sz w:val="24"/>
          <w:lang w:val="en-GB"/>
        </w:rPr>
      </w:pPr>
      <w:bookmarkStart w:id="22" w:name="_Toc7787792"/>
      <w:r w:rsidRPr="00091938">
        <w:rPr>
          <w:rFonts w:asciiTheme="minorHAnsi" w:hAnsiTheme="minorHAnsi"/>
          <w:color w:val="C00000"/>
          <w:sz w:val="24"/>
          <w:lang w:val="en-GB"/>
        </w:rPr>
        <w:t>Effectiveness of measures to ensure sustainability</w:t>
      </w:r>
      <w:bookmarkEnd w:id="22"/>
    </w:p>
    <w:p w14:paraId="6A216658" w14:textId="4328DEA4" w:rsidR="00AA0CCF" w:rsidRPr="00AA0CCF" w:rsidRDefault="00AA0CCF" w:rsidP="0019741F">
      <w:pPr>
        <w:spacing w:before="120" w:after="120" w:line="240" w:lineRule="auto"/>
        <w:jc w:val="both"/>
        <w:rPr>
          <w:lang w:val="en-GB"/>
        </w:rPr>
      </w:pPr>
      <w:r w:rsidRPr="00AA0CCF">
        <w:rPr>
          <w:lang w:val="en-GB"/>
        </w:rPr>
        <w:t>As stated above, it is clear that the treaty body system will continue to face grea</w:t>
      </w:r>
      <w:r w:rsidR="002335CC">
        <w:rPr>
          <w:lang w:val="en-GB"/>
        </w:rPr>
        <w:t>t</w:t>
      </w:r>
      <w:r w:rsidRPr="00AA0CCF">
        <w:rPr>
          <w:lang w:val="en-GB"/>
        </w:rPr>
        <w:t xml:space="preserve"> challenges unless and until far-reaching and long-lasting reforms are implemented across the system.</w:t>
      </w:r>
    </w:p>
    <w:p w14:paraId="1E603DB9" w14:textId="77777777" w:rsidR="00582FE3" w:rsidRPr="00582FE3" w:rsidRDefault="00582FE3" w:rsidP="0019741F">
      <w:pPr>
        <w:pStyle w:val="ListParagraph"/>
        <w:keepNext/>
        <w:keepLines/>
        <w:numPr>
          <w:ilvl w:val="0"/>
          <w:numId w:val="5"/>
        </w:numPr>
        <w:spacing w:before="120" w:after="120" w:line="240" w:lineRule="auto"/>
        <w:contextualSpacing w:val="0"/>
        <w:outlineLvl w:val="1"/>
        <w:rPr>
          <w:rFonts w:eastAsiaTheme="majorEastAsia" w:cstheme="majorBidi"/>
          <w:i/>
          <w:vanish/>
          <w:color w:val="C00000"/>
          <w:szCs w:val="26"/>
          <w:lang w:val="en-GB"/>
        </w:rPr>
      </w:pPr>
      <w:bookmarkStart w:id="23" w:name="_Toc6232005"/>
      <w:bookmarkStart w:id="24" w:name="_Toc6233545"/>
      <w:bookmarkStart w:id="25" w:name="_Toc6241633"/>
      <w:bookmarkStart w:id="26" w:name="_Toc6392887"/>
      <w:bookmarkStart w:id="27" w:name="_Toc6395578"/>
      <w:bookmarkStart w:id="28" w:name="_Toc7786479"/>
      <w:bookmarkStart w:id="29" w:name="_Toc7787793"/>
      <w:bookmarkEnd w:id="23"/>
      <w:bookmarkEnd w:id="24"/>
      <w:bookmarkEnd w:id="25"/>
      <w:bookmarkEnd w:id="26"/>
      <w:bookmarkEnd w:id="27"/>
      <w:bookmarkEnd w:id="28"/>
      <w:bookmarkEnd w:id="29"/>
    </w:p>
    <w:p w14:paraId="6D2CB06E" w14:textId="0AAA9ACC" w:rsidR="00F4510D" w:rsidRPr="00091938" w:rsidRDefault="00D027C7" w:rsidP="0019741F">
      <w:pPr>
        <w:spacing w:before="120" w:after="120" w:line="240" w:lineRule="auto"/>
        <w:jc w:val="both"/>
        <w:rPr>
          <w:lang w:val="en-GB"/>
        </w:rPr>
      </w:pPr>
      <w:r>
        <w:rPr>
          <w:lang w:val="en-GB"/>
        </w:rPr>
        <w:t>ISHR has</w:t>
      </w:r>
      <w:r w:rsidR="00F4510D" w:rsidRPr="00091938">
        <w:rPr>
          <w:lang w:val="en-GB"/>
        </w:rPr>
        <w:t xml:space="preserve"> identified </w:t>
      </w:r>
      <w:r w:rsidR="00002E51">
        <w:rPr>
          <w:lang w:val="en-GB"/>
        </w:rPr>
        <w:t>four</w:t>
      </w:r>
      <w:r w:rsidR="00F4510D" w:rsidRPr="00091938">
        <w:rPr>
          <w:lang w:val="en-GB"/>
        </w:rPr>
        <w:t xml:space="preserve"> </w:t>
      </w:r>
      <w:r>
        <w:rPr>
          <w:lang w:val="en-GB"/>
        </w:rPr>
        <w:t>urgent</w:t>
      </w:r>
      <w:r w:rsidR="00F4510D" w:rsidRPr="00091938">
        <w:rPr>
          <w:lang w:val="en-GB"/>
        </w:rPr>
        <w:t xml:space="preserve"> </w:t>
      </w:r>
      <w:r w:rsidR="00FA1F6C">
        <w:rPr>
          <w:lang w:val="en-GB"/>
        </w:rPr>
        <w:t>inter-rela</w:t>
      </w:r>
      <w:r w:rsidR="00136FB6">
        <w:rPr>
          <w:lang w:val="en-GB"/>
        </w:rPr>
        <w:t>t</w:t>
      </w:r>
      <w:r w:rsidR="00FA1F6C">
        <w:rPr>
          <w:lang w:val="en-GB"/>
        </w:rPr>
        <w:t xml:space="preserve">ed </w:t>
      </w:r>
      <w:r w:rsidR="00F4510D" w:rsidRPr="00091938">
        <w:rPr>
          <w:lang w:val="en-GB"/>
        </w:rPr>
        <w:t>challenges that need to be addressed as part of the 2020 review</w:t>
      </w:r>
      <w:r>
        <w:rPr>
          <w:lang w:val="en-GB"/>
        </w:rPr>
        <w:t xml:space="preserve"> to ensure the sustainability of</w:t>
      </w:r>
      <w:r w:rsidR="00E65B50">
        <w:rPr>
          <w:lang w:val="en-GB"/>
        </w:rPr>
        <w:t xml:space="preserve"> the</w:t>
      </w:r>
      <w:r>
        <w:rPr>
          <w:lang w:val="en-GB"/>
        </w:rPr>
        <w:t xml:space="preserve"> treaty bodies</w:t>
      </w:r>
      <w:r w:rsidR="0089577E">
        <w:rPr>
          <w:lang w:val="en-GB"/>
        </w:rPr>
        <w:t>, each of which is addressed below</w:t>
      </w:r>
      <w:r w:rsidR="00F4510D" w:rsidRPr="00091938">
        <w:rPr>
          <w:lang w:val="en-GB"/>
        </w:rPr>
        <w:t>:</w:t>
      </w:r>
    </w:p>
    <w:p w14:paraId="66795E13" w14:textId="77777777" w:rsidR="00F4510D" w:rsidRPr="00091938" w:rsidRDefault="00F4510D" w:rsidP="0019741F">
      <w:pPr>
        <w:pStyle w:val="ListParagraph"/>
        <w:numPr>
          <w:ilvl w:val="0"/>
          <w:numId w:val="3"/>
        </w:numPr>
        <w:spacing w:before="120" w:after="120" w:line="240" w:lineRule="auto"/>
        <w:jc w:val="both"/>
        <w:rPr>
          <w:lang w:val="en-GB"/>
        </w:rPr>
      </w:pPr>
      <w:r w:rsidRPr="00091938">
        <w:rPr>
          <w:lang w:val="en-GB"/>
        </w:rPr>
        <w:t>The la</w:t>
      </w:r>
      <w:r w:rsidR="00286BEE">
        <w:rPr>
          <w:lang w:val="en-GB"/>
        </w:rPr>
        <w:t>ck of predictability in state reviews, including adoption of list of issues and follow up</w:t>
      </w:r>
      <w:r w:rsidR="00FA0304">
        <w:rPr>
          <w:lang w:val="en-GB"/>
        </w:rPr>
        <w:t>.</w:t>
      </w:r>
    </w:p>
    <w:p w14:paraId="591AF151" w14:textId="204251A9" w:rsidR="00F4510D" w:rsidRPr="00091938" w:rsidRDefault="00F4510D" w:rsidP="0019741F">
      <w:pPr>
        <w:pStyle w:val="ListParagraph"/>
        <w:numPr>
          <w:ilvl w:val="0"/>
          <w:numId w:val="3"/>
        </w:numPr>
        <w:spacing w:before="120" w:after="120" w:line="240" w:lineRule="auto"/>
        <w:jc w:val="both"/>
        <w:rPr>
          <w:lang w:val="en-GB"/>
        </w:rPr>
      </w:pPr>
      <w:r w:rsidRPr="00091938">
        <w:rPr>
          <w:lang w:val="en-GB"/>
        </w:rPr>
        <w:t xml:space="preserve">The limited transparency, visibility, and accessibility of the system, which considerably limits engagement by </w:t>
      </w:r>
      <w:r w:rsidR="00E65B50">
        <w:rPr>
          <w:lang w:val="en-GB"/>
        </w:rPr>
        <w:t xml:space="preserve">national level </w:t>
      </w:r>
      <w:r w:rsidRPr="00091938">
        <w:rPr>
          <w:lang w:val="en-GB"/>
        </w:rPr>
        <w:t>civil society</w:t>
      </w:r>
      <w:r w:rsidR="00FA0304">
        <w:rPr>
          <w:lang w:val="en-GB"/>
        </w:rPr>
        <w:t xml:space="preserve"> and national human rights institutions</w:t>
      </w:r>
      <w:r w:rsidRPr="00091938">
        <w:rPr>
          <w:lang w:val="en-GB"/>
        </w:rPr>
        <w:t xml:space="preserve">. </w:t>
      </w:r>
    </w:p>
    <w:p w14:paraId="79A89846" w14:textId="77777777" w:rsidR="00F4510D" w:rsidRPr="00091938" w:rsidRDefault="00F4510D" w:rsidP="0019741F">
      <w:pPr>
        <w:pStyle w:val="ListParagraph"/>
        <w:numPr>
          <w:ilvl w:val="0"/>
          <w:numId w:val="3"/>
        </w:numPr>
        <w:spacing w:before="120" w:after="120" w:line="240" w:lineRule="auto"/>
        <w:jc w:val="both"/>
        <w:rPr>
          <w:lang w:val="en-GB"/>
        </w:rPr>
      </w:pPr>
      <w:r w:rsidRPr="00091938">
        <w:rPr>
          <w:lang w:val="en-GB"/>
        </w:rPr>
        <w:t>The multiplication and fragmentation of working methods across the treaty bodies, which also considerably complicates and hampers civil society engagement with the treaty bodies, particularly for organisations which engage with several treaty bodies.</w:t>
      </w:r>
    </w:p>
    <w:p w14:paraId="53E6AC31" w14:textId="2826314A" w:rsidR="00F4510D" w:rsidRPr="00091938" w:rsidRDefault="00F4510D" w:rsidP="0019741F">
      <w:pPr>
        <w:pStyle w:val="ListParagraph"/>
        <w:numPr>
          <w:ilvl w:val="0"/>
          <w:numId w:val="3"/>
        </w:numPr>
        <w:spacing w:before="120" w:after="120" w:line="240" w:lineRule="auto"/>
        <w:jc w:val="both"/>
        <w:rPr>
          <w:lang w:val="en-GB"/>
        </w:rPr>
      </w:pPr>
      <w:r w:rsidRPr="00091938">
        <w:rPr>
          <w:lang w:val="en-GB"/>
        </w:rPr>
        <w:t xml:space="preserve">The </w:t>
      </w:r>
      <w:r w:rsidR="00286BEE">
        <w:rPr>
          <w:lang w:val="en-GB"/>
        </w:rPr>
        <w:t>chronic lack</w:t>
      </w:r>
      <w:r w:rsidRPr="00091938">
        <w:rPr>
          <w:lang w:val="en-GB"/>
        </w:rPr>
        <w:t xml:space="preserve"> of</w:t>
      </w:r>
      <w:r w:rsidR="00286BEE">
        <w:rPr>
          <w:lang w:val="en-GB"/>
        </w:rPr>
        <w:t xml:space="preserve"> adequate</w:t>
      </w:r>
      <w:r w:rsidRPr="00091938">
        <w:rPr>
          <w:lang w:val="en-GB"/>
        </w:rPr>
        <w:t xml:space="preserve"> financial </w:t>
      </w:r>
      <w:r w:rsidR="00CA54C8">
        <w:rPr>
          <w:lang w:val="en-GB"/>
        </w:rPr>
        <w:t xml:space="preserve">and human </w:t>
      </w:r>
      <w:r w:rsidRPr="00091938">
        <w:rPr>
          <w:lang w:val="en-GB"/>
        </w:rPr>
        <w:t xml:space="preserve">resources, which </w:t>
      </w:r>
      <w:r w:rsidR="00286BEE">
        <w:rPr>
          <w:lang w:val="en-GB"/>
        </w:rPr>
        <w:t xml:space="preserve">currently </w:t>
      </w:r>
      <w:r w:rsidRPr="00091938">
        <w:rPr>
          <w:lang w:val="en-GB"/>
        </w:rPr>
        <w:t xml:space="preserve">results in unacceptable delays in the consideration of </w:t>
      </w:r>
      <w:r w:rsidR="00E65B50">
        <w:rPr>
          <w:lang w:val="en-GB"/>
        </w:rPr>
        <w:t xml:space="preserve">individual </w:t>
      </w:r>
      <w:r w:rsidRPr="00091938">
        <w:rPr>
          <w:lang w:val="en-GB"/>
        </w:rPr>
        <w:t>communications</w:t>
      </w:r>
      <w:r w:rsidR="00701653">
        <w:rPr>
          <w:lang w:val="en-GB"/>
        </w:rPr>
        <w:t xml:space="preserve"> and requests for urgent action</w:t>
      </w:r>
      <w:r w:rsidR="00664BDA">
        <w:rPr>
          <w:lang w:val="en-GB"/>
        </w:rPr>
        <w:t xml:space="preserve"> and inquiries</w:t>
      </w:r>
      <w:r w:rsidRPr="00091938">
        <w:rPr>
          <w:lang w:val="en-GB"/>
        </w:rPr>
        <w:t xml:space="preserve">. </w:t>
      </w:r>
    </w:p>
    <w:p w14:paraId="5368A9E4" w14:textId="77777777" w:rsidR="001E3268" w:rsidRDefault="001E3268" w:rsidP="0019741F">
      <w:pPr>
        <w:spacing w:before="120" w:after="120" w:line="240" w:lineRule="auto"/>
        <w:jc w:val="both"/>
        <w:rPr>
          <w:lang w:val="en-GB"/>
        </w:rPr>
      </w:pPr>
    </w:p>
    <w:p w14:paraId="714A84B7" w14:textId="77777777" w:rsidR="00391EBE" w:rsidRPr="00091938" w:rsidRDefault="00391EBE" w:rsidP="0019741F">
      <w:pPr>
        <w:pStyle w:val="Heading2"/>
        <w:numPr>
          <w:ilvl w:val="1"/>
          <w:numId w:val="5"/>
        </w:numPr>
        <w:spacing w:before="120" w:after="120" w:line="240" w:lineRule="auto"/>
        <w:rPr>
          <w:rFonts w:asciiTheme="minorHAnsi" w:hAnsiTheme="minorHAnsi"/>
          <w:i/>
          <w:color w:val="C00000"/>
          <w:sz w:val="22"/>
          <w:lang w:val="en-GB"/>
        </w:rPr>
      </w:pPr>
      <w:bookmarkStart w:id="30" w:name="_Toc7787794"/>
      <w:r>
        <w:rPr>
          <w:rFonts w:asciiTheme="minorHAnsi" w:hAnsiTheme="minorHAnsi"/>
          <w:i/>
          <w:color w:val="C00000"/>
          <w:sz w:val="22"/>
          <w:lang w:val="en-GB"/>
        </w:rPr>
        <w:t>Lack</w:t>
      </w:r>
      <w:r w:rsidR="0059515C">
        <w:rPr>
          <w:rFonts w:asciiTheme="minorHAnsi" w:hAnsiTheme="minorHAnsi"/>
          <w:i/>
          <w:color w:val="C00000"/>
          <w:sz w:val="22"/>
          <w:lang w:val="en-GB"/>
        </w:rPr>
        <w:t xml:space="preserve"> of predictability across the system</w:t>
      </w:r>
      <w:bookmarkEnd w:id="30"/>
      <w:r w:rsidR="0059515C">
        <w:rPr>
          <w:rFonts w:asciiTheme="minorHAnsi" w:hAnsiTheme="minorHAnsi"/>
          <w:i/>
          <w:color w:val="C00000"/>
          <w:sz w:val="22"/>
          <w:lang w:val="en-GB"/>
        </w:rPr>
        <w:t xml:space="preserve"> </w:t>
      </w:r>
    </w:p>
    <w:p w14:paraId="52D2481B" w14:textId="72A7A194" w:rsidR="006016F3" w:rsidRDefault="006016F3" w:rsidP="0019741F">
      <w:pPr>
        <w:spacing w:before="120" w:after="120" w:line="240" w:lineRule="auto"/>
        <w:jc w:val="both"/>
        <w:rPr>
          <w:lang w:val="en-GB"/>
        </w:rPr>
      </w:pPr>
      <w:r>
        <w:rPr>
          <w:lang w:val="en-GB"/>
        </w:rPr>
        <w:t xml:space="preserve">A number of proposals have been made in previous decades to address the lack of predictability of reviews and related stages, including adoption of lists of issues and follow up. </w:t>
      </w:r>
      <w:r w:rsidR="009F6704">
        <w:rPr>
          <w:lang w:val="en-GB"/>
        </w:rPr>
        <w:t>As far back as 1989, Philip Alston called for a “</w:t>
      </w:r>
      <w:r w:rsidR="000B2591">
        <w:rPr>
          <w:lang w:val="en-GB"/>
        </w:rPr>
        <w:t>more closely coordinated periodicity” and that due dates for state reports should be staggered</w:t>
      </w:r>
      <w:r w:rsidR="00FA0304">
        <w:rPr>
          <w:lang w:val="en-GB"/>
        </w:rPr>
        <w:t>.</w:t>
      </w:r>
      <w:r w:rsidR="000B2591">
        <w:rPr>
          <w:rStyle w:val="FootnoteReference"/>
          <w:lang w:val="en-GB"/>
        </w:rPr>
        <w:footnoteReference w:id="51"/>
      </w:r>
      <w:r w:rsidR="00475D54">
        <w:rPr>
          <w:lang w:val="en-GB"/>
        </w:rPr>
        <w:t xml:space="preserve"> Proposals for a single state report</w:t>
      </w:r>
      <w:r w:rsidR="00FA0304">
        <w:rPr>
          <w:lang w:val="en-GB"/>
        </w:rPr>
        <w:t>,</w:t>
      </w:r>
      <w:r w:rsidR="002D4B1A">
        <w:rPr>
          <w:rStyle w:val="FootnoteReference"/>
          <w:lang w:val="en-GB"/>
        </w:rPr>
        <w:footnoteReference w:id="52"/>
      </w:r>
      <w:r w:rsidR="001F6150">
        <w:rPr>
          <w:lang w:val="en-GB"/>
        </w:rPr>
        <w:t xml:space="preserve"> for a unified treaty body</w:t>
      </w:r>
      <w:r w:rsidR="001F6150">
        <w:rPr>
          <w:rStyle w:val="FootnoteReference"/>
          <w:lang w:val="en-GB"/>
        </w:rPr>
        <w:footnoteReference w:id="53"/>
      </w:r>
      <w:r w:rsidR="00475D54">
        <w:rPr>
          <w:lang w:val="en-GB"/>
        </w:rPr>
        <w:t xml:space="preserve"> </w:t>
      </w:r>
      <w:r w:rsidR="001F6150">
        <w:rPr>
          <w:lang w:val="en-GB"/>
        </w:rPr>
        <w:t>and for a comprehensive (and predictable) reporting calendar</w:t>
      </w:r>
      <w:r w:rsidR="001F6150" w:rsidRPr="00091938">
        <w:rPr>
          <w:rStyle w:val="FootnoteReference"/>
          <w:lang w:val="en-GB"/>
        </w:rPr>
        <w:footnoteReference w:id="54"/>
      </w:r>
      <w:r w:rsidR="001F6150">
        <w:rPr>
          <w:lang w:val="en-GB"/>
        </w:rPr>
        <w:t xml:space="preserve"> were not adopted</w:t>
      </w:r>
      <w:r w:rsidR="00FA0304">
        <w:rPr>
          <w:lang w:val="en-GB"/>
        </w:rPr>
        <w:t>,</w:t>
      </w:r>
      <w:r w:rsidR="001F6150">
        <w:rPr>
          <w:lang w:val="en-GB"/>
        </w:rPr>
        <w:t xml:space="preserve"> </w:t>
      </w:r>
      <w:r w:rsidR="00E65B50">
        <w:rPr>
          <w:lang w:val="en-GB"/>
        </w:rPr>
        <w:t>without any</w:t>
      </w:r>
      <w:r w:rsidR="001F6150">
        <w:rPr>
          <w:lang w:val="en-GB"/>
        </w:rPr>
        <w:t xml:space="preserve"> </w:t>
      </w:r>
      <w:r w:rsidR="00FA0304">
        <w:rPr>
          <w:lang w:val="en-GB"/>
        </w:rPr>
        <w:t xml:space="preserve">real </w:t>
      </w:r>
      <w:r w:rsidR="001F6150">
        <w:rPr>
          <w:lang w:val="en-GB"/>
        </w:rPr>
        <w:t xml:space="preserve">attempts </w:t>
      </w:r>
      <w:r w:rsidR="009328DB">
        <w:rPr>
          <w:lang w:val="en-GB"/>
        </w:rPr>
        <w:t xml:space="preserve">made </w:t>
      </w:r>
      <w:r w:rsidR="00FA0304">
        <w:rPr>
          <w:lang w:val="en-GB"/>
        </w:rPr>
        <w:t>to</w:t>
      </w:r>
      <w:r w:rsidR="001F6150">
        <w:rPr>
          <w:lang w:val="en-GB"/>
        </w:rPr>
        <w:t xml:space="preserve"> test their practical implications.</w:t>
      </w:r>
    </w:p>
    <w:p w14:paraId="682515BD" w14:textId="77777777" w:rsidR="006016F3" w:rsidRDefault="006016F3" w:rsidP="0019741F">
      <w:pPr>
        <w:spacing w:before="120" w:after="120" w:line="240" w:lineRule="auto"/>
        <w:jc w:val="both"/>
        <w:rPr>
          <w:lang w:val="en-GB"/>
        </w:rPr>
      </w:pPr>
    </w:p>
    <w:p w14:paraId="71BFDD02" w14:textId="77777777" w:rsidR="009328DB" w:rsidRPr="00091938" w:rsidRDefault="009328DB" w:rsidP="0019741F">
      <w:pPr>
        <w:pStyle w:val="ListParagraph"/>
        <w:numPr>
          <w:ilvl w:val="0"/>
          <w:numId w:val="13"/>
        </w:numPr>
        <w:spacing w:before="120" w:after="120" w:line="240" w:lineRule="auto"/>
        <w:jc w:val="both"/>
        <w:rPr>
          <w:color w:val="C00000"/>
          <w:szCs w:val="20"/>
          <w:lang w:val="en-GB"/>
        </w:rPr>
      </w:pPr>
      <w:r w:rsidRPr="00091938">
        <w:rPr>
          <w:color w:val="C00000"/>
          <w:szCs w:val="20"/>
          <w:lang w:val="en-GB"/>
        </w:rPr>
        <w:t>Recommendations</w:t>
      </w:r>
    </w:p>
    <w:p w14:paraId="33A31861" w14:textId="23EEA979" w:rsidR="00E65B50" w:rsidRPr="00E65B50" w:rsidRDefault="00AE709A" w:rsidP="0019741F">
      <w:pPr>
        <w:pStyle w:val="ListParagraph"/>
        <w:numPr>
          <w:ilvl w:val="0"/>
          <w:numId w:val="12"/>
        </w:numPr>
        <w:spacing w:before="120" w:after="120" w:line="240" w:lineRule="auto"/>
        <w:jc w:val="both"/>
        <w:rPr>
          <w:lang w:val="en-GB"/>
        </w:rPr>
      </w:pPr>
      <w:r>
        <w:rPr>
          <w:szCs w:val="20"/>
          <w:lang w:val="en-GB"/>
        </w:rPr>
        <w:t>In line with the pledge recently announced by the Human Rights Committee</w:t>
      </w:r>
      <w:r w:rsidR="00E47ED1">
        <w:rPr>
          <w:szCs w:val="20"/>
          <w:lang w:val="en-GB"/>
        </w:rPr>
        <w:t>,</w:t>
      </w:r>
      <w:r w:rsidR="00EA6BB9">
        <w:rPr>
          <w:rStyle w:val="FootnoteReference"/>
          <w:szCs w:val="20"/>
          <w:lang w:val="en-GB"/>
        </w:rPr>
        <w:footnoteReference w:id="55"/>
      </w:r>
      <w:r>
        <w:rPr>
          <w:szCs w:val="20"/>
          <w:lang w:val="en-GB"/>
        </w:rPr>
        <w:t xml:space="preserve"> all treaty bodies should move towards a predictable review cycle, in coordination with fellow treaty bodies</w:t>
      </w:r>
      <w:r w:rsidR="005D1640">
        <w:rPr>
          <w:szCs w:val="20"/>
          <w:lang w:val="en-GB"/>
        </w:rPr>
        <w:t>.</w:t>
      </w:r>
      <w:r w:rsidR="00E65B50">
        <w:rPr>
          <w:szCs w:val="20"/>
          <w:lang w:val="en-GB"/>
        </w:rPr>
        <w:t xml:space="preserve"> </w:t>
      </w:r>
    </w:p>
    <w:p w14:paraId="3D9405D1" w14:textId="77777777" w:rsidR="009351DE" w:rsidRDefault="009351DE" w:rsidP="0019741F">
      <w:pPr>
        <w:spacing w:before="120" w:after="120" w:line="240" w:lineRule="auto"/>
        <w:jc w:val="both"/>
        <w:rPr>
          <w:lang w:val="en-GB"/>
        </w:rPr>
      </w:pPr>
    </w:p>
    <w:p w14:paraId="72AFF8F1" w14:textId="77777777" w:rsidR="009351DE" w:rsidRPr="00091938" w:rsidRDefault="009351DE" w:rsidP="0019741F">
      <w:pPr>
        <w:pStyle w:val="Heading2"/>
        <w:numPr>
          <w:ilvl w:val="1"/>
          <w:numId w:val="5"/>
        </w:numPr>
        <w:spacing w:before="120" w:after="120" w:line="240" w:lineRule="auto"/>
        <w:rPr>
          <w:rFonts w:asciiTheme="minorHAnsi" w:hAnsiTheme="minorHAnsi"/>
          <w:i/>
          <w:color w:val="C00000"/>
          <w:sz w:val="22"/>
          <w:lang w:val="en-GB"/>
        </w:rPr>
      </w:pPr>
      <w:bookmarkStart w:id="31" w:name="_Toc7787795"/>
      <w:r>
        <w:rPr>
          <w:rFonts w:asciiTheme="minorHAnsi" w:hAnsiTheme="minorHAnsi"/>
          <w:i/>
          <w:color w:val="C00000"/>
          <w:sz w:val="22"/>
          <w:lang w:val="en-GB"/>
        </w:rPr>
        <w:t>Limited transparency and visibility of the system</w:t>
      </w:r>
      <w:bookmarkEnd w:id="31"/>
      <w:r>
        <w:rPr>
          <w:rFonts w:asciiTheme="minorHAnsi" w:hAnsiTheme="minorHAnsi"/>
          <w:i/>
          <w:color w:val="C00000"/>
          <w:sz w:val="22"/>
          <w:lang w:val="en-GB"/>
        </w:rPr>
        <w:t xml:space="preserve"> </w:t>
      </w:r>
    </w:p>
    <w:p w14:paraId="63EE2378" w14:textId="77777777" w:rsidR="0050582C" w:rsidRDefault="00625D3B" w:rsidP="0019741F">
      <w:pPr>
        <w:spacing w:before="120" w:after="120" w:line="240" w:lineRule="auto"/>
        <w:jc w:val="both"/>
        <w:rPr>
          <w:lang w:val="en-GB"/>
        </w:rPr>
      </w:pPr>
      <w:r>
        <w:rPr>
          <w:lang w:val="en-GB"/>
        </w:rPr>
        <w:t>The</w:t>
      </w:r>
      <w:r w:rsidR="0050582C">
        <w:rPr>
          <w:lang w:val="en-GB"/>
        </w:rPr>
        <w:t xml:space="preserve"> continued</w:t>
      </w:r>
      <w:r>
        <w:rPr>
          <w:lang w:val="en-GB"/>
        </w:rPr>
        <w:t xml:space="preserve"> limit</w:t>
      </w:r>
      <w:r w:rsidR="0050582C">
        <w:rPr>
          <w:lang w:val="en-GB"/>
        </w:rPr>
        <w:t>ations in the transparency of the system are</w:t>
      </w:r>
      <w:r>
        <w:rPr>
          <w:lang w:val="en-GB"/>
        </w:rPr>
        <w:t xml:space="preserve"> addressed in </w:t>
      </w:r>
      <w:r w:rsidR="0050582C">
        <w:rPr>
          <w:lang w:val="en-GB"/>
        </w:rPr>
        <w:t xml:space="preserve">§2.4 supra. </w:t>
      </w:r>
    </w:p>
    <w:p w14:paraId="41D39E6A" w14:textId="537F1B7A" w:rsidR="00CE3310" w:rsidRDefault="0050582C" w:rsidP="0019741F">
      <w:pPr>
        <w:spacing w:before="120" w:after="120" w:line="240" w:lineRule="auto"/>
        <w:jc w:val="both"/>
        <w:rPr>
          <w:lang w:val="en-GB"/>
        </w:rPr>
      </w:pPr>
      <w:r>
        <w:rPr>
          <w:lang w:val="en-GB"/>
        </w:rPr>
        <w:t>A key aspect of the visibility of the s</w:t>
      </w:r>
      <w:r w:rsidR="003B3B71">
        <w:rPr>
          <w:lang w:val="en-GB"/>
        </w:rPr>
        <w:t xml:space="preserve">ystem is at the national level, where states have a duty to implement concluding observations and views. ISHR welcomes the adoption by most treaty bodies of elaborate </w:t>
      </w:r>
      <w:r w:rsidR="000E2A5D">
        <w:rPr>
          <w:lang w:val="en-GB"/>
        </w:rPr>
        <w:t>policies</w:t>
      </w:r>
      <w:r w:rsidR="003B3B71">
        <w:rPr>
          <w:lang w:val="en-GB"/>
        </w:rPr>
        <w:t xml:space="preserve"> on follow up to concluding observations and views, which considerably improve the visibility on implementation</w:t>
      </w:r>
      <w:r w:rsidR="00E47ED1">
        <w:rPr>
          <w:lang w:val="en-GB"/>
        </w:rPr>
        <w:t>.</w:t>
      </w:r>
      <w:r w:rsidR="003B3B71">
        <w:rPr>
          <w:rStyle w:val="FootnoteReference"/>
          <w:lang w:val="en-GB"/>
        </w:rPr>
        <w:footnoteReference w:id="56"/>
      </w:r>
      <w:r w:rsidR="000E2A5D">
        <w:rPr>
          <w:lang w:val="en-GB"/>
        </w:rPr>
        <w:t xml:space="preserve"> We have called on </w:t>
      </w:r>
      <w:r w:rsidR="00B11861" w:rsidRPr="00B11861">
        <w:rPr>
          <w:lang w:val="en-GB"/>
        </w:rPr>
        <w:t xml:space="preserve">UN country teams and UN </w:t>
      </w:r>
      <w:r w:rsidR="000E2A5D">
        <w:rPr>
          <w:lang w:val="en-GB"/>
        </w:rPr>
        <w:t xml:space="preserve">agencies at the national </w:t>
      </w:r>
      <w:r w:rsidR="00E47ED1">
        <w:rPr>
          <w:lang w:val="en-GB"/>
        </w:rPr>
        <w:t xml:space="preserve">and regional </w:t>
      </w:r>
      <w:r w:rsidR="000E2A5D">
        <w:rPr>
          <w:lang w:val="en-GB"/>
        </w:rPr>
        <w:t>level</w:t>
      </w:r>
      <w:r w:rsidR="00E47ED1">
        <w:rPr>
          <w:lang w:val="en-GB"/>
        </w:rPr>
        <w:t>s</w:t>
      </w:r>
      <w:r w:rsidR="00B11861" w:rsidRPr="00B11861">
        <w:rPr>
          <w:lang w:val="en-GB"/>
        </w:rPr>
        <w:t xml:space="preserve"> to disseminate and translate concluding observations and views</w:t>
      </w:r>
      <w:r w:rsidR="005B7155">
        <w:rPr>
          <w:lang w:val="en-GB"/>
        </w:rPr>
        <w:t>, especially in countries with no OHCHR presence</w:t>
      </w:r>
      <w:r w:rsidR="00B11861" w:rsidRPr="00B11861">
        <w:rPr>
          <w:lang w:val="en-GB"/>
        </w:rPr>
        <w:t xml:space="preserve">. </w:t>
      </w:r>
      <w:r w:rsidR="00286C3F">
        <w:rPr>
          <w:lang w:val="en-GB"/>
        </w:rPr>
        <w:t xml:space="preserve">NHRIs can and should also play a leading role in that regard. </w:t>
      </w:r>
    </w:p>
    <w:p w14:paraId="4E4DFB93" w14:textId="77777777" w:rsidR="00F25215" w:rsidRDefault="00F25215" w:rsidP="0019741F">
      <w:pPr>
        <w:spacing w:before="120" w:after="120" w:line="240" w:lineRule="auto"/>
        <w:jc w:val="both"/>
        <w:rPr>
          <w:lang w:val="en-GB"/>
        </w:rPr>
      </w:pPr>
    </w:p>
    <w:p w14:paraId="6E7130F5" w14:textId="77777777" w:rsidR="00CE3310" w:rsidRPr="00091938" w:rsidRDefault="00CE3310" w:rsidP="0019741F">
      <w:pPr>
        <w:pStyle w:val="ListParagraph"/>
        <w:numPr>
          <w:ilvl w:val="0"/>
          <w:numId w:val="13"/>
        </w:numPr>
        <w:spacing w:before="120" w:after="120" w:line="240" w:lineRule="auto"/>
        <w:jc w:val="both"/>
        <w:rPr>
          <w:color w:val="C00000"/>
          <w:szCs w:val="20"/>
          <w:lang w:val="en-GB"/>
        </w:rPr>
      </w:pPr>
      <w:r w:rsidRPr="00091938">
        <w:rPr>
          <w:color w:val="C00000"/>
          <w:szCs w:val="20"/>
          <w:lang w:val="en-GB"/>
        </w:rPr>
        <w:t>Recommendations</w:t>
      </w:r>
    </w:p>
    <w:p w14:paraId="077008CA" w14:textId="36207848" w:rsidR="00CE3310" w:rsidRPr="00CE3310" w:rsidRDefault="00CE3310" w:rsidP="0019741F">
      <w:pPr>
        <w:pStyle w:val="ListParagraph"/>
        <w:numPr>
          <w:ilvl w:val="0"/>
          <w:numId w:val="12"/>
        </w:numPr>
        <w:spacing w:before="120" w:after="120" w:line="240" w:lineRule="auto"/>
        <w:jc w:val="both"/>
        <w:rPr>
          <w:lang w:val="en-GB"/>
        </w:rPr>
      </w:pPr>
      <w:r>
        <w:rPr>
          <w:szCs w:val="20"/>
          <w:lang w:val="en-GB"/>
        </w:rPr>
        <w:t>Continue and strengthen efforts to disseminate treaty body C</w:t>
      </w:r>
      <w:r w:rsidR="00E47ED1">
        <w:rPr>
          <w:szCs w:val="20"/>
          <w:lang w:val="en-GB"/>
        </w:rPr>
        <w:t>oncluding Observation</w:t>
      </w:r>
      <w:r>
        <w:rPr>
          <w:szCs w:val="20"/>
          <w:lang w:val="en-GB"/>
        </w:rPr>
        <w:t>s and views at the national level, including with support from UN field presences</w:t>
      </w:r>
      <w:r w:rsidR="00E47ED1">
        <w:rPr>
          <w:szCs w:val="20"/>
          <w:lang w:val="en-GB"/>
        </w:rPr>
        <w:t>.</w:t>
      </w:r>
    </w:p>
    <w:p w14:paraId="700DE281" w14:textId="022A884E" w:rsidR="00CE3310" w:rsidRPr="00F906A2" w:rsidRDefault="006A335F" w:rsidP="0019741F">
      <w:pPr>
        <w:pStyle w:val="ListParagraph"/>
        <w:numPr>
          <w:ilvl w:val="0"/>
          <w:numId w:val="12"/>
        </w:numPr>
        <w:spacing w:before="120" w:after="120" w:line="240" w:lineRule="auto"/>
        <w:jc w:val="both"/>
        <w:rPr>
          <w:lang w:val="en-GB"/>
        </w:rPr>
      </w:pPr>
      <w:r>
        <w:rPr>
          <w:szCs w:val="20"/>
          <w:lang w:val="en-GB"/>
        </w:rPr>
        <w:t xml:space="preserve">The UN Executive Committee </w:t>
      </w:r>
      <w:r w:rsidR="00CE3310">
        <w:rPr>
          <w:szCs w:val="20"/>
          <w:lang w:val="en-GB"/>
        </w:rPr>
        <w:t xml:space="preserve">should </w:t>
      </w:r>
      <w:r>
        <w:rPr>
          <w:szCs w:val="20"/>
          <w:lang w:val="en-GB"/>
        </w:rPr>
        <w:t>make sure that UN country teams and resident coordinators are not only made aware of</w:t>
      </w:r>
      <w:r w:rsidR="00CE3310">
        <w:rPr>
          <w:szCs w:val="20"/>
          <w:lang w:val="en-GB"/>
        </w:rPr>
        <w:t xml:space="preserve"> the relevant outputs of the treaty bodies</w:t>
      </w:r>
      <w:r w:rsidR="002E5327">
        <w:rPr>
          <w:rStyle w:val="FootnoteReference"/>
          <w:szCs w:val="20"/>
          <w:lang w:val="en-GB"/>
        </w:rPr>
        <w:footnoteReference w:id="57"/>
      </w:r>
      <w:r>
        <w:rPr>
          <w:szCs w:val="20"/>
          <w:lang w:val="en-GB"/>
        </w:rPr>
        <w:t xml:space="preserve">. They should also wherever possible and relevant facilitate the engagement of non-states actors in the review process, and enhance the visibility of treaty bodies by organising public screenings of the review, and largely disseminate recommendations in national languages and through national and social media channels. </w:t>
      </w:r>
    </w:p>
    <w:p w14:paraId="5FB766BF" w14:textId="77777777" w:rsidR="00CE3310" w:rsidRDefault="00CE3310" w:rsidP="0019741F">
      <w:pPr>
        <w:spacing w:before="120" w:after="120" w:line="240" w:lineRule="auto"/>
        <w:rPr>
          <w:lang w:val="en-GB"/>
        </w:rPr>
      </w:pPr>
    </w:p>
    <w:p w14:paraId="19ED9F35" w14:textId="77777777" w:rsidR="00367F66" w:rsidRPr="00091938" w:rsidRDefault="005408B1" w:rsidP="0019741F">
      <w:pPr>
        <w:pStyle w:val="Heading2"/>
        <w:numPr>
          <w:ilvl w:val="1"/>
          <w:numId w:val="5"/>
        </w:numPr>
        <w:spacing w:before="120" w:after="120" w:line="240" w:lineRule="auto"/>
        <w:rPr>
          <w:rFonts w:asciiTheme="minorHAnsi" w:hAnsiTheme="minorHAnsi"/>
          <w:i/>
          <w:color w:val="C00000"/>
          <w:sz w:val="22"/>
          <w:lang w:val="en-GB"/>
        </w:rPr>
      </w:pPr>
      <w:bookmarkStart w:id="32" w:name="_Toc7787796"/>
      <w:r>
        <w:rPr>
          <w:rFonts w:asciiTheme="minorHAnsi" w:hAnsiTheme="minorHAnsi"/>
          <w:i/>
          <w:color w:val="C00000"/>
          <w:sz w:val="22"/>
          <w:lang w:val="en-GB"/>
        </w:rPr>
        <w:t>Fragmentation of working methods</w:t>
      </w:r>
      <w:bookmarkEnd w:id="32"/>
    </w:p>
    <w:p w14:paraId="4C01645C" w14:textId="2106630D" w:rsidR="003158FA" w:rsidRDefault="005408B1" w:rsidP="0019741F">
      <w:pPr>
        <w:spacing w:before="120" w:after="120" w:line="240" w:lineRule="auto"/>
        <w:jc w:val="both"/>
        <w:rPr>
          <w:lang w:val="en-GB"/>
        </w:rPr>
      </w:pPr>
      <w:r w:rsidRPr="005408B1">
        <w:rPr>
          <w:lang w:val="en-GB"/>
        </w:rPr>
        <w:t>In 2011, former High Commissioner Navanethem Pillay identified the urgent issue of fragmentation of working methods across treaty bodies and noted that the issue had to be addressed. Pillay proposed “that the treaty bodies prepare common written guidelines to establish common procedures for all treaty bodies with a complaint procedure”</w:t>
      </w:r>
      <w:r w:rsidR="00E47ED1">
        <w:rPr>
          <w:lang w:val="en-GB"/>
        </w:rPr>
        <w:t>.</w:t>
      </w:r>
      <w:r w:rsidRPr="00091938">
        <w:rPr>
          <w:rStyle w:val="FootnoteReference"/>
          <w:lang w:val="en-GB"/>
        </w:rPr>
        <w:footnoteReference w:id="58"/>
      </w:r>
      <w:r w:rsidR="003158FA">
        <w:rPr>
          <w:lang w:val="en-GB"/>
        </w:rPr>
        <w:t xml:space="preserve"> </w:t>
      </w:r>
      <w:r w:rsidR="00AF37AB">
        <w:rPr>
          <w:lang w:val="en-GB"/>
        </w:rPr>
        <w:t>In fact</w:t>
      </w:r>
      <w:r w:rsidR="003158FA">
        <w:rPr>
          <w:lang w:val="en-GB"/>
        </w:rPr>
        <w:t xml:space="preserve">, that proposal could be </w:t>
      </w:r>
      <w:r w:rsidR="00E47ED1">
        <w:rPr>
          <w:lang w:val="en-GB"/>
        </w:rPr>
        <w:t>e</w:t>
      </w:r>
      <w:r w:rsidR="003158FA">
        <w:rPr>
          <w:lang w:val="en-GB"/>
        </w:rPr>
        <w:t>n</w:t>
      </w:r>
      <w:r w:rsidR="00E47ED1">
        <w:rPr>
          <w:lang w:val="en-GB"/>
        </w:rPr>
        <w:t>v</w:t>
      </w:r>
      <w:r w:rsidR="003158FA">
        <w:rPr>
          <w:lang w:val="en-GB"/>
        </w:rPr>
        <w:t xml:space="preserve">isaged not just for </w:t>
      </w:r>
      <w:r w:rsidR="00E47ED1">
        <w:rPr>
          <w:lang w:val="en-GB"/>
        </w:rPr>
        <w:t xml:space="preserve">communications </w:t>
      </w:r>
      <w:r w:rsidR="003158FA">
        <w:rPr>
          <w:lang w:val="en-GB"/>
        </w:rPr>
        <w:t xml:space="preserve">procedures, but more broadly for </w:t>
      </w:r>
      <w:r w:rsidR="00AF37AB">
        <w:rPr>
          <w:lang w:val="en-GB"/>
        </w:rPr>
        <w:t>every aspect of</w:t>
      </w:r>
      <w:r w:rsidR="003158FA">
        <w:rPr>
          <w:lang w:val="en-GB"/>
        </w:rPr>
        <w:t xml:space="preserve"> treaty bod</w:t>
      </w:r>
      <w:r w:rsidR="00AF37AB">
        <w:rPr>
          <w:lang w:val="en-GB"/>
        </w:rPr>
        <w:t>y procedure</w:t>
      </w:r>
      <w:r w:rsidR="008622CD">
        <w:rPr>
          <w:lang w:val="en-GB"/>
        </w:rPr>
        <w:t>s</w:t>
      </w:r>
      <w:r w:rsidR="003158FA">
        <w:rPr>
          <w:lang w:val="en-GB"/>
        </w:rPr>
        <w:t xml:space="preserve">. </w:t>
      </w:r>
    </w:p>
    <w:p w14:paraId="6C73E86C" w14:textId="53F28196" w:rsidR="005408B1" w:rsidRDefault="005408B1" w:rsidP="0019741F">
      <w:pPr>
        <w:spacing w:before="120" w:after="120" w:line="240" w:lineRule="auto"/>
        <w:jc w:val="both"/>
        <w:rPr>
          <w:lang w:val="en-GB"/>
        </w:rPr>
      </w:pPr>
      <w:r w:rsidRPr="005408B1">
        <w:rPr>
          <w:lang w:val="en-GB"/>
        </w:rPr>
        <w:t>Nearly ten years after the Pillay report, there is limited progress in harmoni</w:t>
      </w:r>
      <w:r w:rsidR="00E47ED1">
        <w:rPr>
          <w:lang w:val="en-GB"/>
        </w:rPr>
        <w:t>s</w:t>
      </w:r>
      <w:r w:rsidRPr="005408B1">
        <w:rPr>
          <w:lang w:val="en-GB"/>
        </w:rPr>
        <w:t>ation of working methods. Despite the 2011 recommendation by the treaty body chairs</w:t>
      </w:r>
      <w:r w:rsidRPr="00091938">
        <w:rPr>
          <w:rStyle w:val="FootnoteReference"/>
          <w:lang w:val="en-GB"/>
        </w:rPr>
        <w:footnoteReference w:id="59"/>
      </w:r>
      <w:r w:rsidRPr="005408B1">
        <w:rPr>
          <w:lang w:val="en-GB"/>
        </w:rPr>
        <w:t xml:space="preserve"> that measures to improve treaty body working methods should be implemented by all treaty bodies except those that dissociate themselves from it</w:t>
      </w:r>
      <w:r w:rsidR="003158FA">
        <w:rPr>
          <w:lang w:val="en-GB"/>
        </w:rPr>
        <w:t xml:space="preserve"> (</w:t>
      </w:r>
      <w:r w:rsidR="003158FA" w:rsidRPr="003158FA">
        <w:rPr>
          <w:i/>
          <w:lang w:val="en-GB"/>
        </w:rPr>
        <w:t>opt-out</w:t>
      </w:r>
      <w:r w:rsidR="003158FA">
        <w:rPr>
          <w:lang w:val="en-GB"/>
        </w:rPr>
        <w:t>), the</w:t>
      </w:r>
      <w:r w:rsidRPr="005408B1">
        <w:rPr>
          <w:lang w:val="en-GB"/>
        </w:rPr>
        <w:t xml:space="preserve"> practice </w:t>
      </w:r>
      <w:r w:rsidR="003158FA">
        <w:rPr>
          <w:lang w:val="en-GB"/>
        </w:rPr>
        <w:t>has tended to be</w:t>
      </w:r>
      <w:r w:rsidRPr="005408B1">
        <w:rPr>
          <w:lang w:val="en-GB"/>
        </w:rPr>
        <w:t xml:space="preserve"> the opposite</w:t>
      </w:r>
      <w:r w:rsidR="003158FA">
        <w:rPr>
          <w:lang w:val="en-GB"/>
        </w:rPr>
        <w:t xml:space="preserve"> (</w:t>
      </w:r>
      <w:r w:rsidR="003158FA" w:rsidRPr="003158FA">
        <w:rPr>
          <w:i/>
          <w:lang w:val="en-GB"/>
        </w:rPr>
        <w:t>opt-in</w:t>
      </w:r>
      <w:r w:rsidR="003158FA">
        <w:rPr>
          <w:lang w:val="en-GB"/>
        </w:rPr>
        <w:t>)</w:t>
      </w:r>
      <w:r w:rsidRPr="005408B1">
        <w:rPr>
          <w:lang w:val="en-GB"/>
        </w:rPr>
        <w:t xml:space="preserve">. Rather than applying to all treaty bodies automatically unless </w:t>
      </w:r>
      <w:r w:rsidR="00F95445">
        <w:rPr>
          <w:lang w:val="en-GB"/>
        </w:rPr>
        <w:t>one</w:t>
      </w:r>
      <w:r w:rsidRPr="005408B1">
        <w:rPr>
          <w:lang w:val="en-GB"/>
        </w:rPr>
        <w:t xml:space="preserve"> decides to opt-out, </w:t>
      </w:r>
      <w:r w:rsidR="00F95445">
        <w:rPr>
          <w:lang w:val="en-GB"/>
        </w:rPr>
        <w:t xml:space="preserve">common </w:t>
      </w:r>
      <w:r w:rsidRPr="005408B1">
        <w:rPr>
          <w:lang w:val="en-GB"/>
        </w:rPr>
        <w:t>working methods are currently only implemented by treaty bodies that affirmatively choose to adopt them. The problematic fragmentation of working methods that Pillay identified i</w:t>
      </w:r>
      <w:r w:rsidR="003F7962">
        <w:rPr>
          <w:lang w:val="en-GB"/>
        </w:rPr>
        <w:t xml:space="preserve">n 2011 thus continues today and arguably has worsened </w:t>
      </w:r>
      <w:r w:rsidR="00EA531F">
        <w:rPr>
          <w:lang w:val="en-GB"/>
        </w:rPr>
        <w:t>with</w:t>
      </w:r>
      <w:r w:rsidR="003F7962">
        <w:rPr>
          <w:lang w:val="en-GB"/>
        </w:rPr>
        <w:t xml:space="preserve"> the entry into force of new treaties</w:t>
      </w:r>
      <w:r w:rsidR="00E47ED1">
        <w:rPr>
          <w:lang w:val="en-GB"/>
        </w:rPr>
        <w:t>.</w:t>
      </w:r>
      <w:r w:rsidR="00FA34B8">
        <w:rPr>
          <w:rStyle w:val="FootnoteReference"/>
          <w:lang w:val="en-GB"/>
        </w:rPr>
        <w:footnoteReference w:id="60"/>
      </w:r>
      <w:r w:rsidR="003F7962">
        <w:rPr>
          <w:lang w:val="en-GB"/>
        </w:rPr>
        <w:t xml:space="preserve"> </w:t>
      </w:r>
      <w:r w:rsidR="00C00C0D">
        <w:rPr>
          <w:lang w:val="en-GB"/>
        </w:rPr>
        <w:t>It should also be noted that</w:t>
      </w:r>
      <w:r w:rsidR="000C6CA4">
        <w:rPr>
          <w:lang w:val="en-GB"/>
        </w:rPr>
        <w:t xml:space="preserve"> even where treaty bodies agree</w:t>
      </w:r>
      <w:r w:rsidR="00C00C0D">
        <w:rPr>
          <w:lang w:val="en-GB"/>
        </w:rPr>
        <w:t xml:space="preserve"> to a procedure, they do not systematically adhere to it</w:t>
      </w:r>
      <w:r w:rsidR="00E47ED1">
        <w:rPr>
          <w:lang w:val="en-GB"/>
        </w:rPr>
        <w:t>.</w:t>
      </w:r>
      <w:r w:rsidR="00CD67AC">
        <w:rPr>
          <w:rStyle w:val="FootnoteReference"/>
          <w:lang w:val="en-GB"/>
        </w:rPr>
        <w:footnoteReference w:id="61"/>
      </w:r>
      <w:r w:rsidR="00C00C0D">
        <w:rPr>
          <w:lang w:val="en-GB"/>
        </w:rPr>
        <w:t xml:space="preserve"> </w:t>
      </w:r>
    </w:p>
    <w:p w14:paraId="35A8709F" w14:textId="002F9702" w:rsidR="00F06CE3" w:rsidRPr="005408B1" w:rsidRDefault="00F06CE3" w:rsidP="0019741F">
      <w:pPr>
        <w:spacing w:before="120" w:after="120" w:line="240" w:lineRule="auto"/>
        <w:jc w:val="both"/>
        <w:rPr>
          <w:lang w:val="en-GB"/>
        </w:rPr>
      </w:pPr>
      <w:r>
        <w:rPr>
          <w:lang w:val="en-GB"/>
        </w:rPr>
        <w:t>The following paragraphs provide a non-exhaustive overview of the limited progress achieved in recent years on the alignment of working procedures</w:t>
      </w:r>
      <w:r w:rsidR="007D19EE">
        <w:rPr>
          <w:lang w:val="en-GB"/>
        </w:rPr>
        <w:t>.</w:t>
      </w:r>
      <w:r w:rsidR="00135D83">
        <w:rPr>
          <w:lang w:val="en-GB"/>
        </w:rPr>
        <w:t xml:space="preserve"> </w:t>
      </w:r>
      <w:r w:rsidR="002335CC">
        <w:rPr>
          <w:lang w:val="en-GB"/>
        </w:rPr>
        <w:t xml:space="preserve">For recommendations in that regard, see 2.5 supra. </w:t>
      </w:r>
    </w:p>
    <w:p w14:paraId="19F54121" w14:textId="77777777" w:rsidR="00367F66" w:rsidRPr="00367F66" w:rsidRDefault="00367F66" w:rsidP="0019741F">
      <w:pPr>
        <w:spacing w:before="120" w:after="120" w:line="240" w:lineRule="auto"/>
        <w:rPr>
          <w:lang w:val="en-GB"/>
        </w:rPr>
      </w:pPr>
    </w:p>
    <w:p w14:paraId="70D05FC2" w14:textId="77777777" w:rsidR="001E3268" w:rsidRPr="00A81262" w:rsidRDefault="001E3268" w:rsidP="0019741F">
      <w:pPr>
        <w:pStyle w:val="ListParagraph"/>
        <w:numPr>
          <w:ilvl w:val="0"/>
          <w:numId w:val="14"/>
        </w:numPr>
        <w:spacing w:before="120" w:after="120" w:line="240" w:lineRule="auto"/>
        <w:rPr>
          <w:b/>
          <w:lang w:val="en-GB"/>
        </w:rPr>
      </w:pPr>
      <w:r w:rsidRPr="00A81262">
        <w:rPr>
          <w:b/>
          <w:lang w:val="en-GB"/>
        </w:rPr>
        <w:t>Simplified reporting procedure</w:t>
      </w:r>
    </w:p>
    <w:p w14:paraId="04F68E57" w14:textId="3FA961C6" w:rsidR="00C2358C" w:rsidRPr="00091938" w:rsidRDefault="00F06CE3" w:rsidP="0019741F">
      <w:pPr>
        <w:spacing w:before="120" w:after="120" w:line="240" w:lineRule="auto"/>
        <w:jc w:val="both"/>
        <w:rPr>
          <w:lang w:val="en-GB"/>
        </w:rPr>
      </w:pPr>
      <w:r>
        <w:rPr>
          <w:lang w:val="en-GB"/>
        </w:rPr>
        <w:t>ISHR</w:t>
      </w:r>
      <w:r w:rsidR="00AC4512">
        <w:rPr>
          <w:lang w:val="en-GB"/>
        </w:rPr>
        <w:t xml:space="preserve"> </w:t>
      </w:r>
      <w:r w:rsidR="00245DA0" w:rsidRPr="00091938">
        <w:rPr>
          <w:lang w:val="en-GB"/>
        </w:rPr>
        <w:t>welcome</w:t>
      </w:r>
      <w:r>
        <w:rPr>
          <w:lang w:val="en-GB"/>
        </w:rPr>
        <w:t>s</w:t>
      </w:r>
      <w:r w:rsidR="00245DA0" w:rsidRPr="00091938">
        <w:rPr>
          <w:lang w:val="en-GB"/>
        </w:rPr>
        <w:t xml:space="preserve"> the adoption of </w:t>
      </w:r>
      <w:r>
        <w:rPr>
          <w:lang w:val="en-GB"/>
        </w:rPr>
        <w:t>the SRP</w:t>
      </w:r>
      <w:r w:rsidR="00E47ED1">
        <w:rPr>
          <w:lang w:val="en-GB"/>
        </w:rPr>
        <w:t>.</w:t>
      </w:r>
      <w:r w:rsidR="00FF71C1">
        <w:rPr>
          <w:rStyle w:val="FootnoteReference"/>
          <w:lang w:val="en-GB"/>
        </w:rPr>
        <w:footnoteReference w:id="62"/>
      </w:r>
      <w:r w:rsidR="00245DA0" w:rsidRPr="00091938">
        <w:rPr>
          <w:lang w:val="en-GB"/>
        </w:rPr>
        <w:t xml:space="preserve"> However, we note that it is </w:t>
      </w:r>
      <w:r w:rsidR="004A622C" w:rsidRPr="00091938">
        <w:rPr>
          <w:lang w:val="en-GB"/>
        </w:rPr>
        <w:t>difficult</w:t>
      </w:r>
      <w:r w:rsidR="00245DA0" w:rsidRPr="00091938">
        <w:rPr>
          <w:lang w:val="en-GB"/>
        </w:rPr>
        <w:t xml:space="preserve"> for human rights defenders and civil society to find information on which States have </w:t>
      </w:r>
      <w:r w:rsidR="006744C7" w:rsidRPr="00091938">
        <w:rPr>
          <w:lang w:val="en-GB"/>
        </w:rPr>
        <w:t>accepted</w:t>
      </w:r>
      <w:r w:rsidR="004A622C" w:rsidRPr="00091938">
        <w:rPr>
          <w:lang w:val="en-GB"/>
        </w:rPr>
        <w:t xml:space="preserve"> the</w:t>
      </w:r>
      <w:r w:rsidR="006744C7" w:rsidRPr="00091938">
        <w:rPr>
          <w:lang w:val="en-GB"/>
        </w:rPr>
        <w:t xml:space="preserve"> SRP and which have not. It is also </w:t>
      </w:r>
      <w:r w:rsidR="004A622C" w:rsidRPr="00091938">
        <w:rPr>
          <w:lang w:val="en-GB"/>
        </w:rPr>
        <w:t>confusing</w:t>
      </w:r>
      <w:r w:rsidR="006744C7" w:rsidRPr="00091938">
        <w:rPr>
          <w:lang w:val="en-GB"/>
        </w:rPr>
        <w:t xml:space="preserve"> for civil society to identify</w:t>
      </w:r>
      <w:r w:rsidR="00245DA0" w:rsidRPr="00091938">
        <w:rPr>
          <w:lang w:val="en-GB"/>
        </w:rPr>
        <w:t xml:space="preserve"> the different modalities</w:t>
      </w:r>
      <w:r w:rsidR="006744C7" w:rsidRPr="00091938">
        <w:rPr>
          <w:lang w:val="en-GB"/>
        </w:rPr>
        <w:t xml:space="preserve"> in implementation of the SRP</w:t>
      </w:r>
      <w:r w:rsidR="001D5A77">
        <w:rPr>
          <w:lang w:val="en-GB"/>
        </w:rPr>
        <w:t>, depending on whether states parties have accepted it or not</w:t>
      </w:r>
      <w:r w:rsidR="00245DA0" w:rsidRPr="00091938">
        <w:rPr>
          <w:lang w:val="en-GB"/>
        </w:rPr>
        <w:t xml:space="preserve">. </w:t>
      </w:r>
      <w:r w:rsidR="006744C7" w:rsidRPr="00091938">
        <w:rPr>
          <w:lang w:val="en-GB"/>
        </w:rPr>
        <w:t xml:space="preserve">In order to reduce confusion for civil society and increase </w:t>
      </w:r>
      <w:r w:rsidR="000B3AA9" w:rsidRPr="00091938">
        <w:rPr>
          <w:lang w:val="en-GB"/>
        </w:rPr>
        <w:t>overall stakeholder</w:t>
      </w:r>
      <w:r w:rsidR="006744C7" w:rsidRPr="00091938">
        <w:rPr>
          <w:lang w:val="en-GB"/>
        </w:rPr>
        <w:t xml:space="preserve"> participation, </w:t>
      </w:r>
      <w:r w:rsidR="00CD0A93">
        <w:rPr>
          <w:lang w:val="en-GB"/>
        </w:rPr>
        <w:t>ISHR</w:t>
      </w:r>
      <w:r w:rsidR="00245DA0" w:rsidRPr="00091938">
        <w:rPr>
          <w:lang w:val="en-GB"/>
        </w:rPr>
        <w:t xml:space="preserve"> recommend</w:t>
      </w:r>
      <w:r w:rsidR="00DA7B3B">
        <w:rPr>
          <w:lang w:val="en-GB"/>
        </w:rPr>
        <w:t>s</w:t>
      </w:r>
      <w:r w:rsidR="00245DA0" w:rsidRPr="00091938">
        <w:rPr>
          <w:lang w:val="en-GB"/>
        </w:rPr>
        <w:t xml:space="preserve"> that the SRP be compulsory for all treat</w:t>
      </w:r>
      <w:r w:rsidR="00DA7B3B">
        <w:rPr>
          <w:lang w:val="en-GB"/>
        </w:rPr>
        <w:t>y bodies and all States parties, or at minimum to mo</w:t>
      </w:r>
      <w:r w:rsidR="00E47ED1">
        <w:rPr>
          <w:lang w:val="en-GB"/>
        </w:rPr>
        <w:t>v</w:t>
      </w:r>
      <w:r w:rsidR="00DA7B3B">
        <w:rPr>
          <w:lang w:val="en-GB"/>
        </w:rPr>
        <w:t xml:space="preserve">e from the current practice of opting in only to opting out only. </w:t>
      </w:r>
    </w:p>
    <w:p w14:paraId="01BF52A3" w14:textId="77777777" w:rsidR="00533EE0" w:rsidRDefault="00533EE0" w:rsidP="0019741F">
      <w:pPr>
        <w:spacing w:before="120" w:after="120" w:line="240" w:lineRule="auto"/>
        <w:jc w:val="both"/>
        <w:rPr>
          <w:lang w:val="en-GB"/>
        </w:rPr>
      </w:pPr>
    </w:p>
    <w:p w14:paraId="23D1DF14" w14:textId="77777777" w:rsidR="00533EE0" w:rsidRPr="00A81262" w:rsidRDefault="008954C4" w:rsidP="0019741F">
      <w:pPr>
        <w:pStyle w:val="ListParagraph"/>
        <w:numPr>
          <w:ilvl w:val="0"/>
          <w:numId w:val="14"/>
        </w:numPr>
        <w:spacing w:before="120" w:after="120" w:line="240" w:lineRule="auto"/>
        <w:rPr>
          <w:b/>
          <w:lang w:val="en-GB"/>
        </w:rPr>
      </w:pPr>
      <w:r>
        <w:rPr>
          <w:b/>
          <w:lang w:val="en-GB"/>
        </w:rPr>
        <w:t>Interactive</w:t>
      </w:r>
      <w:r w:rsidR="00533EE0" w:rsidRPr="00A81262">
        <w:rPr>
          <w:b/>
          <w:lang w:val="en-GB"/>
        </w:rPr>
        <w:t xml:space="preserve"> dialogue with states</w:t>
      </w:r>
    </w:p>
    <w:p w14:paraId="4567CE05" w14:textId="261AEDB9" w:rsidR="00671B01" w:rsidRDefault="00DA7B3B" w:rsidP="0019741F">
      <w:pPr>
        <w:spacing w:before="120" w:after="120" w:line="240" w:lineRule="auto"/>
        <w:jc w:val="both"/>
        <w:rPr>
          <w:lang w:val="en-GB"/>
        </w:rPr>
      </w:pPr>
      <w:r>
        <w:rPr>
          <w:lang w:val="en-GB"/>
        </w:rPr>
        <w:t>ISHR</w:t>
      </w:r>
      <w:r w:rsidR="00671B01" w:rsidRPr="00091938">
        <w:rPr>
          <w:lang w:val="en-GB"/>
        </w:rPr>
        <w:t xml:space="preserve"> welcome</w:t>
      </w:r>
      <w:r w:rsidR="008F4CE8">
        <w:rPr>
          <w:lang w:val="en-GB"/>
        </w:rPr>
        <w:t>s</w:t>
      </w:r>
      <w:r w:rsidR="00671B01" w:rsidRPr="00091938">
        <w:rPr>
          <w:lang w:val="en-GB"/>
        </w:rPr>
        <w:t xml:space="preserve"> the proposals made at the twenty-sixth meeting of chairs and invitation to treaty bodies for the guidance note on </w:t>
      </w:r>
      <w:r w:rsidR="00157598" w:rsidRPr="00091938">
        <w:rPr>
          <w:lang w:val="en-GB"/>
        </w:rPr>
        <w:t xml:space="preserve">the </w:t>
      </w:r>
      <w:r w:rsidR="008954C4">
        <w:rPr>
          <w:lang w:val="en-GB"/>
        </w:rPr>
        <w:t>constructive dialogue</w:t>
      </w:r>
      <w:r w:rsidR="00157598" w:rsidRPr="00091938">
        <w:rPr>
          <w:lang w:val="en-GB"/>
        </w:rPr>
        <w:t xml:space="preserve"> with States parties</w:t>
      </w:r>
      <w:r w:rsidR="00671B01" w:rsidRPr="00091938">
        <w:rPr>
          <w:lang w:val="en-GB"/>
        </w:rPr>
        <w:t>.</w:t>
      </w:r>
      <w:r w:rsidR="00157598" w:rsidRPr="00091938">
        <w:rPr>
          <w:rStyle w:val="FootnoteReference"/>
          <w:lang w:val="en-GB"/>
        </w:rPr>
        <w:footnoteReference w:id="63"/>
      </w:r>
      <w:r w:rsidR="00671B01" w:rsidRPr="00091938">
        <w:rPr>
          <w:lang w:val="en-GB"/>
        </w:rPr>
        <w:t xml:space="preserve"> </w:t>
      </w:r>
      <w:r w:rsidR="008954C4">
        <w:rPr>
          <w:lang w:val="en-GB"/>
        </w:rPr>
        <w:t>D</w:t>
      </w:r>
      <w:r w:rsidR="00671B01" w:rsidRPr="00091938">
        <w:rPr>
          <w:lang w:val="en-GB"/>
        </w:rPr>
        <w:t xml:space="preserve">espite </w:t>
      </w:r>
      <w:r w:rsidR="008954C4">
        <w:rPr>
          <w:lang w:val="en-GB"/>
        </w:rPr>
        <w:t xml:space="preserve">this </w:t>
      </w:r>
      <w:r w:rsidR="00671B01" w:rsidRPr="00091938">
        <w:rPr>
          <w:lang w:val="en-GB"/>
        </w:rPr>
        <w:t xml:space="preserve">progress, different treaty bodies </w:t>
      </w:r>
      <w:r w:rsidR="008954C4">
        <w:rPr>
          <w:lang w:val="en-GB"/>
        </w:rPr>
        <w:t xml:space="preserve">continue to </w:t>
      </w:r>
      <w:r w:rsidR="009C34CC">
        <w:rPr>
          <w:lang w:val="en-GB"/>
        </w:rPr>
        <w:t xml:space="preserve">apply different approaches in </w:t>
      </w:r>
      <w:r w:rsidR="00671B01" w:rsidRPr="00091938">
        <w:rPr>
          <w:lang w:val="en-GB"/>
        </w:rPr>
        <w:t>the</w:t>
      </w:r>
      <w:r w:rsidR="009C34CC">
        <w:rPr>
          <w:lang w:val="en-GB"/>
        </w:rPr>
        <w:t>ir</w:t>
      </w:r>
      <w:r w:rsidR="00671B01" w:rsidRPr="00091938">
        <w:rPr>
          <w:lang w:val="en-GB"/>
        </w:rPr>
        <w:t xml:space="preserve"> </w:t>
      </w:r>
      <w:r w:rsidR="009C34CC">
        <w:rPr>
          <w:lang w:val="en-GB"/>
        </w:rPr>
        <w:t>interactive dialogue with states</w:t>
      </w:r>
      <w:r w:rsidR="00E47ED1">
        <w:rPr>
          <w:lang w:val="en-GB"/>
        </w:rPr>
        <w:t>.</w:t>
      </w:r>
      <w:r w:rsidR="00AB4E76" w:rsidRPr="00091938">
        <w:rPr>
          <w:rStyle w:val="FootnoteReference"/>
          <w:lang w:val="en-GB"/>
        </w:rPr>
        <w:footnoteReference w:id="64"/>
      </w:r>
      <w:r w:rsidR="00AB4E76" w:rsidRPr="00091938">
        <w:rPr>
          <w:lang w:val="en-GB"/>
        </w:rPr>
        <w:t xml:space="preserve"> </w:t>
      </w:r>
      <w:r w:rsidR="009C34CC">
        <w:rPr>
          <w:lang w:val="en-GB"/>
        </w:rPr>
        <w:t>The discrepancies are particularly challenging</w:t>
      </w:r>
      <w:r w:rsidR="00671B01" w:rsidRPr="00091938">
        <w:rPr>
          <w:lang w:val="en-GB"/>
        </w:rPr>
        <w:t xml:space="preserve"> for </w:t>
      </w:r>
      <w:r w:rsidR="009C34CC">
        <w:rPr>
          <w:lang w:val="en-GB"/>
        </w:rPr>
        <w:t>organisations and NGOs</w:t>
      </w:r>
      <w:r w:rsidR="004E6F28">
        <w:rPr>
          <w:lang w:val="en-GB"/>
        </w:rPr>
        <w:t xml:space="preserve"> which</w:t>
      </w:r>
      <w:r w:rsidR="00671B01" w:rsidRPr="00091938">
        <w:rPr>
          <w:lang w:val="en-GB"/>
        </w:rPr>
        <w:t xml:space="preserve"> interact with multiple treaty bodies. </w:t>
      </w:r>
    </w:p>
    <w:p w14:paraId="3A5778CC" w14:textId="77777777" w:rsidR="003929A5" w:rsidRDefault="003929A5" w:rsidP="0019741F">
      <w:pPr>
        <w:spacing w:before="120" w:after="120" w:line="240" w:lineRule="auto"/>
        <w:jc w:val="both"/>
        <w:rPr>
          <w:lang w:val="en-GB"/>
        </w:rPr>
      </w:pPr>
    </w:p>
    <w:p w14:paraId="48C201ED" w14:textId="77777777" w:rsidR="003929A5" w:rsidRPr="00A81262" w:rsidRDefault="003929A5" w:rsidP="0019741F">
      <w:pPr>
        <w:pStyle w:val="ListParagraph"/>
        <w:numPr>
          <w:ilvl w:val="0"/>
          <w:numId w:val="14"/>
        </w:numPr>
        <w:spacing w:before="120" w:after="120" w:line="240" w:lineRule="auto"/>
        <w:rPr>
          <w:b/>
          <w:lang w:val="en-GB"/>
        </w:rPr>
      </w:pPr>
      <w:r w:rsidRPr="00A81262">
        <w:rPr>
          <w:b/>
          <w:lang w:val="en-GB"/>
        </w:rPr>
        <w:t>Concluding observations</w:t>
      </w:r>
    </w:p>
    <w:p w14:paraId="55D0B671" w14:textId="721E9D6F" w:rsidR="00671B01" w:rsidRDefault="007820EF" w:rsidP="0019741F">
      <w:pPr>
        <w:spacing w:before="120" w:after="120" w:line="240" w:lineRule="auto"/>
        <w:jc w:val="both"/>
        <w:rPr>
          <w:lang w:val="en-GB"/>
        </w:rPr>
      </w:pPr>
      <w:r>
        <w:rPr>
          <w:lang w:val="en-GB"/>
        </w:rPr>
        <w:t>ISHR</w:t>
      </w:r>
      <w:r w:rsidR="00671B01" w:rsidRPr="00091938">
        <w:rPr>
          <w:lang w:val="en-GB"/>
        </w:rPr>
        <w:t xml:space="preserve"> welcome</w:t>
      </w:r>
      <w:r>
        <w:rPr>
          <w:lang w:val="en-GB"/>
        </w:rPr>
        <w:t>s</w:t>
      </w:r>
      <w:r w:rsidR="00940A38">
        <w:rPr>
          <w:lang w:val="en-GB"/>
        </w:rPr>
        <w:t xml:space="preserve"> the</w:t>
      </w:r>
      <w:r w:rsidR="00671B01" w:rsidRPr="00091938">
        <w:rPr>
          <w:lang w:val="en-GB"/>
        </w:rPr>
        <w:t xml:space="preserve"> </w:t>
      </w:r>
      <w:r w:rsidR="007674C5">
        <w:rPr>
          <w:lang w:val="en-GB"/>
        </w:rPr>
        <w:t>endorsement by the chairs of</w:t>
      </w:r>
      <w:r w:rsidR="007674C5" w:rsidRPr="007674C5">
        <w:rPr>
          <w:lang w:val="en-GB"/>
        </w:rPr>
        <w:t xml:space="preserve"> a frame</w:t>
      </w:r>
      <w:r w:rsidR="007674C5">
        <w:rPr>
          <w:lang w:val="en-GB"/>
        </w:rPr>
        <w:t xml:space="preserve">work for </w:t>
      </w:r>
      <w:r w:rsidR="00AF37AB">
        <w:rPr>
          <w:lang w:val="en-GB"/>
        </w:rPr>
        <w:t xml:space="preserve">COBs </w:t>
      </w:r>
      <w:r w:rsidR="007674C5">
        <w:rPr>
          <w:lang w:val="en-GB"/>
        </w:rPr>
        <w:t>in 2014</w:t>
      </w:r>
      <w:r w:rsidR="007674C5">
        <w:rPr>
          <w:rStyle w:val="FootnoteReference"/>
          <w:lang w:val="en-GB"/>
        </w:rPr>
        <w:footnoteReference w:id="65"/>
      </w:r>
      <w:r w:rsidR="00671B01" w:rsidRPr="00091938">
        <w:rPr>
          <w:lang w:val="en-GB"/>
        </w:rPr>
        <w:t xml:space="preserve">. However, </w:t>
      </w:r>
      <w:r w:rsidR="008B18BE" w:rsidRPr="00091938">
        <w:rPr>
          <w:lang w:val="en-GB"/>
        </w:rPr>
        <w:t xml:space="preserve">we are concerned by the fact that </w:t>
      </w:r>
      <w:r w:rsidR="00671B01" w:rsidRPr="00091938">
        <w:rPr>
          <w:lang w:val="en-GB"/>
        </w:rPr>
        <w:t xml:space="preserve">the average length of </w:t>
      </w:r>
      <w:r w:rsidR="008B18BE" w:rsidRPr="00091938">
        <w:rPr>
          <w:lang w:val="en-GB"/>
        </w:rPr>
        <w:t>COBs</w:t>
      </w:r>
      <w:r w:rsidR="00671B01" w:rsidRPr="00091938">
        <w:rPr>
          <w:lang w:val="en-GB"/>
        </w:rPr>
        <w:t xml:space="preserve"> </w:t>
      </w:r>
      <w:r w:rsidR="00366F08">
        <w:rPr>
          <w:lang w:val="en-GB"/>
        </w:rPr>
        <w:t xml:space="preserve">still </w:t>
      </w:r>
      <w:r w:rsidR="00461E3A" w:rsidRPr="00091938">
        <w:rPr>
          <w:lang w:val="en-GB"/>
        </w:rPr>
        <w:t>differs widely</w:t>
      </w:r>
      <w:r w:rsidR="00671B01" w:rsidRPr="00091938">
        <w:rPr>
          <w:lang w:val="en-GB"/>
        </w:rPr>
        <w:t xml:space="preserve"> among treaty bodies</w:t>
      </w:r>
      <w:r w:rsidR="00461E3A" w:rsidRPr="00091938">
        <w:rPr>
          <w:lang w:val="en-GB"/>
        </w:rPr>
        <w:t>,</w:t>
      </w:r>
      <w:r w:rsidR="00293022" w:rsidRPr="00091938">
        <w:rPr>
          <w:rStyle w:val="FootnoteReference"/>
          <w:lang w:val="en-GB"/>
        </w:rPr>
        <w:footnoteReference w:id="66"/>
      </w:r>
      <w:r w:rsidR="00671B01" w:rsidRPr="00091938">
        <w:rPr>
          <w:lang w:val="en-GB"/>
        </w:rPr>
        <w:t xml:space="preserve"> and some treaty bodies have </w:t>
      </w:r>
      <w:r w:rsidR="008B18BE" w:rsidRPr="00091938">
        <w:rPr>
          <w:lang w:val="en-GB"/>
        </w:rPr>
        <w:t>yet to adopt</w:t>
      </w:r>
      <w:r w:rsidR="00671B01" w:rsidRPr="00091938">
        <w:rPr>
          <w:lang w:val="en-GB"/>
        </w:rPr>
        <w:t xml:space="preserve"> a concluding observations framework.</w:t>
      </w:r>
      <w:r w:rsidR="008B18BE" w:rsidRPr="00091938">
        <w:rPr>
          <w:rStyle w:val="FootnoteReference"/>
          <w:lang w:val="en-GB"/>
        </w:rPr>
        <w:footnoteReference w:id="67"/>
      </w:r>
    </w:p>
    <w:p w14:paraId="42F3E29E" w14:textId="77777777" w:rsidR="00263FCA" w:rsidRDefault="00263FCA" w:rsidP="0019741F">
      <w:pPr>
        <w:spacing w:before="120" w:after="120" w:line="240" w:lineRule="auto"/>
        <w:jc w:val="both"/>
        <w:rPr>
          <w:lang w:val="en-GB"/>
        </w:rPr>
      </w:pPr>
    </w:p>
    <w:p w14:paraId="2149B1E0" w14:textId="77777777" w:rsidR="00263FCA" w:rsidRPr="00A81262" w:rsidRDefault="00263FCA" w:rsidP="0019741F">
      <w:pPr>
        <w:pStyle w:val="ListParagraph"/>
        <w:numPr>
          <w:ilvl w:val="0"/>
          <w:numId w:val="14"/>
        </w:numPr>
        <w:spacing w:before="120" w:after="120" w:line="240" w:lineRule="auto"/>
        <w:rPr>
          <w:b/>
          <w:lang w:val="en-GB"/>
        </w:rPr>
      </w:pPr>
      <w:r w:rsidRPr="00A81262">
        <w:rPr>
          <w:b/>
          <w:lang w:val="en-GB"/>
        </w:rPr>
        <w:t>Treaty body engagement with NGOs and NHRIs</w:t>
      </w:r>
    </w:p>
    <w:p w14:paraId="23399620" w14:textId="77777777" w:rsidR="00263FCA" w:rsidRPr="00091938" w:rsidRDefault="00B80E3A" w:rsidP="0019741F">
      <w:pPr>
        <w:spacing w:before="120" w:after="120" w:line="240" w:lineRule="auto"/>
        <w:jc w:val="both"/>
        <w:rPr>
          <w:lang w:val="en-GB"/>
        </w:rPr>
      </w:pPr>
      <w:r>
        <w:rPr>
          <w:lang w:val="en-GB"/>
        </w:rPr>
        <w:t>ISHR welcomes the progress made in recent years in enhancing treaty bodies’ interaction with civil society, which in many cases has been enabled by international NGOs supporting the work of some treaty bodies</w:t>
      </w:r>
      <w:r>
        <w:rPr>
          <w:rStyle w:val="FootnoteReference"/>
          <w:lang w:val="en-GB"/>
        </w:rPr>
        <w:footnoteReference w:id="68"/>
      </w:r>
      <w:r>
        <w:rPr>
          <w:lang w:val="en-GB"/>
        </w:rPr>
        <w:t>.</w:t>
      </w:r>
      <w:r w:rsidR="00626140">
        <w:rPr>
          <w:lang w:val="en-GB"/>
        </w:rPr>
        <w:t xml:space="preserve"> However</w:t>
      </w:r>
      <w:r w:rsidR="00263FCA" w:rsidRPr="00091938">
        <w:rPr>
          <w:lang w:val="en-GB"/>
        </w:rPr>
        <w:t xml:space="preserve">, we are concerned about the lack of implementation of the Pillay report’s proposed </w:t>
      </w:r>
      <w:r w:rsidR="00626140">
        <w:rPr>
          <w:lang w:val="en-GB"/>
        </w:rPr>
        <w:t xml:space="preserve">unique </w:t>
      </w:r>
      <w:r w:rsidR="00263FCA" w:rsidRPr="00091938">
        <w:rPr>
          <w:lang w:val="en-GB"/>
        </w:rPr>
        <w:t>model for civil society and NHRI engagement with the treaty bodies.</w:t>
      </w:r>
      <w:r w:rsidR="00263FCA" w:rsidRPr="00091938">
        <w:rPr>
          <w:rStyle w:val="FootnoteReference"/>
          <w:lang w:val="en-GB"/>
        </w:rPr>
        <w:footnoteReference w:id="69"/>
      </w:r>
      <w:r w:rsidR="00263FCA" w:rsidRPr="00091938">
        <w:rPr>
          <w:lang w:val="en-GB"/>
        </w:rPr>
        <w:t xml:space="preserve"> We echo Pillay’s recommendation for uniform rules of engagement for civil society and NHRIs with treaty bodies, and agree with Pillay’s statement that this would “significantly assist treaty body partners” and “enable an organization to strengthen its capacity to interact with treaty bodies progressively instead of having to learn new working methods each time it interacts with a different committee”.</w:t>
      </w:r>
      <w:r w:rsidR="00263FCA" w:rsidRPr="00091938">
        <w:rPr>
          <w:rStyle w:val="FootnoteReference"/>
          <w:lang w:val="en-GB"/>
        </w:rPr>
        <w:footnoteReference w:id="70"/>
      </w:r>
      <w:r w:rsidR="00263FCA" w:rsidRPr="00091938">
        <w:rPr>
          <w:lang w:val="en-GB"/>
        </w:rPr>
        <w:t xml:space="preserve"> </w:t>
      </w:r>
    </w:p>
    <w:p w14:paraId="7341027E" w14:textId="77777777" w:rsidR="003929A5" w:rsidRPr="00A81262" w:rsidRDefault="003929A5" w:rsidP="0019741F">
      <w:pPr>
        <w:spacing w:before="120" w:after="120" w:line="240" w:lineRule="auto"/>
        <w:rPr>
          <w:b/>
          <w:lang w:val="en-GB"/>
        </w:rPr>
      </w:pPr>
    </w:p>
    <w:p w14:paraId="200996CF" w14:textId="77777777" w:rsidR="003929A5" w:rsidRPr="00A81262" w:rsidRDefault="003929A5" w:rsidP="0019741F">
      <w:pPr>
        <w:pStyle w:val="ListParagraph"/>
        <w:numPr>
          <w:ilvl w:val="0"/>
          <w:numId w:val="14"/>
        </w:numPr>
        <w:spacing w:before="120" w:after="120" w:line="240" w:lineRule="auto"/>
        <w:rPr>
          <w:b/>
          <w:lang w:val="en-GB"/>
        </w:rPr>
      </w:pPr>
      <w:r w:rsidRPr="00A81262">
        <w:rPr>
          <w:b/>
          <w:lang w:val="en-GB"/>
        </w:rPr>
        <w:t>General comments</w:t>
      </w:r>
    </w:p>
    <w:p w14:paraId="2AEB4091" w14:textId="77777777" w:rsidR="00671B01" w:rsidRDefault="00626140" w:rsidP="0019741F">
      <w:pPr>
        <w:spacing w:before="120" w:after="120" w:line="240" w:lineRule="auto"/>
        <w:jc w:val="both"/>
        <w:rPr>
          <w:lang w:val="en-GB"/>
        </w:rPr>
      </w:pPr>
      <w:r>
        <w:rPr>
          <w:lang w:val="en-GB"/>
        </w:rPr>
        <w:t>ISHR</w:t>
      </w:r>
      <w:r w:rsidR="00671B01" w:rsidRPr="00091938">
        <w:rPr>
          <w:lang w:val="en-GB"/>
        </w:rPr>
        <w:t xml:space="preserve"> welcome</w:t>
      </w:r>
      <w:r>
        <w:rPr>
          <w:lang w:val="en-GB"/>
        </w:rPr>
        <w:t>s</w:t>
      </w:r>
      <w:r w:rsidR="00671B01" w:rsidRPr="00091938">
        <w:rPr>
          <w:lang w:val="en-GB"/>
        </w:rPr>
        <w:t xml:space="preserve"> the adoption of elements for the el</w:t>
      </w:r>
      <w:r w:rsidR="00293022" w:rsidRPr="00091938">
        <w:rPr>
          <w:lang w:val="en-GB"/>
        </w:rPr>
        <w:t>aboration of and consultation on</w:t>
      </w:r>
      <w:r w:rsidR="008215D0">
        <w:rPr>
          <w:lang w:val="en-GB"/>
        </w:rPr>
        <w:t xml:space="preserve"> general comments. However, we are concerned</w:t>
      </w:r>
      <w:r w:rsidR="00671B01" w:rsidRPr="00091938">
        <w:rPr>
          <w:lang w:val="en-GB"/>
        </w:rPr>
        <w:t xml:space="preserve"> that as of August 2018, th</w:t>
      </w:r>
      <w:r w:rsidR="008B18BE" w:rsidRPr="00091938">
        <w:rPr>
          <w:lang w:val="en-GB"/>
        </w:rPr>
        <w:t>e Human Rights Committee and the CAT</w:t>
      </w:r>
      <w:r w:rsidR="00B008C9" w:rsidRPr="00091938">
        <w:rPr>
          <w:lang w:val="en-GB"/>
        </w:rPr>
        <w:t xml:space="preserve"> have not adopted the elements for the elaboration of and consultation on general comments observations that were endorsed by the</w:t>
      </w:r>
      <w:r w:rsidR="005A4FDD" w:rsidRPr="00091938">
        <w:rPr>
          <w:lang w:val="en-GB"/>
        </w:rPr>
        <w:t xml:space="preserve"> treaty body chairs</w:t>
      </w:r>
      <w:r w:rsidR="00B008C9" w:rsidRPr="00091938">
        <w:rPr>
          <w:lang w:val="en-GB"/>
        </w:rPr>
        <w:t xml:space="preserve"> in June 2015.</w:t>
      </w:r>
      <w:r w:rsidR="00B008C9" w:rsidRPr="00091938">
        <w:rPr>
          <w:rStyle w:val="FootnoteReference"/>
          <w:lang w:val="en-GB"/>
        </w:rPr>
        <w:footnoteReference w:id="71"/>
      </w:r>
    </w:p>
    <w:p w14:paraId="1E18CB73" w14:textId="77777777" w:rsidR="002463D8" w:rsidRDefault="002463D8" w:rsidP="0019741F">
      <w:pPr>
        <w:spacing w:before="120" w:after="120" w:line="240" w:lineRule="auto"/>
        <w:jc w:val="both"/>
        <w:rPr>
          <w:lang w:val="en-GB"/>
        </w:rPr>
      </w:pPr>
    </w:p>
    <w:p w14:paraId="3841CD46" w14:textId="77777777" w:rsidR="002463D8" w:rsidRPr="00A81262" w:rsidRDefault="002463D8" w:rsidP="0019741F">
      <w:pPr>
        <w:pStyle w:val="ListParagraph"/>
        <w:numPr>
          <w:ilvl w:val="0"/>
          <w:numId w:val="14"/>
        </w:numPr>
        <w:spacing w:before="120" w:after="120" w:line="240" w:lineRule="auto"/>
        <w:rPr>
          <w:b/>
          <w:lang w:val="en-GB"/>
        </w:rPr>
      </w:pPr>
      <w:r w:rsidRPr="00A81262">
        <w:rPr>
          <w:b/>
          <w:lang w:val="en-GB"/>
        </w:rPr>
        <w:t>Inquiries</w:t>
      </w:r>
    </w:p>
    <w:p w14:paraId="4F6CCFBE" w14:textId="2E3FD5B1" w:rsidR="00484788" w:rsidRDefault="00484788" w:rsidP="0019741F">
      <w:pPr>
        <w:spacing w:before="120" w:after="120" w:line="240" w:lineRule="auto"/>
        <w:jc w:val="both"/>
        <w:rPr>
          <w:lang w:val="en-GB"/>
        </w:rPr>
      </w:pPr>
      <w:r>
        <w:rPr>
          <w:lang w:val="en-GB"/>
        </w:rPr>
        <w:t>ISHR welcomes the continued discussions by treaty body chairs of the inquiry procedure and their willingness to</w:t>
      </w:r>
      <w:r w:rsidRPr="00484788">
        <w:rPr>
          <w:lang w:val="en-GB"/>
        </w:rPr>
        <w:t xml:space="preserve"> </w:t>
      </w:r>
      <w:r>
        <w:rPr>
          <w:lang w:val="en-GB"/>
        </w:rPr>
        <w:t>“</w:t>
      </w:r>
      <w:r w:rsidRPr="00484788">
        <w:rPr>
          <w:lang w:val="en-GB"/>
        </w:rPr>
        <w:t>further pursue that dialogue in order to promote increased alignment of the working methods of those treaty bodies with a mandate to conduct inquiries</w:t>
      </w:r>
      <w:r>
        <w:rPr>
          <w:lang w:val="en-GB"/>
        </w:rPr>
        <w:t>”</w:t>
      </w:r>
      <w:r>
        <w:rPr>
          <w:rStyle w:val="FootnoteReference"/>
          <w:lang w:val="en-GB"/>
        </w:rPr>
        <w:footnoteReference w:id="72"/>
      </w:r>
      <w:r>
        <w:rPr>
          <w:lang w:val="en-GB"/>
        </w:rPr>
        <w:t>. However, we are concerned that at least two of the guidelines adopted by treaty bod</w:t>
      </w:r>
      <w:r w:rsidR="00AF37AB">
        <w:rPr>
          <w:lang w:val="en-GB"/>
        </w:rPr>
        <w:t>i</w:t>
      </w:r>
      <w:r>
        <w:rPr>
          <w:lang w:val="en-GB"/>
        </w:rPr>
        <w:t>es on inquiries are not public</w:t>
      </w:r>
      <w:r w:rsidR="00E47ED1">
        <w:rPr>
          <w:lang w:val="en-GB"/>
        </w:rPr>
        <w:t>.</w:t>
      </w:r>
      <w:r>
        <w:rPr>
          <w:rStyle w:val="FootnoteReference"/>
          <w:lang w:val="en-GB"/>
        </w:rPr>
        <w:footnoteReference w:id="73"/>
      </w:r>
      <w:r w:rsidR="0095484C">
        <w:rPr>
          <w:lang w:val="en-GB"/>
        </w:rPr>
        <w:t xml:space="preserve"> Echoing the recommendations formulated in a joint NGO submission to the 2017 meeting of chairs</w:t>
      </w:r>
      <w:r w:rsidR="00E47ED1">
        <w:rPr>
          <w:lang w:val="en-GB"/>
        </w:rPr>
        <w:t>,</w:t>
      </w:r>
      <w:r w:rsidR="007A16BD">
        <w:rPr>
          <w:rStyle w:val="FootnoteReference"/>
          <w:lang w:val="en-GB"/>
        </w:rPr>
        <w:footnoteReference w:id="74"/>
      </w:r>
      <w:r w:rsidR="0095484C">
        <w:rPr>
          <w:lang w:val="en-GB"/>
        </w:rPr>
        <w:t xml:space="preserve"> we encourage all treaty bodies undertaking inquiries to adopt a unified policy and follow the good precedent of CEDAW </w:t>
      </w:r>
      <w:r w:rsidR="0095484C" w:rsidRPr="0095484C">
        <w:rPr>
          <w:lang w:val="en-GB"/>
        </w:rPr>
        <w:t>to make public and publish on the OHCHR website the full report of inquiries, including the Committee’s findings, comments and recommendations</w:t>
      </w:r>
      <w:r w:rsidR="0095484C">
        <w:rPr>
          <w:rStyle w:val="FootnoteReference"/>
          <w:lang w:val="en-GB"/>
        </w:rPr>
        <w:footnoteReference w:id="75"/>
      </w:r>
      <w:r w:rsidR="0095484C">
        <w:rPr>
          <w:lang w:val="en-GB"/>
        </w:rPr>
        <w:t>.</w:t>
      </w:r>
      <w:r>
        <w:rPr>
          <w:lang w:val="en-GB"/>
        </w:rPr>
        <w:t xml:space="preserve"> </w:t>
      </w:r>
    </w:p>
    <w:p w14:paraId="1C6A99A5" w14:textId="77777777" w:rsidR="004E0BC0" w:rsidRDefault="002B21CF" w:rsidP="0019741F">
      <w:pPr>
        <w:spacing w:before="120" w:after="120" w:line="240" w:lineRule="auto"/>
        <w:jc w:val="both"/>
        <w:rPr>
          <w:lang w:val="en-GB"/>
        </w:rPr>
      </w:pPr>
      <w:r w:rsidRPr="00091938">
        <w:rPr>
          <w:lang w:val="en-GB"/>
        </w:rPr>
        <w:t>Finally, we are discouraged</w:t>
      </w:r>
      <w:r w:rsidR="005A4FDD" w:rsidRPr="00091938">
        <w:rPr>
          <w:lang w:val="en-GB"/>
        </w:rPr>
        <w:t xml:space="preserve"> by the fact</w:t>
      </w:r>
      <w:r w:rsidRPr="00091938">
        <w:rPr>
          <w:lang w:val="en-GB"/>
        </w:rPr>
        <w:t xml:space="preserve"> that the confidentiality around the inquiries process has become synonymous with opacity. </w:t>
      </w:r>
      <w:r w:rsidR="004E0BC0" w:rsidRPr="00091938">
        <w:rPr>
          <w:lang w:val="en-GB"/>
        </w:rPr>
        <w:t>Ahead of the 2017 meeting of chairs, we called on treaty bodies to develop a unified policy spelling out how they will publicize outcomes of inquiries a</w:t>
      </w:r>
      <w:r w:rsidR="00293022" w:rsidRPr="00091938">
        <w:rPr>
          <w:lang w:val="en-GB"/>
        </w:rPr>
        <w:t>nd make those outcomes public</w:t>
      </w:r>
      <w:r w:rsidR="004E0BC0" w:rsidRPr="00091938">
        <w:rPr>
          <w:lang w:val="en-GB"/>
        </w:rPr>
        <w:t>.</w:t>
      </w:r>
      <w:r w:rsidR="00EC6DC8" w:rsidRPr="00091938">
        <w:rPr>
          <w:rStyle w:val="FootnoteReference"/>
          <w:lang w:val="en-GB"/>
        </w:rPr>
        <w:footnoteReference w:id="76"/>
      </w:r>
      <w:r w:rsidR="004E0BC0" w:rsidRPr="00091938">
        <w:rPr>
          <w:lang w:val="en-GB"/>
        </w:rPr>
        <w:t xml:space="preserve"> We reiterate that call today. </w:t>
      </w:r>
    </w:p>
    <w:p w14:paraId="40951ED1" w14:textId="77777777" w:rsidR="003E47F3" w:rsidRDefault="003E47F3" w:rsidP="0019741F">
      <w:pPr>
        <w:spacing w:before="120" w:after="120" w:line="240" w:lineRule="auto"/>
        <w:jc w:val="both"/>
        <w:rPr>
          <w:lang w:val="en-GB"/>
        </w:rPr>
      </w:pPr>
    </w:p>
    <w:p w14:paraId="33CC0388" w14:textId="77777777" w:rsidR="00A27439" w:rsidRPr="00A81262" w:rsidRDefault="00A27439" w:rsidP="0019741F">
      <w:pPr>
        <w:pStyle w:val="ListParagraph"/>
        <w:numPr>
          <w:ilvl w:val="0"/>
          <w:numId w:val="14"/>
        </w:numPr>
        <w:spacing w:before="120" w:after="120" w:line="240" w:lineRule="auto"/>
        <w:rPr>
          <w:b/>
          <w:lang w:val="en-GB"/>
        </w:rPr>
      </w:pPr>
      <w:r>
        <w:rPr>
          <w:b/>
          <w:lang w:val="en-GB"/>
        </w:rPr>
        <w:t>Reprisals</w:t>
      </w:r>
    </w:p>
    <w:p w14:paraId="2920E10B" w14:textId="06C674DA" w:rsidR="00104F0B" w:rsidRDefault="00A27439" w:rsidP="0019741F">
      <w:pPr>
        <w:spacing w:before="120" w:after="120" w:line="240" w:lineRule="auto"/>
        <w:jc w:val="both"/>
        <w:rPr>
          <w:lang w:val="en-GB"/>
        </w:rPr>
      </w:pPr>
      <w:r>
        <w:rPr>
          <w:lang w:val="en-GB"/>
        </w:rPr>
        <w:t>ISHR welcome</w:t>
      </w:r>
      <w:r w:rsidR="00E47ED1">
        <w:rPr>
          <w:lang w:val="en-GB"/>
        </w:rPr>
        <w:t>s</w:t>
      </w:r>
      <w:r>
        <w:rPr>
          <w:lang w:val="en-GB"/>
        </w:rPr>
        <w:t xml:space="preserve"> the publication of a new webpage with detailed information on </w:t>
      </w:r>
      <w:r w:rsidR="00920906">
        <w:rPr>
          <w:lang w:val="en-GB"/>
        </w:rPr>
        <w:t xml:space="preserve">treaty body responses to reprisals, including indications for victims on what to do, who to reach out to, </w:t>
      </w:r>
      <w:r w:rsidR="009B1810">
        <w:rPr>
          <w:lang w:val="en-GB"/>
        </w:rPr>
        <w:t xml:space="preserve">contact details for each treaty body </w:t>
      </w:r>
      <w:r w:rsidR="00920906">
        <w:rPr>
          <w:lang w:val="en-GB"/>
        </w:rPr>
        <w:t>and what to expect in response</w:t>
      </w:r>
      <w:r w:rsidR="009B1810">
        <w:rPr>
          <w:rStyle w:val="FootnoteReference"/>
          <w:lang w:val="en-GB"/>
        </w:rPr>
        <w:footnoteReference w:id="77"/>
      </w:r>
      <w:r w:rsidR="005B16F7">
        <w:rPr>
          <w:lang w:val="en-GB"/>
        </w:rPr>
        <w:t>.</w:t>
      </w:r>
      <w:r w:rsidR="00920906">
        <w:rPr>
          <w:lang w:val="en-GB"/>
        </w:rPr>
        <w:t xml:space="preserve"> </w:t>
      </w:r>
      <w:r w:rsidR="00AF37AB">
        <w:rPr>
          <w:lang w:val="en-GB"/>
        </w:rPr>
        <w:t>We</w:t>
      </w:r>
      <w:r w:rsidR="00322329">
        <w:rPr>
          <w:lang w:val="en-GB"/>
        </w:rPr>
        <w:t xml:space="preserve"> call on CESCR, which is the last treaty body which has not adopted the San José Guidelines, to urgently adopt them and align their positioning with that of other treaty bodies. </w:t>
      </w:r>
      <w:r w:rsidR="00AF37AB">
        <w:rPr>
          <w:lang w:val="en-GB"/>
        </w:rPr>
        <w:t>We urge all treaty bodies to consistently implement the best practices identified in the course of the workshop on reprisals held in December 2018, including</w:t>
      </w:r>
      <w:r w:rsidR="00104F0B">
        <w:rPr>
          <w:lang w:val="en-GB"/>
        </w:rPr>
        <w:t xml:space="preserve"> with regard to: enhancing the role of the rapporteurs or focal points on reprisals; undertaking preventative and further measures in the context of state party reviews, monitoring visits and inquiries, individual complaints, awareness-raising; enhancing coordination with other mandates, mechanisms, or procedures; monitoring the implementation and dissemination of the San Jose Guidelines.</w:t>
      </w:r>
      <w:r w:rsidR="00104F0B">
        <w:rPr>
          <w:rStyle w:val="FootnoteReference"/>
          <w:lang w:val="en-GB"/>
        </w:rPr>
        <w:footnoteReference w:id="78"/>
      </w:r>
      <w:r w:rsidR="00104F0B">
        <w:rPr>
          <w:lang w:val="en-GB"/>
        </w:rPr>
        <w:t xml:space="preserve"> </w:t>
      </w:r>
    </w:p>
    <w:p w14:paraId="067D71F7" w14:textId="07D4ED81" w:rsidR="00CD4EA3" w:rsidRDefault="00CD4EA3" w:rsidP="0019741F">
      <w:pPr>
        <w:spacing w:before="120" w:after="120" w:line="240" w:lineRule="auto"/>
        <w:jc w:val="both"/>
        <w:rPr>
          <w:lang w:val="en-GB"/>
        </w:rPr>
      </w:pPr>
    </w:p>
    <w:p w14:paraId="25FFE6C1" w14:textId="77777777" w:rsidR="00CD4EA3" w:rsidRPr="00091938" w:rsidRDefault="00CD4EA3" w:rsidP="0019741F">
      <w:pPr>
        <w:pStyle w:val="ListParagraph"/>
        <w:numPr>
          <w:ilvl w:val="0"/>
          <w:numId w:val="13"/>
        </w:numPr>
        <w:spacing w:before="120" w:after="120" w:line="240" w:lineRule="auto"/>
        <w:jc w:val="both"/>
        <w:rPr>
          <w:color w:val="C00000"/>
          <w:szCs w:val="20"/>
          <w:lang w:val="en-GB"/>
        </w:rPr>
      </w:pPr>
      <w:r w:rsidRPr="00091938">
        <w:rPr>
          <w:color w:val="C00000"/>
          <w:szCs w:val="20"/>
          <w:lang w:val="en-GB"/>
        </w:rPr>
        <w:t>Recommendations</w:t>
      </w:r>
    </w:p>
    <w:p w14:paraId="07A65CB7" w14:textId="15820585" w:rsidR="00CD4EA3" w:rsidRPr="00F906A2" w:rsidRDefault="00CD4EA3" w:rsidP="0019741F">
      <w:pPr>
        <w:pStyle w:val="ListParagraph"/>
        <w:numPr>
          <w:ilvl w:val="0"/>
          <w:numId w:val="12"/>
        </w:numPr>
        <w:spacing w:before="120" w:after="120" w:line="240" w:lineRule="auto"/>
        <w:jc w:val="both"/>
        <w:rPr>
          <w:lang w:val="en-GB"/>
        </w:rPr>
      </w:pPr>
      <w:r>
        <w:rPr>
          <w:szCs w:val="20"/>
          <w:lang w:val="en-GB"/>
        </w:rPr>
        <w:t xml:space="preserve">See above recommendation </w:t>
      </w:r>
      <w:r w:rsidR="00955600">
        <w:rPr>
          <w:szCs w:val="20"/>
          <w:lang w:val="en-GB"/>
        </w:rPr>
        <w:t xml:space="preserve">(2.5) on the </w:t>
      </w:r>
      <w:r w:rsidR="006F2100">
        <w:rPr>
          <w:szCs w:val="20"/>
          <w:lang w:val="en-GB"/>
        </w:rPr>
        <w:t>proposal</w:t>
      </w:r>
      <w:r w:rsidR="00955600">
        <w:rPr>
          <w:szCs w:val="20"/>
          <w:lang w:val="en-GB"/>
        </w:rPr>
        <w:t xml:space="preserve"> of a joint working group</w:t>
      </w:r>
      <w:r w:rsidR="006F2100">
        <w:rPr>
          <w:szCs w:val="20"/>
          <w:lang w:val="en-GB"/>
        </w:rPr>
        <w:t xml:space="preserve"> (or troika)</w:t>
      </w:r>
      <w:r w:rsidR="00955600">
        <w:rPr>
          <w:szCs w:val="20"/>
          <w:lang w:val="en-GB"/>
        </w:rPr>
        <w:t xml:space="preserve"> of members or chairs, who could be mandated by the treaty bodies to propose and adopt common working procedures.</w:t>
      </w:r>
      <w:r>
        <w:rPr>
          <w:szCs w:val="20"/>
          <w:lang w:val="en-GB"/>
        </w:rPr>
        <w:t xml:space="preserve"> </w:t>
      </w:r>
    </w:p>
    <w:p w14:paraId="67259C89" w14:textId="3E544AD8" w:rsidR="00963932" w:rsidRDefault="00963932" w:rsidP="0019741F">
      <w:pPr>
        <w:spacing w:before="120" w:after="120" w:line="240" w:lineRule="auto"/>
        <w:jc w:val="both"/>
        <w:rPr>
          <w:lang w:val="en-GB"/>
        </w:rPr>
      </w:pPr>
    </w:p>
    <w:p w14:paraId="71D03779" w14:textId="7E46E266" w:rsidR="008B1129" w:rsidRPr="008B1129" w:rsidRDefault="008B1129" w:rsidP="0019741F">
      <w:pPr>
        <w:pStyle w:val="Heading2"/>
        <w:numPr>
          <w:ilvl w:val="1"/>
          <w:numId w:val="5"/>
        </w:numPr>
        <w:spacing w:before="120" w:after="120" w:line="240" w:lineRule="auto"/>
        <w:rPr>
          <w:rFonts w:asciiTheme="minorHAnsi" w:hAnsiTheme="minorHAnsi"/>
          <w:i/>
          <w:color w:val="C00000"/>
          <w:sz w:val="22"/>
          <w:lang w:val="en-GB"/>
        </w:rPr>
      </w:pPr>
      <w:bookmarkStart w:id="33" w:name="_Toc7787797"/>
      <w:r>
        <w:rPr>
          <w:rFonts w:asciiTheme="minorHAnsi" w:hAnsiTheme="minorHAnsi"/>
          <w:i/>
          <w:color w:val="C00000"/>
          <w:sz w:val="22"/>
          <w:lang w:val="en-GB"/>
        </w:rPr>
        <w:t>C</w:t>
      </w:r>
      <w:r w:rsidRPr="008B1129">
        <w:rPr>
          <w:rFonts w:asciiTheme="minorHAnsi" w:hAnsiTheme="minorHAnsi"/>
          <w:i/>
          <w:color w:val="C00000"/>
          <w:sz w:val="22"/>
          <w:lang w:val="en-GB"/>
        </w:rPr>
        <w:t>hronic lack of adequate financial and human resources</w:t>
      </w:r>
      <w:bookmarkEnd w:id="33"/>
    </w:p>
    <w:p w14:paraId="11DB2CF8" w14:textId="7881E66B" w:rsidR="008B1129" w:rsidRDefault="00B76952" w:rsidP="0019741F">
      <w:pPr>
        <w:spacing w:before="120" w:after="120" w:line="240" w:lineRule="auto"/>
        <w:jc w:val="both"/>
        <w:rPr>
          <w:lang w:val="en-GB"/>
        </w:rPr>
      </w:pPr>
      <w:r>
        <w:rPr>
          <w:lang w:val="en-GB"/>
        </w:rPr>
        <w:t xml:space="preserve">The lack of suitable financial and human resources has been a constant and serious challenge to the effective functioning of treaty bodies ever since they have been in existence. </w:t>
      </w:r>
      <w:r w:rsidR="00455743">
        <w:rPr>
          <w:lang w:val="en-GB"/>
        </w:rPr>
        <w:t>More recently, the lack</w:t>
      </w:r>
      <w:r w:rsidR="00A20A4E">
        <w:rPr>
          <w:lang w:val="en-GB"/>
        </w:rPr>
        <w:t xml:space="preserve"> of resources has had dire consequences such as:</w:t>
      </w:r>
    </w:p>
    <w:p w14:paraId="5096BFA6" w14:textId="22FC0552" w:rsidR="00A20A4E" w:rsidRPr="000F3738" w:rsidRDefault="00276D9F" w:rsidP="0019741F">
      <w:pPr>
        <w:pStyle w:val="ListParagraph"/>
        <w:numPr>
          <w:ilvl w:val="0"/>
          <w:numId w:val="14"/>
        </w:numPr>
        <w:spacing w:before="120" w:after="120" w:line="240" w:lineRule="auto"/>
        <w:jc w:val="both"/>
        <w:rPr>
          <w:lang w:val="en-GB"/>
        </w:rPr>
      </w:pPr>
      <w:r w:rsidRPr="000F3738">
        <w:rPr>
          <w:lang w:val="en-GB"/>
        </w:rPr>
        <w:t>OHCHR support to follow-up to concluding observations and views was reduced</w:t>
      </w:r>
      <w:r w:rsidR="00B02E67" w:rsidRPr="000F3738">
        <w:rPr>
          <w:rStyle w:val="FootnoteReference"/>
          <w:lang w:val="en-GB"/>
        </w:rPr>
        <w:footnoteReference w:id="79"/>
      </w:r>
      <w:r w:rsidRPr="000F3738">
        <w:rPr>
          <w:lang w:val="en-GB"/>
        </w:rPr>
        <w:t>, and treaty bodies were requested to reduce the amount of inquiries, general comments/recommendations and general days of discussion</w:t>
      </w:r>
      <w:r w:rsidRPr="000F3738">
        <w:rPr>
          <w:rStyle w:val="FootnoteReference"/>
          <w:lang w:val="en-GB"/>
        </w:rPr>
        <w:footnoteReference w:id="80"/>
      </w:r>
    </w:p>
    <w:p w14:paraId="795A5F0C" w14:textId="63BC59E4" w:rsidR="00A20A4E" w:rsidRPr="000F3738" w:rsidRDefault="00C64C0D" w:rsidP="0019741F">
      <w:pPr>
        <w:pStyle w:val="ListParagraph"/>
        <w:numPr>
          <w:ilvl w:val="0"/>
          <w:numId w:val="14"/>
        </w:numPr>
        <w:spacing w:before="120" w:after="120" w:line="240" w:lineRule="auto"/>
        <w:jc w:val="both"/>
        <w:rPr>
          <w:lang w:val="en-GB"/>
        </w:rPr>
      </w:pPr>
      <w:r>
        <w:rPr>
          <w:lang w:val="en-GB"/>
        </w:rPr>
        <w:t>The SPT has had to reduce the amount of visits carried out in states parties to OPCAT</w:t>
      </w:r>
      <w:r>
        <w:rPr>
          <w:rStyle w:val="FootnoteReference"/>
          <w:lang w:val="en-GB"/>
        </w:rPr>
        <w:footnoteReference w:id="81"/>
      </w:r>
      <w:r>
        <w:rPr>
          <w:lang w:val="en-GB"/>
        </w:rPr>
        <w:t>.</w:t>
      </w:r>
    </w:p>
    <w:p w14:paraId="2B5E6DD1" w14:textId="10B7DB85" w:rsidR="006B168A" w:rsidRDefault="006B168A" w:rsidP="0019741F">
      <w:pPr>
        <w:pStyle w:val="ListParagraph"/>
        <w:numPr>
          <w:ilvl w:val="0"/>
          <w:numId w:val="14"/>
        </w:numPr>
        <w:spacing w:before="120" w:after="120" w:line="240" w:lineRule="auto"/>
        <w:jc w:val="both"/>
        <w:rPr>
          <w:lang w:val="en-GB"/>
        </w:rPr>
      </w:pPr>
      <w:r>
        <w:rPr>
          <w:lang w:val="en-GB"/>
        </w:rPr>
        <w:t>The amount of individual communications pending review by the treaty bodies has reached record levels, and the unacceptably low levels of staffing at OHCHR have resulted in treaty bodies unable to review individual communications</w:t>
      </w:r>
      <w:r w:rsidR="000355DB">
        <w:rPr>
          <w:rStyle w:val="FootnoteReference"/>
          <w:lang w:val="en-GB"/>
        </w:rPr>
        <w:footnoteReference w:id="82"/>
      </w:r>
      <w:r>
        <w:rPr>
          <w:lang w:val="en-GB"/>
        </w:rPr>
        <w:t xml:space="preserve"> </w:t>
      </w:r>
    </w:p>
    <w:p w14:paraId="0CFCED59" w14:textId="58EF4A25" w:rsidR="00A20A4E" w:rsidRPr="000F3738" w:rsidRDefault="00455743" w:rsidP="0019741F">
      <w:pPr>
        <w:pStyle w:val="ListParagraph"/>
        <w:numPr>
          <w:ilvl w:val="0"/>
          <w:numId w:val="14"/>
        </w:numPr>
        <w:spacing w:before="120" w:after="120" w:line="240" w:lineRule="auto"/>
        <w:jc w:val="both"/>
        <w:rPr>
          <w:lang w:val="en-GB"/>
        </w:rPr>
      </w:pPr>
      <w:r>
        <w:rPr>
          <w:lang w:val="en-GB"/>
        </w:rPr>
        <w:t>The serious financial constraints at OHCHR resul</w:t>
      </w:r>
      <w:r w:rsidR="00F25215">
        <w:rPr>
          <w:lang w:val="en-GB"/>
        </w:rPr>
        <w:t>ted in a potential cancellation</w:t>
      </w:r>
      <w:r>
        <w:rPr>
          <w:lang w:val="en-GB"/>
        </w:rPr>
        <w:t xml:space="preserve"> of </w:t>
      </w:r>
      <w:r w:rsidR="00DE3AF8">
        <w:rPr>
          <w:lang w:val="en-GB"/>
        </w:rPr>
        <w:t>the third annual session of 2019 for several treaty bodies</w:t>
      </w:r>
      <w:r w:rsidR="00A20A4E" w:rsidRPr="000F3738">
        <w:rPr>
          <w:lang w:val="en-GB"/>
        </w:rPr>
        <w:t xml:space="preserve"> </w:t>
      </w:r>
      <w:r w:rsidR="009A16E3">
        <w:rPr>
          <w:rStyle w:val="FootnoteReference"/>
          <w:lang w:val="en-GB"/>
        </w:rPr>
        <w:footnoteReference w:id="83"/>
      </w:r>
    </w:p>
    <w:p w14:paraId="2E80CC69" w14:textId="2120B9A0" w:rsidR="005B4F6F" w:rsidRDefault="005B4F6F" w:rsidP="0019741F">
      <w:pPr>
        <w:spacing w:before="120" w:after="120" w:line="240" w:lineRule="auto"/>
        <w:jc w:val="both"/>
        <w:rPr>
          <w:lang w:val="en-GB"/>
        </w:rPr>
      </w:pPr>
    </w:p>
    <w:p w14:paraId="7FD11822" w14:textId="77777777" w:rsidR="00DA0F56" w:rsidRPr="00091938" w:rsidRDefault="00DA0F56" w:rsidP="0019741F">
      <w:pPr>
        <w:pStyle w:val="ListParagraph"/>
        <w:numPr>
          <w:ilvl w:val="0"/>
          <w:numId w:val="13"/>
        </w:numPr>
        <w:spacing w:before="120" w:after="120" w:line="240" w:lineRule="auto"/>
        <w:jc w:val="both"/>
        <w:rPr>
          <w:color w:val="C00000"/>
          <w:szCs w:val="20"/>
          <w:lang w:val="en-GB"/>
        </w:rPr>
      </w:pPr>
      <w:r w:rsidRPr="00091938">
        <w:rPr>
          <w:color w:val="C00000"/>
          <w:szCs w:val="20"/>
          <w:lang w:val="en-GB"/>
        </w:rPr>
        <w:t>Recommendations</w:t>
      </w:r>
    </w:p>
    <w:p w14:paraId="7F7DE239" w14:textId="4F75D4F5" w:rsidR="005B4F6F" w:rsidRPr="00442BED" w:rsidRDefault="00DA0F56" w:rsidP="0019741F">
      <w:pPr>
        <w:pStyle w:val="ListParagraph"/>
        <w:numPr>
          <w:ilvl w:val="0"/>
          <w:numId w:val="12"/>
        </w:numPr>
        <w:spacing w:before="120" w:after="120" w:line="240" w:lineRule="auto"/>
        <w:jc w:val="both"/>
        <w:rPr>
          <w:lang w:val="en-GB"/>
        </w:rPr>
      </w:pPr>
      <w:r>
        <w:rPr>
          <w:szCs w:val="20"/>
          <w:lang w:val="en-GB"/>
        </w:rPr>
        <w:t>OHCHR should undertake a survey of strengthening measures which can be implemented at no or limited extra costs, and seek inputs from relevant actors in that regard, including treaty body members and NGOs.</w:t>
      </w:r>
    </w:p>
    <w:p w14:paraId="76778CAC" w14:textId="7465F121" w:rsidR="00442BED" w:rsidRPr="00442BED" w:rsidRDefault="00442BED" w:rsidP="0019741F">
      <w:pPr>
        <w:pStyle w:val="ListParagraph"/>
        <w:numPr>
          <w:ilvl w:val="0"/>
          <w:numId w:val="12"/>
        </w:numPr>
        <w:spacing w:before="120" w:after="120" w:line="240" w:lineRule="auto"/>
        <w:jc w:val="both"/>
        <w:rPr>
          <w:lang w:val="en-GB"/>
        </w:rPr>
      </w:pPr>
      <w:r>
        <w:rPr>
          <w:szCs w:val="20"/>
          <w:lang w:val="en-GB"/>
        </w:rPr>
        <w:t>The High Commissioner should allocate a suitable amount of extra budgetary resources to the functioning of the treaty bodies</w:t>
      </w:r>
    </w:p>
    <w:p w14:paraId="66DF1B0B" w14:textId="77777777" w:rsidR="00DA0F56" w:rsidRPr="00DA0F56" w:rsidRDefault="00DA0F56" w:rsidP="0019741F">
      <w:pPr>
        <w:spacing w:before="120" w:after="120" w:line="240" w:lineRule="auto"/>
        <w:jc w:val="both"/>
        <w:rPr>
          <w:lang w:val="en-GB"/>
        </w:rPr>
      </w:pPr>
    </w:p>
    <w:p w14:paraId="28F32DE8" w14:textId="77777777" w:rsidR="004E0BC0" w:rsidRPr="00091938" w:rsidRDefault="004E0BC0" w:rsidP="0019741F">
      <w:pPr>
        <w:pStyle w:val="Heading1"/>
        <w:numPr>
          <w:ilvl w:val="0"/>
          <w:numId w:val="4"/>
        </w:numPr>
        <w:spacing w:before="120" w:after="120" w:line="240" w:lineRule="auto"/>
        <w:ind w:left="426" w:hanging="66"/>
        <w:jc w:val="both"/>
        <w:rPr>
          <w:rFonts w:asciiTheme="minorHAnsi" w:hAnsiTheme="minorHAnsi"/>
          <w:color w:val="C00000"/>
          <w:sz w:val="24"/>
          <w:lang w:val="en-GB"/>
        </w:rPr>
      </w:pPr>
      <w:bookmarkStart w:id="34" w:name="_Toc7787798"/>
      <w:r w:rsidRPr="00091938">
        <w:rPr>
          <w:rFonts w:asciiTheme="minorHAnsi" w:hAnsiTheme="minorHAnsi"/>
          <w:color w:val="C00000"/>
          <w:sz w:val="24"/>
          <w:lang w:val="en-GB"/>
        </w:rPr>
        <w:t>Further action to strengthen and enhance</w:t>
      </w:r>
      <w:r w:rsidR="00461E3A" w:rsidRPr="00091938">
        <w:rPr>
          <w:rFonts w:asciiTheme="minorHAnsi" w:hAnsiTheme="minorHAnsi"/>
          <w:color w:val="C00000"/>
          <w:sz w:val="24"/>
          <w:lang w:val="en-GB"/>
        </w:rPr>
        <w:t xml:space="preserve"> the treaty body system</w:t>
      </w:r>
      <w:bookmarkEnd w:id="34"/>
    </w:p>
    <w:p w14:paraId="1434D39B" w14:textId="3B01894B" w:rsidR="00E47ED1" w:rsidRDefault="009A679B" w:rsidP="0019741F">
      <w:pPr>
        <w:spacing w:before="120" w:after="120" w:line="240" w:lineRule="auto"/>
        <w:jc w:val="both"/>
        <w:rPr>
          <w:lang w:val="en-GB"/>
        </w:rPr>
      </w:pPr>
      <w:r w:rsidRPr="00091938">
        <w:rPr>
          <w:lang w:val="en-GB"/>
        </w:rPr>
        <w:t xml:space="preserve">Despite the above-mentioned progress in recent years, the </w:t>
      </w:r>
      <w:r w:rsidR="00E47ED1">
        <w:rPr>
          <w:lang w:val="en-GB"/>
        </w:rPr>
        <w:t>treaty bodies need to be further strengthened and supported in order to achieve the fundamental purposes of upholding the rights of rights holders, contributing to access to justice for victims, and promoting and supporting national-level implementation</w:t>
      </w:r>
      <w:r w:rsidRPr="00091938">
        <w:rPr>
          <w:lang w:val="en-GB"/>
        </w:rPr>
        <w:t>.</w:t>
      </w:r>
    </w:p>
    <w:p w14:paraId="49A6AF3C" w14:textId="01259C69" w:rsidR="009A679B" w:rsidRPr="00091938" w:rsidRDefault="009A679B" w:rsidP="0019741F">
      <w:pPr>
        <w:spacing w:before="120" w:after="120" w:line="240" w:lineRule="auto"/>
        <w:jc w:val="both"/>
        <w:rPr>
          <w:lang w:val="en-GB"/>
        </w:rPr>
      </w:pPr>
      <w:r w:rsidRPr="00091938">
        <w:rPr>
          <w:lang w:val="en-GB"/>
        </w:rPr>
        <w:t>The establishment of new international human rights bodies of the Human Rights Council, such a</w:t>
      </w:r>
      <w:r w:rsidR="00461E3A" w:rsidRPr="00091938">
        <w:rPr>
          <w:lang w:val="en-GB"/>
        </w:rPr>
        <w:t>s the Universal Periodic Review;</w:t>
      </w:r>
      <w:r w:rsidRPr="00091938">
        <w:rPr>
          <w:lang w:val="en-GB"/>
        </w:rPr>
        <w:t xml:space="preserve"> new Special Pro</w:t>
      </w:r>
      <w:r w:rsidR="00461E3A" w:rsidRPr="00091938">
        <w:rPr>
          <w:lang w:val="en-GB"/>
        </w:rPr>
        <w:t>cedures;</w:t>
      </w:r>
      <w:r w:rsidRPr="00091938">
        <w:rPr>
          <w:lang w:val="en-GB"/>
        </w:rPr>
        <w:t xml:space="preserve"> the multiplication of in</w:t>
      </w:r>
      <w:r w:rsidR="00461E3A" w:rsidRPr="00091938">
        <w:rPr>
          <w:lang w:val="en-GB"/>
        </w:rPr>
        <w:t>ternatio</w:t>
      </w:r>
      <w:r w:rsidR="002F15A2">
        <w:rPr>
          <w:lang w:val="en-GB"/>
        </w:rPr>
        <w:t>nal human rights bodies</w:t>
      </w:r>
      <w:r w:rsidRPr="00091938">
        <w:rPr>
          <w:lang w:val="en-GB"/>
        </w:rPr>
        <w:t xml:space="preserve"> </w:t>
      </w:r>
      <w:r w:rsidR="00F50336">
        <w:rPr>
          <w:lang w:val="en-GB"/>
        </w:rPr>
        <w:t xml:space="preserve">including new treaty bodies </w:t>
      </w:r>
      <w:r w:rsidRPr="00091938">
        <w:rPr>
          <w:lang w:val="en-GB"/>
        </w:rPr>
        <w:t>such as CRPD, CED, a</w:t>
      </w:r>
      <w:r w:rsidR="00362801" w:rsidRPr="00091938">
        <w:rPr>
          <w:lang w:val="en-GB"/>
        </w:rPr>
        <w:t>nd SPT have all</w:t>
      </w:r>
      <w:r w:rsidRPr="00091938">
        <w:rPr>
          <w:lang w:val="en-GB"/>
        </w:rPr>
        <w:t xml:space="preserve"> contributed to a </w:t>
      </w:r>
      <w:r w:rsidR="009D7457" w:rsidRPr="00091938">
        <w:rPr>
          <w:lang w:val="en-GB"/>
        </w:rPr>
        <w:t>significant</w:t>
      </w:r>
      <w:r w:rsidRPr="00091938">
        <w:rPr>
          <w:lang w:val="en-GB"/>
        </w:rPr>
        <w:t xml:space="preserve"> increase in the amount of recommendations made to States and other stakeholders. In the meantime, new national and international mechanisms and </w:t>
      </w:r>
      <w:r w:rsidR="00922402">
        <w:rPr>
          <w:lang w:val="en-GB"/>
        </w:rPr>
        <w:t>policies</w:t>
      </w:r>
      <w:r w:rsidRPr="00091938">
        <w:rPr>
          <w:lang w:val="en-GB"/>
        </w:rPr>
        <w:t xml:space="preserve"> have been established to plan and monitor the implementation of these recommendations. </w:t>
      </w:r>
    </w:p>
    <w:p w14:paraId="1A9D670B" w14:textId="77777777" w:rsidR="009A679B" w:rsidRPr="00091938" w:rsidRDefault="009A679B" w:rsidP="0019741F">
      <w:pPr>
        <w:spacing w:before="120" w:after="120" w:line="240" w:lineRule="auto"/>
        <w:jc w:val="both"/>
        <w:rPr>
          <w:lang w:val="en-GB"/>
        </w:rPr>
      </w:pPr>
      <w:r w:rsidRPr="00091938">
        <w:rPr>
          <w:lang w:val="en-GB"/>
        </w:rPr>
        <w:t>Much more remains to be done, however, to improve compliance and implementation, which may require optimizing the a</w:t>
      </w:r>
      <w:r w:rsidR="00362801" w:rsidRPr="00091938">
        <w:rPr>
          <w:lang w:val="en-GB"/>
        </w:rPr>
        <w:t>mount of recommendations. Measures</w:t>
      </w:r>
      <w:r w:rsidRPr="00091938">
        <w:rPr>
          <w:lang w:val="en-GB"/>
        </w:rPr>
        <w:t xml:space="preserve"> are needed to contribute to improving the domestic implementa</w:t>
      </w:r>
      <w:r w:rsidR="006431A3" w:rsidRPr="00091938">
        <w:rPr>
          <w:lang w:val="en-GB"/>
        </w:rPr>
        <w:t>tion of the treaties and enhancing</w:t>
      </w:r>
      <w:r w:rsidRPr="00091938">
        <w:rPr>
          <w:lang w:val="en-GB"/>
        </w:rPr>
        <w:t xml:space="preserve"> the protections of rights holders. </w:t>
      </w:r>
      <w:r w:rsidR="00451709" w:rsidRPr="00091938">
        <w:rPr>
          <w:lang w:val="en-GB"/>
        </w:rPr>
        <w:t xml:space="preserve">Further action is needed to address the four previously mentioned </w:t>
      </w:r>
      <w:r w:rsidR="00A97A1A" w:rsidRPr="00091938">
        <w:rPr>
          <w:lang w:val="en-GB"/>
        </w:rPr>
        <w:t>challenges</w:t>
      </w:r>
      <w:r w:rsidR="00793F3B">
        <w:rPr>
          <w:lang w:val="en-GB"/>
        </w:rPr>
        <w:t>.</w:t>
      </w:r>
    </w:p>
    <w:p w14:paraId="2386C719" w14:textId="77777777" w:rsidR="00AC4512" w:rsidRDefault="00AC4512" w:rsidP="0019741F">
      <w:pPr>
        <w:spacing w:before="120" w:after="120" w:line="240" w:lineRule="auto"/>
        <w:jc w:val="both"/>
        <w:rPr>
          <w:lang w:val="en-GB"/>
        </w:rPr>
      </w:pPr>
    </w:p>
    <w:p w14:paraId="0490C31B" w14:textId="77777777" w:rsidR="00240778" w:rsidRPr="00240778" w:rsidRDefault="00240778" w:rsidP="0019741F">
      <w:pPr>
        <w:pStyle w:val="ListParagraph"/>
        <w:keepNext/>
        <w:keepLines/>
        <w:numPr>
          <w:ilvl w:val="0"/>
          <w:numId w:val="5"/>
        </w:numPr>
        <w:spacing w:before="120" w:after="120" w:line="240" w:lineRule="auto"/>
        <w:contextualSpacing w:val="0"/>
        <w:outlineLvl w:val="1"/>
        <w:rPr>
          <w:rFonts w:eastAsiaTheme="majorEastAsia" w:cstheme="majorBidi"/>
          <w:i/>
          <w:vanish/>
          <w:color w:val="C00000"/>
          <w:szCs w:val="26"/>
          <w:lang w:val="en-GB"/>
        </w:rPr>
      </w:pPr>
      <w:bookmarkStart w:id="35" w:name="_Toc6233557"/>
      <w:bookmarkStart w:id="36" w:name="_Toc6241638"/>
      <w:bookmarkStart w:id="37" w:name="_Toc6392892"/>
      <w:bookmarkStart w:id="38" w:name="_Toc6395583"/>
      <w:bookmarkStart w:id="39" w:name="_Toc7786485"/>
      <w:bookmarkStart w:id="40" w:name="_Toc7787799"/>
      <w:bookmarkEnd w:id="35"/>
      <w:bookmarkEnd w:id="36"/>
      <w:bookmarkEnd w:id="37"/>
      <w:bookmarkEnd w:id="38"/>
      <w:bookmarkEnd w:id="39"/>
      <w:bookmarkEnd w:id="40"/>
    </w:p>
    <w:p w14:paraId="40999F0D" w14:textId="77777777" w:rsidR="00AC4512" w:rsidRPr="00091938" w:rsidRDefault="00AC4512" w:rsidP="0019741F">
      <w:pPr>
        <w:pStyle w:val="Heading2"/>
        <w:numPr>
          <w:ilvl w:val="1"/>
          <w:numId w:val="5"/>
        </w:numPr>
        <w:spacing w:before="120" w:after="120" w:line="240" w:lineRule="auto"/>
        <w:rPr>
          <w:rFonts w:asciiTheme="minorHAnsi" w:hAnsiTheme="minorHAnsi"/>
          <w:i/>
          <w:color w:val="C00000"/>
          <w:sz w:val="22"/>
          <w:lang w:val="en-GB"/>
        </w:rPr>
      </w:pPr>
      <w:bookmarkStart w:id="41" w:name="_Toc7787800"/>
      <w:r>
        <w:rPr>
          <w:rFonts w:asciiTheme="minorHAnsi" w:hAnsiTheme="minorHAnsi"/>
          <w:i/>
          <w:color w:val="C00000"/>
          <w:sz w:val="22"/>
          <w:lang w:val="en-GB"/>
        </w:rPr>
        <w:t>Testing new approaches &amp; methods</w:t>
      </w:r>
      <w:bookmarkEnd w:id="41"/>
    </w:p>
    <w:p w14:paraId="6077910F" w14:textId="1DF8E8CD" w:rsidR="00451709" w:rsidRPr="00091938" w:rsidRDefault="00451709" w:rsidP="0019741F">
      <w:pPr>
        <w:spacing w:before="120" w:after="120" w:line="240" w:lineRule="auto"/>
        <w:jc w:val="both"/>
        <w:rPr>
          <w:lang w:val="en-GB"/>
        </w:rPr>
      </w:pPr>
      <w:r w:rsidRPr="00091938">
        <w:rPr>
          <w:lang w:val="en-GB"/>
        </w:rPr>
        <w:t xml:space="preserve">We call on the treaty bodies, States Parties, OHCHR, and the Secretary-General to come up with a new vision, ambition, and innovation to tackle these challenges and propose further action to strengthen and enhance the functioning of human rights treaty bodies. We call on those actors to try new approaches, tactics, policies and methods </w:t>
      </w:r>
      <w:r w:rsidR="007A1828" w:rsidRPr="00091938">
        <w:rPr>
          <w:lang w:val="en-GB"/>
        </w:rPr>
        <w:t>that have been</w:t>
      </w:r>
      <w:r w:rsidRPr="00091938">
        <w:rPr>
          <w:lang w:val="en-GB"/>
        </w:rPr>
        <w:t xml:space="preserve"> proposed as part of more recent treaty body strengthening processes.</w:t>
      </w:r>
      <w:r w:rsidR="00461E3A" w:rsidRPr="00091938">
        <w:rPr>
          <w:rStyle w:val="FootnoteReference"/>
          <w:lang w:val="en-GB"/>
        </w:rPr>
        <w:footnoteReference w:id="84"/>
      </w:r>
      <w:r w:rsidRPr="00091938">
        <w:rPr>
          <w:lang w:val="en-GB"/>
        </w:rPr>
        <w:t xml:space="preserve"> These include sequencing or clustering reviews</w:t>
      </w:r>
      <w:r w:rsidR="00E47ED1">
        <w:rPr>
          <w:lang w:val="en-GB"/>
        </w:rPr>
        <w:t>,</w:t>
      </w:r>
      <w:r w:rsidRPr="00091938">
        <w:rPr>
          <w:rStyle w:val="FootnoteReference"/>
          <w:lang w:val="en-GB"/>
        </w:rPr>
        <w:footnoteReference w:id="85"/>
      </w:r>
      <w:r w:rsidR="007A1828" w:rsidRPr="00091938">
        <w:rPr>
          <w:lang w:val="en-GB"/>
        </w:rPr>
        <w:t xml:space="preserve"> and the establishment of a </w:t>
      </w:r>
      <w:r w:rsidR="00DE5377">
        <w:rPr>
          <w:lang w:val="en-GB"/>
        </w:rPr>
        <w:t>reformed coordination or management mechanism</w:t>
      </w:r>
      <w:r w:rsidR="002849FF">
        <w:rPr>
          <w:lang w:val="en-GB"/>
        </w:rPr>
        <w:t xml:space="preserve"> that would replace or complement the annual meeting of chairs</w:t>
      </w:r>
      <w:r w:rsidR="008C5E3D">
        <w:rPr>
          <w:rStyle w:val="FootnoteReference"/>
          <w:lang w:val="en-GB"/>
        </w:rPr>
        <w:footnoteReference w:id="86"/>
      </w:r>
      <w:r w:rsidR="002849FF">
        <w:rPr>
          <w:lang w:val="en-GB"/>
        </w:rPr>
        <w:t xml:space="preserve">. </w:t>
      </w:r>
      <w:r w:rsidR="00140E4B" w:rsidRPr="00091938">
        <w:rPr>
          <w:lang w:val="en-GB"/>
        </w:rPr>
        <w:t xml:space="preserve"> </w:t>
      </w:r>
    </w:p>
    <w:p w14:paraId="6604D665" w14:textId="77777777" w:rsidR="00140E4B" w:rsidRPr="00091938" w:rsidRDefault="00140E4B" w:rsidP="0019741F">
      <w:pPr>
        <w:spacing w:before="120" w:after="120" w:line="240" w:lineRule="auto"/>
        <w:jc w:val="both"/>
        <w:rPr>
          <w:lang w:val="en-GB"/>
        </w:rPr>
      </w:pPr>
      <w:r w:rsidRPr="00091938">
        <w:rPr>
          <w:lang w:val="en-GB"/>
        </w:rPr>
        <w:t>Additionally, we recommend that the treaty bodies adopt one single</w:t>
      </w:r>
      <w:r w:rsidR="00E47ED1">
        <w:rPr>
          <w:lang w:val="en-GB"/>
        </w:rPr>
        <w:t xml:space="preserve"> best practice</w:t>
      </w:r>
      <w:r w:rsidRPr="00091938">
        <w:rPr>
          <w:lang w:val="en-GB"/>
        </w:rPr>
        <w:t xml:space="preserve"> process with the same methods for follow up to concluding observations, decisions, and views.</w:t>
      </w:r>
      <w:r w:rsidR="008259BD" w:rsidRPr="00091938">
        <w:rPr>
          <w:lang w:val="en-GB"/>
        </w:rPr>
        <w:t xml:space="preserve"> This would significantly </w:t>
      </w:r>
      <w:r w:rsidR="00A97A1A" w:rsidRPr="00091938">
        <w:rPr>
          <w:lang w:val="en-GB"/>
        </w:rPr>
        <w:t>enhance the visibility</w:t>
      </w:r>
      <w:r w:rsidR="00E47ED1">
        <w:rPr>
          <w:lang w:val="en-GB"/>
        </w:rPr>
        <w:t>, predictability and accessibility</w:t>
      </w:r>
      <w:r w:rsidR="00A97A1A" w:rsidRPr="00091938">
        <w:rPr>
          <w:lang w:val="en-GB"/>
        </w:rPr>
        <w:t xml:space="preserve"> of the process </w:t>
      </w:r>
      <w:r w:rsidR="00A11EFE" w:rsidRPr="00091938">
        <w:rPr>
          <w:lang w:val="en-GB"/>
        </w:rPr>
        <w:t xml:space="preserve">for the relevant stakeholders, and improve the transparency </w:t>
      </w:r>
      <w:r w:rsidR="00E47ED1">
        <w:rPr>
          <w:lang w:val="en-GB"/>
        </w:rPr>
        <w:t xml:space="preserve">and efficiency </w:t>
      </w:r>
      <w:r w:rsidR="00A11EFE" w:rsidRPr="00091938">
        <w:rPr>
          <w:lang w:val="en-GB"/>
        </w:rPr>
        <w:t>of the system.</w:t>
      </w:r>
    </w:p>
    <w:p w14:paraId="62A1DABF" w14:textId="546F4FD0" w:rsidR="00140E4B" w:rsidRPr="00091938" w:rsidRDefault="004872B6" w:rsidP="0019741F">
      <w:pPr>
        <w:spacing w:before="120" w:after="120" w:line="240" w:lineRule="auto"/>
        <w:jc w:val="both"/>
        <w:rPr>
          <w:lang w:val="en-GB"/>
        </w:rPr>
      </w:pPr>
      <w:r w:rsidRPr="00091938">
        <w:rPr>
          <w:lang w:val="en-GB"/>
        </w:rPr>
        <w:t>We also recommend that all</w:t>
      </w:r>
      <w:r w:rsidR="00140E4B" w:rsidRPr="00091938">
        <w:rPr>
          <w:lang w:val="en-GB"/>
        </w:rPr>
        <w:t xml:space="preserve"> treaty bodies should adopt a</w:t>
      </w:r>
      <w:r w:rsidRPr="00091938">
        <w:rPr>
          <w:lang w:val="en-GB"/>
        </w:rPr>
        <w:t>nd comply with the Addis Ababa Guidelines</w:t>
      </w:r>
      <w:r w:rsidR="00267CC9" w:rsidRPr="00091938">
        <w:rPr>
          <w:lang w:val="en-GB"/>
        </w:rPr>
        <w:t xml:space="preserve">, as encouraged in </w:t>
      </w:r>
      <w:r w:rsidR="00A97A1A" w:rsidRPr="00091938">
        <w:rPr>
          <w:lang w:val="en-GB"/>
        </w:rPr>
        <w:t xml:space="preserve">GA </w:t>
      </w:r>
      <w:r w:rsidR="00267CC9" w:rsidRPr="00091938">
        <w:rPr>
          <w:lang w:val="en-GB"/>
        </w:rPr>
        <w:t>Resolution 68/268</w:t>
      </w:r>
      <w:r w:rsidR="001F66E2">
        <w:rPr>
          <w:lang w:val="en-GB"/>
        </w:rPr>
        <w:t>,</w:t>
      </w:r>
      <w:r w:rsidR="00267CC9" w:rsidRPr="00091938">
        <w:rPr>
          <w:rStyle w:val="FootnoteReference"/>
          <w:lang w:val="en-GB"/>
        </w:rPr>
        <w:footnoteReference w:id="87"/>
      </w:r>
      <w:r w:rsidRPr="00091938">
        <w:rPr>
          <w:lang w:val="en-GB"/>
        </w:rPr>
        <w:t xml:space="preserve"> to ensure the independence of treaty body members. </w:t>
      </w:r>
      <w:r w:rsidR="00A11EFE" w:rsidRPr="00091938">
        <w:rPr>
          <w:lang w:val="en-GB"/>
        </w:rPr>
        <w:t>Compliance with the Guidelines would promote greater transparency and positive cooperation with the system.</w:t>
      </w:r>
    </w:p>
    <w:p w14:paraId="7651CD77" w14:textId="77777777" w:rsidR="008B7B25" w:rsidRDefault="008B7B25" w:rsidP="0019741F">
      <w:pPr>
        <w:spacing w:before="120" w:after="120" w:line="240" w:lineRule="auto"/>
        <w:jc w:val="both"/>
        <w:rPr>
          <w:lang w:val="en-GB"/>
        </w:rPr>
      </w:pPr>
    </w:p>
    <w:p w14:paraId="3B4446A4" w14:textId="77777777" w:rsidR="008B7B25" w:rsidRPr="00091938" w:rsidRDefault="00994000" w:rsidP="0019741F">
      <w:pPr>
        <w:pStyle w:val="Heading2"/>
        <w:numPr>
          <w:ilvl w:val="1"/>
          <w:numId w:val="5"/>
        </w:numPr>
        <w:spacing w:before="120" w:after="120" w:line="240" w:lineRule="auto"/>
        <w:rPr>
          <w:rFonts w:asciiTheme="minorHAnsi" w:hAnsiTheme="minorHAnsi"/>
          <w:i/>
          <w:color w:val="C00000"/>
          <w:sz w:val="22"/>
          <w:lang w:val="en-GB"/>
        </w:rPr>
      </w:pPr>
      <w:bookmarkStart w:id="42" w:name="_Toc7787801"/>
      <w:r>
        <w:rPr>
          <w:rFonts w:asciiTheme="minorHAnsi" w:hAnsiTheme="minorHAnsi"/>
          <w:i/>
          <w:color w:val="C00000"/>
          <w:sz w:val="22"/>
          <w:lang w:val="en-GB"/>
        </w:rPr>
        <w:t>Further action: d</w:t>
      </w:r>
      <w:r w:rsidR="00C91DF3">
        <w:rPr>
          <w:rFonts w:asciiTheme="minorHAnsi" w:hAnsiTheme="minorHAnsi"/>
          <w:i/>
          <w:color w:val="C00000"/>
          <w:sz w:val="22"/>
          <w:lang w:val="en-GB"/>
        </w:rPr>
        <w:t>os and don</w:t>
      </w:r>
      <w:r w:rsidR="001F66E2">
        <w:rPr>
          <w:rFonts w:asciiTheme="minorHAnsi" w:hAnsiTheme="minorHAnsi"/>
          <w:i/>
          <w:color w:val="C00000"/>
          <w:sz w:val="22"/>
          <w:lang w:val="en-GB"/>
        </w:rPr>
        <w:t>’</w:t>
      </w:r>
      <w:r w:rsidR="00C91DF3">
        <w:rPr>
          <w:rFonts w:asciiTheme="minorHAnsi" w:hAnsiTheme="minorHAnsi"/>
          <w:i/>
          <w:color w:val="C00000"/>
          <w:sz w:val="22"/>
          <w:lang w:val="en-GB"/>
        </w:rPr>
        <w:t>ts</w:t>
      </w:r>
      <w:bookmarkEnd w:id="42"/>
    </w:p>
    <w:p w14:paraId="4556D785" w14:textId="77777777" w:rsidR="00C91DF3" w:rsidRDefault="00C91DF3" w:rsidP="0019741F">
      <w:pPr>
        <w:spacing w:before="120" w:after="120" w:line="240" w:lineRule="auto"/>
        <w:jc w:val="both"/>
        <w:rPr>
          <w:lang w:val="en-GB"/>
        </w:rPr>
      </w:pPr>
      <w:r>
        <w:rPr>
          <w:lang w:val="en-GB"/>
        </w:rPr>
        <w:t xml:space="preserve">ISHR convened a multi-stakeholder consultation on the political strategy of the strengthening process in May 2017. The consultation brought together a group of over 60 participants, including states, treaty body members, OHCHR staff, NHRIs, NGOs and academics. The consultation concluded that doing nothing ahead of 2020 was not option, and that a “status quo approach” would only benefit those with an interest in a weak treaty body system. </w:t>
      </w:r>
    </w:p>
    <w:p w14:paraId="2F96F045" w14:textId="77777777" w:rsidR="00C91DF3" w:rsidRDefault="00432010" w:rsidP="0019741F">
      <w:pPr>
        <w:spacing w:before="120" w:after="120" w:line="240" w:lineRule="auto"/>
        <w:jc w:val="both"/>
        <w:rPr>
          <w:lang w:val="en-GB"/>
        </w:rPr>
      </w:pPr>
      <w:r>
        <w:rPr>
          <w:noProof/>
          <w:lang w:val="en-GB" w:eastAsia="en-GB"/>
        </w:rPr>
        <w:drawing>
          <wp:anchor distT="0" distB="0" distL="114300" distR="114300" simplePos="0" relativeHeight="251658240" behindDoc="0" locked="0" layoutInCell="1" allowOverlap="1" wp14:anchorId="13801EF9" wp14:editId="3530F506">
            <wp:simplePos x="0" y="0"/>
            <wp:positionH relativeFrom="column">
              <wp:posOffset>-635</wp:posOffset>
            </wp:positionH>
            <wp:positionV relativeFrom="paragraph">
              <wp:posOffset>365125</wp:posOffset>
            </wp:positionV>
            <wp:extent cx="5425440" cy="3828415"/>
            <wp:effectExtent l="0" t="0" r="381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425440" cy="3828415"/>
                    </a:xfrm>
                    <a:prstGeom prst="rect">
                      <a:avLst/>
                    </a:prstGeom>
                  </pic:spPr>
                </pic:pic>
              </a:graphicData>
            </a:graphic>
            <wp14:sizeRelH relativeFrom="page">
              <wp14:pctWidth>0</wp14:pctWidth>
            </wp14:sizeRelH>
            <wp14:sizeRelV relativeFrom="page">
              <wp14:pctHeight>0</wp14:pctHeight>
            </wp14:sizeRelV>
          </wp:anchor>
        </w:drawing>
      </w:r>
      <w:r w:rsidR="00C91DF3">
        <w:rPr>
          <w:lang w:val="en-GB"/>
        </w:rPr>
        <w:t>The report</w:t>
      </w:r>
      <w:r w:rsidR="00C91DF3">
        <w:rPr>
          <w:rStyle w:val="FootnoteReference"/>
          <w:lang w:val="en-GB"/>
        </w:rPr>
        <w:footnoteReference w:id="88"/>
      </w:r>
      <w:r w:rsidR="00C91DF3">
        <w:rPr>
          <w:lang w:val="en-GB"/>
        </w:rPr>
        <w:t xml:space="preserve"> further identified seven “dos and don</w:t>
      </w:r>
      <w:r w:rsidR="001F66E2">
        <w:rPr>
          <w:lang w:val="en-GB"/>
        </w:rPr>
        <w:t>’</w:t>
      </w:r>
      <w:r w:rsidR="00C91DF3">
        <w:rPr>
          <w:lang w:val="en-GB"/>
        </w:rPr>
        <w:t>ts” of treaty body strengthening as follows.</w:t>
      </w:r>
    </w:p>
    <w:p w14:paraId="4C8C5092" w14:textId="77777777" w:rsidR="00432010" w:rsidRDefault="00432010" w:rsidP="0019741F">
      <w:pPr>
        <w:spacing w:before="120" w:after="120" w:line="240" w:lineRule="auto"/>
        <w:jc w:val="both"/>
        <w:rPr>
          <w:lang w:val="en-GB"/>
        </w:rPr>
      </w:pPr>
    </w:p>
    <w:p w14:paraId="3DFBD226" w14:textId="77777777" w:rsidR="007F716B" w:rsidRDefault="001B6DB0" w:rsidP="0019741F">
      <w:pPr>
        <w:spacing w:before="120" w:after="120" w:line="240" w:lineRule="auto"/>
        <w:jc w:val="both"/>
        <w:rPr>
          <w:lang w:val="en-GB"/>
        </w:rPr>
      </w:pPr>
      <w:r>
        <w:rPr>
          <w:lang w:val="en-GB"/>
        </w:rPr>
        <w:t xml:space="preserve">In the current context, the further action we consider to be crucial and urgent </w:t>
      </w:r>
      <w:r w:rsidR="00DC1964">
        <w:rPr>
          <w:lang w:val="en-GB"/>
        </w:rPr>
        <w:t>are:</w:t>
      </w:r>
    </w:p>
    <w:p w14:paraId="00B9BEDF" w14:textId="10090234" w:rsidR="00DC1964" w:rsidRDefault="00DC1964" w:rsidP="0019741F">
      <w:pPr>
        <w:pStyle w:val="ListParagraph"/>
        <w:numPr>
          <w:ilvl w:val="0"/>
          <w:numId w:val="14"/>
        </w:numPr>
        <w:spacing w:before="120" w:after="120" w:line="240" w:lineRule="auto"/>
        <w:jc w:val="both"/>
        <w:rPr>
          <w:lang w:val="en-GB"/>
        </w:rPr>
      </w:pPr>
      <w:r>
        <w:rPr>
          <w:lang w:val="en-GB"/>
        </w:rPr>
        <w:t>To document, integrate and reflect the views and perspectives of the</w:t>
      </w:r>
      <w:r w:rsidR="004C6C27">
        <w:rPr>
          <w:lang w:val="en-GB"/>
        </w:rPr>
        <w:t xml:space="preserve"> non-State users of treaty bodies</w:t>
      </w:r>
      <w:r w:rsidR="00692036">
        <w:rPr>
          <w:lang w:val="en-GB"/>
        </w:rPr>
        <w:t xml:space="preserve">, given their </w:t>
      </w:r>
      <w:r>
        <w:rPr>
          <w:lang w:val="en-GB"/>
        </w:rPr>
        <w:t>exclusion from recent preparations of the 2020 review.</w:t>
      </w:r>
    </w:p>
    <w:p w14:paraId="70DC13ED" w14:textId="42EEE2AB" w:rsidR="00DC1964" w:rsidRPr="00DC1964" w:rsidRDefault="00DC1964" w:rsidP="0019741F">
      <w:pPr>
        <w:pStyle w:val="ListParagraph"/>
        <w:numPr>
          <w:ilvl w:val="0"/>
          <w:numId w:val="14"/>
        </w:numPr>
        <w:spacing w:before="120" w:after="120" w:line="240" w:lineRule="auto"/>
        <w:jc w:val="both"/>
        <w:rPr>
          <w:lang w:val="en-GB"/>
        </w:rPr>
      </w:pPr>
      <w:r>
        <w:rPr>
          <w:lang w:val="en-GB"/>
        </w:rPr>
        <w:t xml:space="preserve">To identify one or several stakeholders, either neutral to the process, or key decision makers (such as the UN SG or the High Commissioner) to lead a process that can deliver the changes that are required to the system. </w:t>
      </w:r>
    </w:p>
    <w:p w14:paraId="45F55DAA" w14:textId="77777777" w:rsidR="001B6DB0" w:rsidRDefault="001B6DB0" w:rsidP="0019741F">
      <w:pPr>
        <w:spacing w:before="120" w:after="120" w:line="240" w:lineRule="auto"/>
        <w:jc w:val="both"/>
        <w:rPr>
          <w:lang w:val="en-GB"/>
        </w:rPr>
      </w:pPr>
    </w:p>
    <w:p w14:paraId="71171DCB" w14:textId="77777777" w:rsidR="00ED3875" w:rsidRDefault="000250A7" w:rsidP="0019741F">
      <w:pPr>
        <w:pStyle w:val="Heading2"/>
        <w:numPr>
          <w:ilvl w:val="1"/>
          <w:numId w:val="5"/>
        </w:numPr>
        <w:spacing w:before="120" w:after="120" w:line="240" w:lineRule="auto"/>
        <w:jc w:val="both"/>
        <w:rPr>
          <w:rFonts w:asciiTheme="minorHAnsi" w:hAnsiTheme="minorHAnsi"/>
          <w:i/>
          <w:color w:val="C00000"/>
          <w:sz w:val="22"/>
          <w:lang w:val="en-GB"/>
        </w:rPr>
      </w:pPr>
      <w:bookmarkStart w:id="43" w:name="_Toc7787802"/>
      <w:r>
        <w:rPr>
          <w:rFonts w:asciiTheme="minorHAnsi" w:hAnsiTheme="minorHAnsi"/>
          <w:i/>
          <w:color w:val="C00000"/>
          <w:sz w:val="22"/>
          <w:lang w:val="en-GB"/>
        </w:rPr>
        <w:t>Last but not least: i</w:t>
      </w:r>
      <w:r w:rsidR="00ED3875">
        <w:rPr>
          <w:rFonts w:asciiTheme="minorHAnsi" w:hAnsiTheme="minorHAnsi"/>
          <w:i/>
          <w:color w:val="C00000"/>
          <w:sz w:val="22"/>
          <w:lang w:val="en-GB"/>
        </w:rPr>
        <w:t>mproving treaty body membership</w:t>
      </w:r>
      <w:bookmarkEnd w:id="43"/>
    </w:p>
    <w:p w14:paraId="1EDEE930" w14:textId="10EABA95" w:rsidR="000250A7" w:rsidRDefault="00337BDD" w:rsidP="0019741F">
      <w:pPr>
        <w:spacing w:before="120" w:after="120" w:line="240" w:lineRule="auto"/>
        <w:jc w:val="both"/>
        <w:rPr>
          <w:lang w:val="en-GB"/>
        </w:rPr>
      </w:pPr>
      <w:r>
        <w:rPr>
          <w:lang w:val="en-GB"/>
        </w:rPr>
        <w:t>The need for competent, diverse, qualified, experience and independent members of treaty bodies</w:t>
      </w:r>
      <w:r w:rsidR="00AC0086">
        <w:rPr>
          <w:lang w:val="en-GB"/>
        </w:rPr>
        <w:t xml:space="preserve"> </w:t>
      </w:r>
      <w:r w:rsidR="001F66E2">
        <w:rPr>
          <w:lang w:val="en-GB"/>
        </w:rPr>
        <w:t>is widely</w:t>
      </w:r>
      <w:r>
        <w:rPr>
          <w:lang w:val="en-GB"/>
        </w:rPr>
        <w:t xml:space="preserve"> recognised</w:t>
      </w:r>
      <w:r w:rsidR="001F66E2">
        <w:rPr>
          <w:lang w:val="en-GB"/>
        </w:rPr>
        <w:t>.</w:t>
      </w:r>
      <w:r w:rsidR="00605649">
        <w:rPr>
          <w:rStyle w:val="FootnoteReference"/>
          <w:lang w:val="en-GB"/>
        </w:rPr>
        <w:footnoteReference w:id="89"/>
      </w:r>
      <w:r>
        <w:rPr>
          <w:lang w:val="en-GB"/>
        </w:rPr>
        <w:t xml:space="preserve"> Yet </w:t>
      </w:r>
      <w:r w:rsidR="00AC0086">
        <w:rPr>
          <w:lang w:val="en-GB"/>
        </w:rPr>
        <w:t xml:space="preserve">a number of problems persist, and there is no consensus as to how best to </w:t>
      </w:r>
      <w:r w:rsidR="000F7476">
        <w:rPr>
          <w:lang w:val="en-GB"/>
        </w:rPr>
        <w:t>address these issues</w:t>
      </w:r>
      <w:r w:rsidR="00AC0086">
        <w:rPr>
          <w:lang w:val="en-GB"/>
        </w:rPr>
        <w:t>:</w:t>
      </w:r>
    </w:p>
    <w:p w14:paraId="68A49467" w14:textId="788A5BFB" w:rsidR="00AC0086" w:rsidRPr="005B16F7" w:rsidRDefault="00AC0086" w:rsidP="0019741F">
      <w:pPr>
        <w:pStyle w:val="ListParagraph"/>
        <w:numPr>
          <w:ilvl w:val="0"/>
          <w:numId w:val="25"/>
        </w:numPr>
        <w:spacing w:before="120" w:after="120" w:line="240" w:lineRule="auto"/>
        <w:jc w:val="both"/>
        <w:rPr>
          <w:lang w:val="en-GB"/>
        </w:rPr>
      </w:pPr>
      <w:r w:rsidRPr="005B16F7">
        <w:rPr>
          <w:lang w:val="en-GB"/>
        </w:rPr>
        <w:t>A February 2018 study</w:t>
      </w:r>
      <w:r w:rsidR="00133A75">
        <w:rPr>
          <w:rStyle w:val="FootnoteReference"/>
          <w:lang w:val="en-GB"/>
        </w:rPr>
        <w:footnoteReference w:id="90"/>
      </w:r>
      <w:r w:rsidRPr="005B16F7">
        <w:rPr>
          <w:lang w:val="en-GB"/>
        </w:rPr>
        <w:t xml:space="preserve"> found that 44% of treaty body members continued to have a background in their national executive sector. Although not a </w:t>
      </w:r>
      <w:r w:rsidRPr="005B16F7">
        <w:rPr>
          <w:i/>
          <w:lang w:val="en-GB"/>
        </w:rPr>
        <w:t>de facto</w:t>
      </w:r>
      <w:r w:rsidRPr="005B16F7">
        <w:rPr>
          <w:lang w:val="en-GB"/>
        </w:rPr>
        <w:t xml:space="preserve"> indication of lack of independence</w:t>
      </w:r>
      <w:r w:rsidR="00C76552" w:rsidRPr="005B16F7">
        <w:rPr>
          <w:lang w:val="en-GB"/>
        </w:rPr>
        <w:t xml:space="preserve"> or impartiality</w:t>
      </w:r>
      <w:r w:rsidRPr="005B16F7">
        <w:rPr>
          <w:lang w:val="en-GB"/>
        </w:rPr>
        <w:t xml:space="preserve">, the affiliation </w:t>
      </w:r>
      <w:r w:rsidR="000F7476" w:rsidRPr="005B16F7">
        <w:rPr>
          <w:lang w:val="en-GB"/>
        </w:rPr>
        <w:t xml:space="preserve">of members and candidates </w:t>
      </w:r>
      <w:r w:rsidRPr="005B16F7">
        <w:rPr>
          <w:lang w:val="en-GB"/>
        </w:rPr>
        <w:t>to national executives raises serious concerns.</w:t>
      </w:r>
    </w:p>
    <w:p w14:paraId="0CDE1594" w14:textId="05889454" w:rsidR="00C76552" w:rsidRDefault="00C76552" w:rsidP="0019741F">
      <w:pPr>
        <w:pStyle w:val="ListParagraph"/>
        <w:numPr>
          <w:ilvl w:val="0"/>
          <w:numId w:val="25"/>
        </w:numPr>
        <w:spacing w:before="120" w:after="120" w:line="240" w:lineRule="auto"/>
        <w:jc w:val="both"/>
        <w:rPr>
          <w:lang w:val="en-GB"/>
        </w:rPr>
      </w:pPr>
      <w:r>
        <w:rPr>
          <w:lang w:val="en-GB"/>
        </w:rPr>
        <w:t>The Addis Ababa Guidelines have not been fully endorsed by all treaty bodies</w:t>
      </w:r>
      <w:r w:rsidR="001F66E2">
        <w:rPr>
          <w:lang w:val="en-GB"/>
        </w:rPr>
        <w:t>,</w:t>
      </w:r>
      <w:r>
        <w:rPr>
          <w:rStyle w:val="FootnoteReference"/>
          <w:lang w:val="en-GB"/>
        </w:rPr>
        <w:footnoteReference w:id="91"/>
      </w:r>
      <w:r w:rsidR="00635E74">
        <w:rPr>
          <w:lang w:val="en-GB"/>
        </w:rPr>
        <w:t xml:space="preserve"> and there have been calls for an </w:t>
      </w:r>
      <w:r w:rsidR="00680139">
        <w:rPr>
          <w:lang w:val="en-GB"/>
        </w:rPr>
        <w:t>operationali</w:t>
      </w:r>
      <w:r w:rsidR="001F66E2">
        <w:rPr>
          <w:lang w:val="en-GB"/>
        </w:rPr>
        <w:t>s</w:t>
      </w:r>
      <w:r w:rsidR="00680139">
        <w:rPr>
          <w:lang w:val="en-GB"/>
        </w:rPr>
        <w:t>ation</w:t>
      </w:r>
      <w:r w:rsidR="00680139">
        <w:rPr>
          <w:rStyle w:val="FootnoteReference"/>
          <w:lang w:val="en-GB"/>
        </w:rPr>
        <w:footnoteReference w:id="92"/>
      </w:r>
      <w:r w:rsidR="00680139">
        <w:rPr>
          <w:lang w:val="en-GB"/>
        </w:rPr>
        <w:t xml:space="preserve"> and/or expansion</w:t>
      </w:r>
      <w:r w:rsidR="00680139">
        <w:rPr>
          <w:rStyle w:val="FootnoteReference"/>
          <w:lang w:val="en-GB"/>
        </w:rPr>
        <w:footnoteReference w:id="93"/>
      </w:r>
      <w:r w:rsidR="00680139">
        <w:rPr>
          <w:lang w:val="en-GB"/>
        </w:rPr>
        <w:t xml:space="preserve"> </w:t>
      </w:r>
      <w:r w:rsidR="00635E74">
        <w:rPr>
          <w:lang w:val="en-GB"/>
        </w:rPr>
        <w:t xml:space="preserve">of the Guidelines to enhance the composition of treaty bodies </w:t>
      </w:r>
      <w:r w:rsidR="00627561">
        <w:rPr>
          <w:lang w:val="en-GB"/>
        </w:rPr>
        <w:t>.</w:t>
      </w:r>
    </w:p>
    <w:p w14:paraId="3EEE804B" w14:textId="0A93B6C1" w:rsidR="00BE694A" w:rsidRDefault="00D634A0" w:rsidP="0019741F">
      <w:pPr>
        <w:pStyle w:val="ListParagraph"/>
        <w:numPr>
          <w:ilvl w:val="0"/>
          <w:numId w:val="25"/>
        </w:numPr>
        <w:spacing w:before="120" w:after="120" w:line="240" w:lineRule="auto"/>
        <w:jc w:val="both"/>
        <w:rPr>
          <w:lang w:val="en-GB"/>
        </w:rPr>
      </w:pPr>
      <w:r>
        <w:rPr>
          <w:lang w:val="en-GB"/>
        </w:rPr>
        <w:t>Some states have adopted good practices on</w:t>
      </w:r>
      <w:r w:rsidR="00BE694A">
        <w:rPr>
          <w:lang w:val="en-GB"/>
        </w:rPr>
        <w:t xml:space="preserve"> open, transparent, and inclusive processes of national identification of candidates</w:t>
      </w:r>
      <w:r w:rsidR="001F66E2">
        <w:rPr>
          <w:lang w:val="en-GB"/>
        </w:rPr>
        <w:t>,</w:t>
      </w:r>
      <w:r>
        <w:rPr>
          <w:rStyle w:val="FootnoteReference"/>
          <w:lang w:val="en-GB"/>
        </w:rPr>
        <w:footnoteReference w:id="94"/>
      </w:r>
      <w:r>
        <w:rPr>
          <w:lang w:val="en-GB"/>
        </w:rPr>
        <w:t xml:space="preserve"> but most states continue to identify candidates through closed and opaque processes, favouring candidates related or close to national executive branches.</w:t>
      </w:r>
    </w:p>
    <w:p w14:paraId="5EBC998E" w14:textId="03AD8AF2" w:rsidR="00D634A0" w:rsidRPr="00AC0086" w:rsidRDefault="00D634A0" w:rsidP="0019741F">
      <w:pPr>
        <w:pStyle w:val="ListParagraph"/>
        <w:numPr>
          <w:ilvl w:val="0"/>
          <w:numId w:val="25"/>
        </w:numPr>
        <w:spacing w:before="120" w:after="120" w:line="240" w:lineRule="auto"/>
        <w:jc w:val="both"/>
        <w:rPr>
          <w:lang w:val="en-GB"/>
        </w:rPr>
      </w:pPr>
      <w:r>
        <w:rPr>
          <w:lang w:val="en-GB"/>
        </w:rPr>
        <w:t xml:space="preserve">The entrenched practice of vote trading among states is wholly </w:t>
      </w:r>
      <w:r w:rsidR="001F66E2">
        <w:rPr>
          <w:lang w:val="en-GB"/>
        </w:rPr>
        <w:t xml:space="preserve">antithetical </w:t>
      </w:r>
      <w:r>
        <w:rPr>
          <w:lang w:val="en-GB"/>
        </w:rPr>
        <w:t xml:space="preserve">to the election of </w:t>
      </w:r>
      <w:r w:rsidR="001F66E2">
        <w:rPr>
          <w:lang w:val="en-GB"/>
        </w:rPr>
        <w:t xml:space="preserve">expert </w:t>
      </w:r>
      <w:r>
        <w:rPr>
          <w:lang w:val="en-GB"/>
        </w:rPr>
        <w:t>and independent members</w:t>
      </w:r>
      <w:r w:rsidR="001F66E2">
        <w:rPr>
          <w:lang w:val="en-GB"/>
        </w:rPr>
        <w:t>.</w:t>
      </w:r>
    </w:p>
    <w:p w14:paraId="045BD466" w14:textId="38094AA2" w:rsidR="007F716B" w:rsidRDefault="00931F0C" w:rsidP="0019741F">
      <w:pPr>
        <w:spacing w:before="120" w:after="120" w:line="240" w:lineRule="auto"/>
        <w:jc w:val="both"/>
        <w:rPr>
          <w:lang w:val="en-GB"/>
        </w:rPr>
      </w:pPr>
      <w:r>
        <w:rPr>
          <w:lang w:val="en-GB"/>
        </w:rPr>
        <w:t xml:space="preserve">Some of the proposals </w:t>
      </w:r>
      <w:r w:rsidR="00773208">
        <w:rPr>
          <w:lang w:val="en-GB"/>
        </w:rPr>
        <w:t xml:space="preserve">put forward to address these situations and which </w:t>
      </w:r>
      <w:r w:rsidR="001F66E2">
        <w:rPr>
          <w:lang w:val="en-GB"/>
        </w:rPr>
        <w:t>c</w:t>
      </w:r>
      <w:r w:rsidR="00773208">
        <w:rPr>
          <w:lang w:val="en-GB"/>
        </w:rPr>
        <w:t xml:space="preserve">ould benefit </w:t>
      </w:r>
      <w:r w:rsidR="001F66E2">
        <w:rPr>
          <w:lang w:val="en-GB"/>
        </w:rPr>
        <w:t>from</w:t>
      </w:r>
      <w:r w:rsidR="00773208">
        <w:rPr>
          <w:lang w:val="en-GB"/>
        </w:rPr>
        <w:t xml:space="preserve"> further exploration and testing include</w:t>
      </w:r>
      <w:r w:rsidR="001F66E2">
        <w:rPr>
          <w:lang w:val="en-GB"/>
        </w:rPr>
        <w:t>,</w:t>
      </w:r>
      <w:r w:rsidR="00773208">
        <w:rPr>
          <w:lang w:val="en-GB"/>
        </w:rPr>
        <w:t xml:space="preserve"> inter alia:</w:t>
      </w:r>
    </w:p>
    <w:p w14:paraId="51F0118A" w14:textId="11A358CB" w:rsidR="00773208" w:rsidRDefault="00DF7DB7" w:rsidP="0019741F">
      <w:pPr>
        <w:pStyle w:val="ListParagraph"/>
        <w:numPr>
          <w:ilvl w:val="0"/>
          <w:numId w:val="26"/>
        </w:numPr>
        <w:spacing w:before="120" w:after="120" w:line="240" w:lineRule="auto"/>
        <w:jc w:val="both"/>
        <w:rPr>
          <w:lang w:val="en-GB"/>
        </w:rPr>
      </w:pPr>
      <w:r>
        <w:rPr>
          <w:lang w:val="en-GB"/>
        </w:rPr>
        <w:t>Adoption of a set of rules on state obligations in the nomination of candidates and elections</w:t>
      </w:r>
      <w:r w:rsidR="001F66E2">
        <w:rPr>
          <w:lang w:val="en-GB"/>
        </w:rPr>
        <w:t>,</w:t>
      </w:r>
      <w:r>
        <w:rPr>
          <w:rStyle w:val="FootnoteReference"/>
          <w:lang w:val="en-GB"/>
        </w:rPr>
        <w:footnoteReference w:id="95"/>
      </w:r>
      <w:r>
        <w:rPr>
          <w:lang w:val="en-GB"/>
        </w:rPr>
        <w:t xml:space="preserve"> possibly though an e</w:t>
      </w:r>
      <w:r w:rsidR="00773208">
        <w:rPr>
          <w:lang w:val="en-GB"/>
        </w:rPr>
        <w:t>xpan</w:t>
      </w:r>
      <w:r>
        <w:rPr>
          <w:lang w:val="en-GB"/>
        </w:rPr>
        <w:t>sion or revision of</w:t>
      </w:r>
      <w:r w:rsidR="00773208">
        <w:rPr>
          <w:lang w:val="en-GB"/>
        </w:rPr>
        <w:t xml:space="preserve"> the Addis Ababa Guidelines or </w:t>
      </w:r>
      <w:r>
        <w:rPr>
          <w:lang w:val="en-GB"/>
        </w:rPr>
        <w:t>voluntary pledges</w:t>
      </w:r>
      <w:r w:rsidR="0041353F">
        <w:rPr>
          <w:rStyle w:val="FootnoteReference"/>
          <w:lang w:val="en-GB"/>
        </w:rPr>
        <w:footnoteReference w:id="96"/>
      </w:r>
      <w:r>
        <w:rPr>
          <w:lang w:val="en-GB"/>
        </w:rPr>
        <w:t xml:space="preserve"> of states</w:t>
      </w:r>
      <w:r w:rsidR="001F66E2">
        <w:rPr>
          <w:lang w:val="en-GB"/>
        </w:rPr>
        <w:t>.</w:t>
      </w:r>
    </w:p>
    <w:p w14:paraId="01DDB5BA" w14:textId="5FCCB270" w:rsidR="00773208" w:rsidRDefault="00773208" w:rsidP="0019741F">
      <w:pPr>
        <w:pStyle w:val="ListParagraph"/>
        <w:numPr>
          <w:ilvl w:val="0"/>
          <w:numId w:val="26"/>
        </w:numPr>
        <w:spacing w:before="120" w:after="120" w:line="240" w:lineRule="auto"/>
        <w:jc w:val="both"/>
        <w:rPr>
          <w:lang w:val="en-GB"/>
        </w:rPr>
      </w:pPr>
      <w:r>
        <w:rPr>
          <w:lang w:val="en-GB"/>
        </w:rPr>
        <w:t xml:space="preserve">Organising </w:t>
      </w:r>
      <w:r w:rsidR="00A426E8">
        <w:rPr>
          <w:lang w:val="en-GB"/>
        </w:rPr>
        <w:t xml:space="preserve">private or public </w:t>
      </w:r>
      <w:r>
        <w:rPr>
          <w:lang w:val="en-GB"/>
        </w:rPr>
        <w:t>hearings of candidates prior to the elections</w:t>
      </w:r>
      <w:r w:rsidR="00A426E8">
        <w:rPr>
          <w:lang w:val="en-GB"/>
        </w:rPr>
        <w:t>, in order to vet candidates</w:t>
      </w:r>
      <w:r w:rsidR="00DF7DB7">
        <w:rPr>
          <w:rStyle w:val="FootnoteReference"/>
          <w:lang w:val="en-GB"/>
        </w:rPr>
        <w:footnoteReference w:id="97"/>
      </w:r>
      <w:r w:rsidR="00A426E8">
        <w:rPr>
          <w:lang w:val="en-GB"/>
        </w:rPr>
        <w:t xml:space="preserve">. </w:t>
      </w:r>
      <w:r w:rsidR="00627561">
        <w:rPr>
          <w:lang w:val="en-GB"/>
        </w:rPr>
        <w:t>Inspiration could</w:t>
      </w:r>
      <w:r w:rsidR="004C26E8">
        <w:rPr>
          <w:lang w:val="en-GB"/>
        </w:rPr>
        <w:t xml:space="preserve"> be drawn from the </w:t>
      </w:r>
      <w:r w:rsidR="00D77B58">
        <w:rPr>
          <w:lang w:val="en-GB"/>
        </w:rPr>
        <w:t xml:space="preserve">likes of the vetting process in place for the recruitment of UN Special Procedures, although candidates should be assessed and interviewed by independent experts </w:t>
      </w:r>
      <w:r w:rsidR="00741008">
        <w:rPr>
          <w:lang w:val="en-GB"/>
        </w:rPr>
        <w:t xml:space="preserve">(e.g. former treaty body members) </w:t>
      </w:r>
      <w:r w:rsidR="00D77B58">
        <w:rPr>
          <w:lang w:val="en-GB"/>
        </w:rPr>
        <w:t xml:space="preserve">rather than diplomats. </w:t>
      </w:r>
    </w:p>
    <w:p w14:paraId="319144D6" w14:textId="77777777" w:rsidR="00773208" w:rsidRPr="00773208" w:rsidRDefault="00773208" w:rsidP="0019741F">
      <w:pPr>
        <w:pStyle w:val="ListParagraph"/>
        <w:spacing w:before="120" w:after="120" w:line="240" w:lineRule="auto"/>
        <w:jc w:val="both"/>
        <w:rPr>
          <w:lang w:val="en-GB"/>
        </w:rPr>
      </w:pPr>
    </w:p>
    <w:sectPr w:rsidR="00773208" w:rsidRPr="00773208">
      <w:footerReference w:type="default" r:id="rId1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799360" w16cid:durableId="2069F799"/>
  <w16cid:commentId w16cid:paraId="52B4BC26" w16cid:durableId="2069F804"/>
  <w16cid:commentId w16cid:paraId="3C17CDE6" w16cid:durableId="2069F79A"/>
  <w16cid:commentId w16cid:paraId="0BFA08FD" w16cid:durableId="2069FCFE"/>
  <w16cid:commentId w16cid:paraId="327BEA32" w16cid:durableId="2069FD58"/>
  <w16cid:commentId w16cid:paraId="072766C0" w16cid:durableId="2069FE7F"/>
  <w16cid:commentId w16cid:paraId="72201976" w16cid:durableId="2069FF1A"/>
  <w16cid:commentId w16cid:paraId="7842CC7D" w16cid:durableId="2069F79B"/>
  <w16cid:commentId w16cid:paraId="68B534F4" w16cid:durableId="206A002D"/>
  <w16cid:commentId w16cid:paraId="097F9350" w16cid:durableId="206A043C"/>
  <w16cid:commentId w16cid:paraId="35ABD2BE" w16cid:durableId="2069F79C"/>
  <w16cid:commentId w16cid:paraId="35E53CC2" w16cid:durableId="206A0473"/>
  <w16cid:commentId w16cid:paraId="75ABD523" w16cid:durableId="206A0591"/>
  <w16cid:commentId w16cid:paraId="29ABDAD0" w16cid:durableId="206A05FB"/>
  <w16cid:commentId w16cid:paraId="6741724B" w16cid:durableId="2069F79D"/>
  <w16cid:commentId w16cid:paraId="54CA8F2C" w16cid:durableId="2069F79E"/>
  <w16cid:commentId w16cid:paraId="79E36259" w16cid:durableId="2069F79F"/>
  <w16cid:commentId w16cid:paraId="0F332F2E" w16cid:durableId="206A0866"/>
  <w16cid:commentId w16cid:paraId="2340E898" w16cid:durableId="2069F7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4FADA" w14:textId="77777777" w:rsidR="00412ACB" w:rsidRDefault="00412ACB" w:rsidP="00451709">
      <w:pPr>
        <w:spacing w:after="0" w:line="240" w:lineRule="auto"/>
      </w:pPr>
      <w:r>
        <w:separator/>
      </w:r>
    </w:p>
  </w:endnote>
  <w:endnote w:type="continuationSeparator" w:id="0">
    <w:p w14:paraId="5EC239FC" w14:textId="77777777" w:rsidR="00412ACB" w:rsidRDefault="00412ACB" w:rsidP="00451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Gill Sans">
    <w:altName w:val="Segoe UI Semilight"/>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460339"/>
      <w:docPartObj>
        <w:docPartGallery w:val="Page Numbers (Bottom of Page)"/>
        <w:docPartUnique/>
      </w:docPartObj>
    </w:sdtPr>
    <w:sdtEndPr/>
    <w:sdtContent>
      <w:sdt>
        <w:sdtPr>
          <w:id w:val="-1769616900"/>
          <w:docPartObj>
            <w:docPartGallery w:val="Page Numbers (Top of Page)"/>
            <w:docPartUnique/>
          </w:docPartObj>
        </w:sdtPr>
        <w:sdtEndPr/>
        <w:sdtContent>
          <w:p w14:paraId="69A4CA48" w14:textId="58C5F005" w:rsidR="00A20A4E" w:rsidRPr="00732FDD" w:rsidRDefault="00A20A4E">
            <w:pPr>
              <w:pStyle w:val="Footer"/>
              <w:jc w:val="right"/>
            </w:pPr>
            <w:r w:rsidRPr="00732FDD">
              <w:rPr>
                <w:bCs/>
              </w:rPr>
              <w:fldChar w:fldCharType="begin"/>
            </w:r>
            <w:r w:rsidRPr="00732FDD">
              <w:rPr>
                <w:bCs/>
              </w:rPr>
              <w:instrText xml:space="preserve"> PAGE </w:instrText>
            </w:r>
            <w:r w:rsidRPr="00732FDD">
              <w:rPr>
                <w:bCs/>
              </w:rPr>
              <w:fldChar w:fldCharType="separate"/>
            </w:r>
            <w:r w:rsidR="00376871">
              <w:rPr>
                <w:bCs/>
                <w:noProof/>
              </w:rPr>
              <w:t>1</w:t>
            </w:r>
            <w:r w:rsidRPr="00732FDD">
              <w:rPr>
                <w:bCs/>
              </w:rPr>
              <w:fldChar w:fldCharType="end"/>
            </w:r>
            <w:r w:rsidRPr="00732FDD">
              <w:t xml:space="preserve"> / </w:t>
            </w:r>
            <w:r w:rsidRPr="00732FDD">
              <w:rPr>
                <w:bCs/>
              </w:rPr>
              <w:fldChar w:fldCharType="begin"/>
            </w:r>
            <w:r w:rsidRPr="00732FDD">
              <w:rPr>
                <w:bCs/>
              </w:rPr>
              <w:instrText xml:space="preserve"> NUMPAGES  </w:instrText>
            </w:r>
            <w:r w:rsidRPr="00732FDD">
              <w:rPr>
                <w:bCs/>
              </w:rPr>
              <w:fldChar w:fldCharType="separate"/>
            </w:r>
            <w:r w:rsidR="00376871">
              <w:rPr>
                <w:bCs/>
                <w:noProof/>
              </w:rPr>
              <w:t>1</w:t>
            </w:r>
            <w:r w:rsidRPr="00732FDD">
              <w:rPr>
                <w:bCs/>
              </w:rPr>
              <w:fldChar w:fldCharType="end"/>
            </w:r>
          </w:p>
        </w:sdtContent>
      </w:sdt>
    </w:sdtContent>
  </w:sdt>
  <w:p w14:paraId="71F10F82" w14:textId="77777777" w:rsidR="00A20A4E" w:rsidRDefault="00A20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D7C38" w14:textId="77777777" w:rsidR="00412ACB" w:rsidRDefault="00412ACB" w:rsidP="00451709">
      <w:pPr>
        <w:spacing w:after="0" w:line="240" w:lineRule="auto"/>
      </w:pPr>
      <w:r>
        <w:separator/>
      </w:r>
    </w:p>
  </w:footnote>
  <w:footnote w:type="continuationSeparator" w:id="0">
    <w:p w14:paraId="465A732A" w14:textId="77777777" w:rsidR="00412ACB" w:rsidRDefault="00412ACB" w:rsidP="00451709">
      <w:pPr>
        <w:spacing w:after="0" w:line="240" w:lineRule="auto"/>
      </w:pPr>
      <w:r>
        <w:continuationSeparator/>
      </w:r>
    </w:p>
  </w:footnote>
  <w:footnote w:id="1">
    <w:p w14:paraId="649D3B33"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A/59/2005 ; §147</w:t>
      </w:r>
    </w:p>
  </w:footnote>
  <w:footnote w:id="2">
    <w:p w14:paraId="7EF50EA2"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w:t>
      </w:r>
      <w:hyperlink r:id="rId1" w:history="1">
        <w:r w:rsidRPr="00710D66">
          <w:rPr>
            <w:rStyle w:val="Hyperlink"/>
            <w:lang w:val="en-GB"/>
          </w:rPr>
          <w:t>http://www.ishr.ch/news/general-assembly-takes-modest-important-step-strengthen-treaty-bodies</w:t>
        </w:r>
      </w:hyperlink>
      <w:r w:rsidRPr="00710D66">
        <w:rPr>
          <w:lang w:val="en-GB"/>
        </w:rPr>
        <w:t xml:space="preserve"> </w:t>
      </w:r>
    </w:p>
  </w:footnote>
  <w:footnote w:id="3">
    <w:p w14:paraId="1A3F4767"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See Alston proposals at </w:t>
      </w:r>
      <w:hyperlink r:id="rId2" w:anchor="Alston" w:history="1">
        <w:r w:rsidRPr="00710D66">
          <w:rPr>
            <w:rStyle w:val="Hyperlink"/>
            <w:lang w:val="en-GB"/>
          </w:rPr>
          <w:t>https://www.ohchr.org/EN/HRBodies/HRTD/Pages/FirstBiennialReportbySG.aspx#Alston</w:t>
        </w:r>
      </w:hyperlink>
      <w:r w:rsidRPr="00710D66">
        <w:rPr>
          <w:lang w:val="en-GB"/>
        </w:rPr>
        <w:t xml:space="preserve"> </w:t>
      </w:r>
    </w:p>
  </w:footnote>
  <w:footnote w:id="4">
    <w:p w14:paraId="1D625E94" w14:textId="052B2753" w:rsidR="00A20A4E" w:rsidRPr="00710D66" w:rsidRDefault="00A20A4E">
      <w:pPr>
        <w:pStyle w:val="FootnoteText"/>
        <w:rPr>
          <w:lang w:val="en-GB"/>
        </w:rPr>
      </w:pPr>
      <w:r w:rsidRPr="00710D66">
        <w:rPr>
          <w:rStyle w:val="FootnoteReference"/>
          <w:lang w:val="en-GB"/>
        </w:rPr>
        <w:footnoteRef/>
      </w:r>
      <w:r w:rsidRPr="00710D66">
        <w:rPr>
          <w:lang w:val="en-GB"/>
        </w:rPr>
        <w:t xml:space="preserve"> The formula did not account for the important reviews in absence of a report, which several treaty bodies undertake. </w:t>
      </w:r>
    </w:p>
  </w:footnote>
  <w:footnote w:id="5">
    <w:p w14:paraId="08A2F949" w14:textId="77777777" w:rsidR="00A20A4E" w:rsidRPr="00710D66" w:rsidRDefault="00A20A4E" w:rsidP="00025D7A">
      <w:pPr>
        <w:pStyle w:val="FootnoteText"/>
        <w:rPr>
          <w:lang w:val="en-GB"/>
        </w:rPr>
      </w:pPr>
      <w:r w:rsidRPr="00710D66">
        <w:rPr>
          <w:rStyle w:val="FootnoteReference"/>
          <w:lang w:val="en-GB"/>
        </w:rPr>
        <w:footnoteRef/>
      </w:r>
      <w:r w:rsidRPr="00710D66">
        <w:rPr>
          <w:lang w:val="en-GB"/>
        </w:rPr>
        <w:t xml:space="preserve"> A/73/309, §19.</w:t>
      </w:r>
    </w:p>
  </w:footnote>
  <w:footnote w:id="6">
    <w:p w14:paraId="6F422834" w14:textId="77777777" w:rsidR="00A20A4E" w:rsidRPr="00710D66" w:rsidRDefault="00A20A4E" w:rsidP="00234325">
      <w:pPr>
        <w:pStyle w:val="FootnoteText"/>
        <w:rPr>
          <w:lang w:val="en-GB"/>
        </w:rPr>
      </w:pPr>
      <w:r w:rsidRPr="00710D66">
        <w:rPr>
          <w:rStyle w:val="FootnoteReference"/>
          <w:lang w:val="en-GB"/>
        </w:rPr>
        <w:footnoteRef/>
      </w:r>
      <w:r w:rsidRPr="00710D66">
        <w:rPr>
          <w:lang w:val="en-GB"/>
        </w:rPr>
        <w:t xml:space="preserve"> </w:t>
      </w:r>
      <w:hyperlink r:id="rId3" w:history="1">
        <w:r w:rsidRPr="00710D66">
          <w:rPr>
            <w:rStyle w:val="Hyperlink"/>
            <w:lang w:val="en-GB"/>
          </w:rPr>
          <w:t>https://www.ohchr.org/EN/HRBodies/HRTD%20Newsletter/No.23,%20April%20to%20June%202014.pdf</w:t>
        </w:r>
      </w:hyperlink>
    </w:p>
  </w:footnote>
  <w:footnote w:id="7">
    <w:p w14:paraId="580D460E"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w:t>
      </w:r>
      <w:hyperlink r:id="rId4" w:history="1">
        <w:r w:rsidRPr="00710D66">
          <w:rPr>
            <w:lang w:val="en-GB"/>
          </w:rPr>
          <w:t>Idem</w:t>
        </w:r>
      </w:hyperlink>
      <w:r w:rsidRPr="00710D66">
        <w:rPr>
          <w:lang w:val="en-GB"/>
        </w:rPr>
        <w:t xml:space="preserve"> </w:t>
      </w:r>
    </w:p>
  </w:footnote>
  <w:footnote w:id="8">
    <w:p w14:paraId="104567F9"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A/73/309, Annex IV</w:t>
      </w:r>
    </w:p>
  </w:footnote>
  <w:footnote w:id="9">
    <w:p w14:paraId="51B2699D" w14:textId="509A79E6" w:rsidR="00A20A4E" w:rsidRPr="00710D66" w:rsidRDefault="00A20A4E">
      <w:pPr>
        <w:pStyle w:val="FootnoteText"/>
        <w:rPr>
          <w:lang w:val="en-GB"/>
        </w:rPr>
      </w:pPr>
      <w:r w:rsidRPr="00710D66">
        <w:rPr>
          <w:rStyle w:val="FootnoteReference"/>
          <w:lang w:val="en-GB"/>
        </w:rPr>
        <w:footnoteRef/>
      </w:r>
      <w:r w:rsidRPr="00710D66">
        <w:rPr>
          <w:lang w:val="en-GB"/>
        </w:rPr>
        <w:t>. E.g. see A/73/309, §38-39</w:t>
      </w:r>
    </w:p>
  </w:footnote>
  <w:footnote w:id="10">
    <w:p w14:paraId="448A81AE" w14:textId="77777777" w:rsidR="00A20A4E" w:rsidRPr="00710D66" w:rsidRDefault="00A20A4E" w:rsidP="00A95E57">
      <w:pPr>
        <w:pStyle w:val="FootnoteText"/>
        <w:rPr>
          <w:lang w:val="en-GB"/>
        </w:rPr>
      </w:pPr>
      <w:r w:rsidRPr="00710D66">
        <w:rPr>
          <w:rStyle w:val="FootnoteReference"/>
          <w:lang w:val="en-GB"/>
        </w:rPr>
        <w:footnoteRef/>
      </w:r>
      <w:r w:rsidRPr="00710D66">
        <w:rPr>
          <w:lang w:val="en-GB"/>
        </w:rPr>
        <w:t xml:space="preserve"> E.g. see A/73/140, § 56 and 61.</w:t>
      </w:r>
    </w:p>
  </w:footnote>
  <w:footnote w:id="11">
    <w:p w14:paraId="109DBB4B"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E.g. 86 new ratifications globally between December 2015 and December 2017, A/73/309 Annex I</w:t>
      </w:r>
    </w:p>
  </w:footnote>
  <w:footnote w:id="12">
    <w:p w14:paraId="0E26DFE0" w14:textId="474360B0" w:rsidR="00A20A4E" w:rsidRPr="00710D66" w:rsidRDefault="00A20A4E" w:rsidP="00CA67B6">
      <w:pPr>
        <w:pStyle w:val="FootnoteText"/>
        <w:jc w:val="both"/>
        <w:rPr>
          <w:lang w:val="en-GB"/>
        </w:rPr>
      </w:pPr>
      <w:r w:rsidRPr="00710D66">
        <w:rPr>
          <w:rStyle w:val="FootnoteReference"/>
          <w:lang w:val="en-GB"/>
        </w:rPr>
        <w:footnoteRef/>
      </w:r>
      <w:r w:rsidRPr="00710D66">
        <w:rPr>
          <w:lang w:val="en-GB"/>
        </w:rPr>
        <w:t xml:space="preserve"> Currently at least one new treaty body is being considered, on business and human rights (e.g. see HRC resolution 26/9), with preparatory steps envisaged for at least an additional treaty body on the rights of older persons (e.g. see </w:t>
      </w:r>
      <w:hyperlink r:id="rId5" w:history="1">
        <w:r w:rsidRPr="00710D66">
          <w:rPr>
            <w:rStyle w:val="Hyperlink"/>
            <w:lang w:val="en-GB"/>
          </w:rPr>
          <w:t>http://bit.ly/2Iu2vIV</w:t>
        </w:r>
      </w:hyperlink>
      <w:r w:rsidRPr="00710D66">
        <w:rPr>
          <w:lang w:val="en-GB"/>
        </w:rPr>
        <w:t xml:space="preserve">) </w:t>
      </w:r>
    </w:p>
  </w:footnote>
  <w:footnote w:id="13">
    <w:p w14:paraId="04674DA0"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E.g. 977 individual communications were pending review as of 31 December 2017. See </w:t>
      </w:r>
      <w:hyperlink r:id="rId6" w:history="1">
        <w:r w:rsidRPr="00710D66">
          <w:rPr>
            <w:rStyle w:val="Hyperlink"/>
            <w:lang w:val="en-GB"/>
          </w:rPr>
          <w:t>http://www.ishr.ch/news/treaty-bodies-backlog-individual-complaints-must-be-addressed-now</w:t>
        </w:r>
      </w:hyperlink>
      <w:r w:rsidRPr="00710D66">
        <w:rPr>
          <w:lang w:val="en-GB"/>
        </w:rPr>
        <w:t xml:space="preserve"> for more information on the issues related to the current backlog of individual complaints.</w:t>
      </w:r>
    </w:p>
  </w:footnote>
  <w:footnote w:id="14">
    <w:p w14:paraId="3F4ED144" w14:textId="18563B79" w:rsidR="00A20A4E" w:rsidRPr="00710D66" w:rsidRDefault="00A20A4E" w:rsidP="00CC5B96">
      <w:pPr>
        <w:pStyle w:val="FootnoteText"/>
        <w:rPr>
          <w:lang w:val="en-GB"/>
        </w:rPr>
      </w:pPr>
      <w:r w:rsidRPr="00710D66">
        <w:rPr>
          <w:rStyle w:val="FootnoteReference"/>
          <w:lang w:val="en-GB"/>
        </w:rPr>
        <w:footnoteRef/>
      </w:r>
      <w:r w:rsidRPr="00710D66">
        <w:rPr>
          <w:lang w:val="en-GB"/>
        </w:rPr>
        <w:t xml:space="preserve"> A/73/309 §91</w:t>
      </w:r>
    </w:p>
  </w:footnote>
  <w:footnote w:id="15">
    <w:p w14:paraId="0A199DEA" w14:textId="7F5F8EE9" w:rsidR="00A20A4E" w:rsidRPr="00710D66" w:rsidRDefault="00A20A4E">
      <w:pPr>
        <w:pStyle w:val="FootnoteText"/>
        <w:rPr>
          <w:lang w:val="en-GB"/>
        </w:rPr>
      </w:pPr>
      <w:r w:rsidRPr="00710D66">
        <w:rPr>
          <w:rStyle w:val="FootnoteReference"/>
          <w:lang w:val="en-GB"/>
        </w:rPr>
        <w:footnoteRef/>
      </w:r>
      <w:r w:rsidRPr="00710D66">
        <w:rPr>
          <w:lang w:val="en-GB"/>
        </w:rPr>
        <w:t xml:space="preserve"> In a welcome development, the Human Rights Committee adopted a position in March 2019 which indicates the Committee’s willingness to move to a predictable review cycle, the details of which will be made public during the upcoming session of the Committee in July 2019. </w:t>
      </w:r>
      <w:hyperlink r:id="rId7" w:history="1">
        <w:r w:rsidRPr="00710D66">
          <w:rPr>
            <w:rStyle w:val="Hyperlink"/>
            <w:lang w:val="en-GB"/>
          </w:rPr>
          <w:t>https://twitter.com/CCPR_Centre/status/1111585222439636994</w:t>
        </w:r>
      </w:hyperlink>
      <w:r w:rsidRPr="00710D66">
        <w:rPr>
          <w:lang w:val="en-GB"/>
        </w:rPr>
        <w:t xml:space="preserve"> </w:t>
      </w:r>
    </w:p>
  </w:footnote>
  <w:footnote w:id="16">
    <w:p w14:paraId="13CBC29F" w14:textId="77777777" w:rsidR="00A20A4E" w:rsidRPr="00710D66" w:rsidRDefault="00A20A4E" w:rsidP="00006F53">
      <w:pPr>
        <w:pStyle w:val="FootnoteText"/>
        <w:rPr>
          <w:lang w:val="en-GB"/>
        </w:rPr>
      </w:pPr>
      <w:r w:rsidRPr="00710D66">
        <w:rPr>
          <w:rStyle w:val="FootnoteReference"/>
          <w:lang w:val="en-GB"/>
        </w:rPr>
        <w:footnoteRef/>
      </w:r>
      <w:r w:rsidRPr="00710D66">
        <w:rPr>
          <w:lang w:val="en-GB"/>
        </w:rPr>
        <w:t xml:space="preserve"> A/73/309, Annex X</w:t>
      </w:r>
    </w:p>
  </w:footnote>
  <w:footnote w:id="17">
    <w:p w14:paraId="0AF61279"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A/73/309 Annex II </w:t>
      </w:r>
    </w:p>
  </w:footnote>
  <w:footnote w:id="18">
    <w:p w14:paraId="1D2F7517"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w:t>
      </w:r>
      <w:hyperlink r:id="rId8" w:history="1">
        <w:r w:rsidRPr="00710D66">
          <w:rPr>
            <w:rStyle w:val="Hyperlink"/>
            <w:lang w:val="en-GB"/>
          </w:rPr>
          <w:t>http://tinyurl.com/y2q7qt2l</w:t>
        </w:r>
      </w:hyperlink>
      <w:r w:rsidRPr="00710D66">
        <w:rPr>
          <w:lang w:val="en-GB"/>
        </w:rPr>
        <w:t xml:space="preserve"> §8</w:t>
      </w:r>
    </w:p>
  </w:footnote>
  <w:footnote w:id="19">
    <w:p w14:paraId="40ABB19F" w14:textId="77777777" w:rsidR="00A20A4E" w:rsidRPr="00710D66" w:rsidRDefault="00A20A4E" w:rsidP="00382985">
      <w:pPr>
        <w:pStyle w:val="FootnoteText"/>
        <w:rPr>
          <w:lang w:val="en-GB"/>
        </w:rPr>
      </w:pPr>
      <w:r w:rsidRPr="00710D66">
        <w:rPr>
          <w:rStyle w:val="FootnoteReference"/>
          <w:lang w:val="en-GB"/>
        </w:rPr>
        <w:footnoteRef/>
      </w:r>
      <w:r w:rsidRPr="00710D66">
        <w:rPr>
          <w:lang w:val="en-GB"/>
        </w:rPr>
        <w:t xml:space="preserve"> Compliance by States parties with their reporting obligations to international human rights treaty bodies, Note by the Secretariat (HR1/MC/2018/2)</w:t>
      </w:r>
    </w:p>
  </w:footnote>
  <w:footnote w:id="20">
    <w:p w14:paraId="15C9F86E"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A/66/344, §21. </w:t>
      </w:r>
    </w:p>
  </w:footnote>
  <w:footnote w:id="21">
    <w:p w14:paraId="004C5B5F"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A/66/344, §25. </w:t>
      </w:r>
    </w:p>
  </w:footnote>
  <w:footnote w:id="22">
    <w:p w14:paraId="0C5A02F6"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w:t>
      </w:r>
      <w:r w:rsidRPr="00710D66">
        <w:rPr>
          <w:bCs/>
          <w:sz w:val="22"/>
          <w:szCs w:val="22"/>
          <w:lang w:val="en-GB"/>
        </w:rPr>
        <w:t>A/73/309 Annex III</w:t>
      </w:r>
    </w:p>
  </w:footnote>
  <w:footnote w:id="23">
    <w:p w14:paraId="74305ABA"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w:t>
      </w:r>
      <w:r w:rsidRPr="00710D66">
        <w:rPr>
          <w:bCs/>
          <w:sz w:val="22"/>
          <w:szCs w:val="22"/>
          <w:lang w:val="en-GB"/>
        </w:rPr>
        <w:t>A/73/309 Annex I</w:t>
      </w:r>
    </w:p>
  </w:footnote>
  <w:footnote w:id="24">
    <w:p w14:paraId="7E158519"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“From September 2016 to June 2017, more than 200 State party reviews and other public meetings of treaty bodies were webcast live and archived on the United Nations Television platform, accessible worldwide” A/73/309, §36</w:t>
      </w:r>
    </w:p>
  </w:footnote>
  <w:footnote w:id="25">
    <w:p w14:paraId="1AA00499"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A/73/309 Annex XII, which evidence a 68% increase between 2016 and 2017</w:t>
      </w:r>
    </w:p>
  </w:footnote>
  <w:footnote w:id="26">
    <w:p w14:paraId="07DD2672"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A/73/309, §36</w:t>
      </w:r>
    </w:p>
  </w:footnote>
  <w:footnote w:id="27">
    <w:p w14:paraId="4A18941E"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w:t>
      </w:r>
      <w:hyperlink r:id="rId9" w:history="1">
        <w:r w:rsidRPr="00710D66">
          <w:rPr>
            <w:rStyle w:val="Hyperlink"/>
            <w:lang w:val="en-GB"/>
          </w:rPr>
          <w:t>https://www.ohchr.org/EN/HRBodies/CESCR/Pages/PendingCases.aspx</w:t>
        </w:r>
      </w:hyperlink>
      <w:r w:rsidRPr="00710D66">
        <w:rPr>
          <w:lang w:val="en-GB"/>
        </w:rPr>
        <w:t xml:space="preserve"> </w:t>
      </w:r>
    </w:p>
  </w:footnote>
  <w:footnote w:id="28">
    <w:p w14:paraId="2BF71F49"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E.g. </w:t>
      </w:r>
      <w:hyperlink r:id="rId10" w:history="1">
        <w:r w:rsidRPr="00710D66">
          <w:rPr>
            <w:rStyle w:val="Hyperlink"/>
            <w:lang w:val="en-GB"/>
          </w:rPr>
          <w:t>https://www.ohchr.org/Documents/HRBodies/CCPR/RegisteredCases2018.docx</w:t>
        </w:r>
      </w:hyperlink>
      <w:r w:rsidRPr="00710D66">
        <w:rPr>
          <w:lang w:val="en-GB"/>
        </w:rPr>
        <w:t xml:space="preserve"> </w:t>
      </w:r>
    </w:p>
  </w:footnote>
  <w:footnote w:id="29">
    <w:p w14:paraId="42780BEF"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w:t>
      </w:r>
      <w:hyperlink r:id="rId11" w:history="1">
        <w:r w:rsidRPr="00710D66">
          <w:rPr>
            <w:rStyle w:val="Hyperlink"/>
            <w:lang w:val="en-GB"/>
          </w:rPr>
          <w:t>https://www.ohchr.org/Documents/HRBodies/CEDAW/PendingCases.docx</w:t>
        </w:r>
      </w:hyperlink>
      <w:r w:rsidRPr="00710D66">
        <w:rPr>
          <w:lang w:val="en-GB"/>
        </w:rPr>
        <w:t xml:space="preserve"> </w:t>
      </w:r>
    </w:p>
  </w:footnote>
  <w:footnote w:id="30">
    <w:p w14:paraId="126EB68E"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w:t>
      </w:r>
      <w:hyperlink r:id="rId12" w:history="1">
        <w:r w:rsidRPr="00710D66">
          <w:rPr>
            <w:rStyle w:val="Hyperlink"/>
            <w:lang w:val="en-GB"/>
          </w:rPr>
          <w:t>https://www.ohchr.org/Documents/HRBodies/CRC/TablePendingCases.doc</w:t>
        </w:r>
      </w:hyperlink>
      <w:r w:rsidRPr="00710D66">
        <w:rPr>
          <w:lang w:val="en-GB"/>
        </w:rPr>
        <w:t xml:space="preserve"> </w:t>
      </w:r>
    </w:p>
  </w:footnote>
  <w:footnote w:id="31">
    <w:p w14:paraId="3C5E1A30"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w:t>
      </w:r>
      <w:hyperlink r:id="rId13" w:history="1">
        <w:r w:rsidRPr="00710D66">
          <w:rPr>
            <w:rStyle w:val="Hyperlink"/>
            <w:lang w:val="en-GB"/>
          </w:rPr>
          <w:t>https://www.ohchr.org/Documents/HRBodies/CRPD/Tablependingcases.pdf</w:t>
        </w:r>
      </w:hyperlink>
      <w:r w:rsidRPr="00710D66">
        <w:rPr>
          <w:lang w:val="en-GB"/>
        </w:rPr>
        <w:t xml:space="preserve"> </w:t>
      </w:r>
    </w:p>
  </w:footnote>
  <w:footnote w:id="32">
    <w:p w14:paraId="011F6A8C"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Statistical survey provided by CAT and CERD are substantially outdated, respectively 2015 and 2014</w:t>
      </w:r>
    </w:p>
  </w:footnote>
  <w:footnote w:id="33">
    <w:p w14:paraId="2D473ECC"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E.g. see </w:t>
      </w:r>
      <w:hyperlink r:id="rId14" w:history="1">
        <w:r w:rsidRPr="00710D66">
          <w:rPr>
            <w:rStyle w:val="Hyperlink"/>
            <w:lang w:val="en-GB"/>
          </w:rPr>
          <w:t>https://www.echr.coe.int/Pages/home.aspx?p=hearings/gcpending&amp;c</w:t>
        </w:r>
      </w:hyperlink>
      <w:r w:rsidRPr="00710D66">
        <w:rPr>
          <w:lang w:val="en-GB"/>
        </w:rPr>
        <w:t xml:space="preserve"> </w:t>
      </w:r>
    </w:p>
  </w:footnote>
  <w:footnote w:id="34">
    <w:p w14:paraId="2140EBF5" w14:textId="77777777" w:rsidR="00A20A4E" w:rsidRPr="00710D66" w:rsidRDefault="00A20A4E" w:rsidP="00E03960">
      <w:pPr>
        <w:pStyle w:val="FootnoteText"/>
        <w:rPr>
          <w:lang w:val="en-GB"/>
        </w:rPr>
      </w:pPr>
      <w:r w:rsidRPr="00710D66">
        <w:rPr>
          <w:rStyle w:val="FootnoteReference"/>
          <w:lang w:val="en-GB"/>
        </w:rPr>
        <w:footnoteRef/>
      </w:r>
      <w:r w:rsidRPr="00710D66">
        <w:rPr>
          <w:lang w:val="en-GB"/>
        </w:rPr>
        <w:t xml:space="preserve"> </w:t>
      </w:r>
      <w:r w:rsidRPr="00710D66">
        <w:rPr>
          <w:lang w:val="en-GB"/>
        </w:rPr>
        <w:fldChar w:fldCharType="begin"/>
      </w:r>
      <w:r w:rsidRPr="00710D66">
        <w:rPr>
          <w:lang w:val="en-GB"/>
        </w:rPr>
        <w:instrText xml:space="preserve"> TITLE  \* MERGEFORMAT </w:instrText>
      </w:r>
      <w:r w:rsidRPr="00710D66">
        <w:rPr>
          <w:lang w:val="en-GB"/>
        </w:rPr>
        <w:fldChar w:fldCharType="separate"/>
      </w:r>
      <w:r w:rsidRPr="00710D66">
        <w:rPr>
          <w:lang w:val="en-GB"/>
        </w:rPr>
        <w:t>HRI/MC/2018/CRP.2</w:t>
      </w:r>
      <w:r w:rsidRPr="00710D66">
        <w:rPr>
          <w:lang w:val="en-GB"/>
        </w:rPr>
        <w:fldChar w:fldCharType="end"/>
      </w:r>
    </w:p>
  </w:footnote>
  <w:footnote w:id="35">
    <w:p w14:paraId="52A8DECC"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§77 </w:t>
      </w:r>
    </w:p>
  </w:footnote>
  <w:footnote w:id="36">
    <w:p w14:paraId="33781090"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§36 </w:t>
      </w:r>
    </w:p>
  </w:footnote>
  <w:footnote w:id="37">
    <w:p w14:paraId="20203B62"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§38 </w:t>
      </w:r>
    </w:p>
  </w:footnote>
  <w:footnote w:id="38">
    <w:p w14:paraId="0F92D4A1"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§89</w:t>
      </w:r>
    </w:p>
  </w:footnote>
  <w:footnote w:id="39">
    <w:p w14:paraId="0EF3D68B"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§91</w:t>
      </w:r>
    </w:p>
  </w:footnote>
  <w:footnote w:id="40">
    <w:p w14:paraId="3B7A52DC"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A/73/140, Annex II</w:t>
      </w:r>
    </w:p>
  </w:footnote>
  <w:footnote w:id="41">
    <w:p w14:paraId="5EC99CE2"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w:t>
      </w:r>
      <w:hyperlink r:id="rId15" w:history="1">
        <w:r w:rsidRPr="00710D66">
          <w:rPr>
            <w:rStyle w:val="Hyperlink"/>
            <w:lang w:val="en-GB"/>
          </w:rPr>
          <w:t>https://www.ohchr.org/EN/NewsEvents/Pages/DisplayNews.aspx?NewsID=23566&amp;LangID=E</w:t>
        </w:r>
      </w:hyperlink>
      <w:r w:rsidRPr="00710D66">
        <w:rPr>
          <w:lang w:val="en-GB"/>
        </w:rPr>
        <w:t xml:space="preserve"> </w:t>
      </w:r>
    </w:p>
  </w:footnote>
  <w:footnote w:id="42">
    <w:p w14:paraId="77947792"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Available at </w:t>
      </w:r>
      <w:hyperlink r:id="rId16" w:history="1">
        <w:r w:rsidRPr="00710D66">
          <w:rPr>
            <w:rStyle w:val="Hyperlink"/>
            <w:lang w:val="en-GB"/>
          </w:rPr>
          <w:t>https://www.ohchr.org/EN/HRBodies/CERD/Pages/InterstateCommunications.aspx</w:t>
        </w:r>
      </w:hyperlink>
      <w:r w:rsidRPr="00710D66">
        <w:rPr>
          <w:lang w:val="en-GB"/>
        </w:rPr>
        <w:t xml:space="preserve"> </w:t>
      </w:r>
    </w:p>
  </w:footnote>
  <w:footnote w:id="43">
    <w:p w14:paraId="15BC0458" w14:textId="77777777" w:rsidR="00A20A4E" w:rsidRPr="00710D66" w:rsidRDefault="00A20A4E" w:rsidP="00B24CA2">
      <w:pPr>
        <w:spacing w:after="0" w:line="240" w:lineRule="auto"/>
        <w:rPr>
          <w:sz w:val="20"/>
          <w:szCs w:val="20"/>
          <w:lang w:val="en-GB"/>
        </w:rPr>
      </w:pPr>
      <w:r w:rsidRPr="00710D66">
        <w:rPr>
          <w:rStyle w:val="FootnoteReference"/>
          <w:sz w:val="20"/>
          <w:szCs w:val="20"/>
          <w:lang w:val="en-GB"/>
        </w:rPr>
        <w:footnoteRef/>
      </w:r>
      <w:r w:rsidRPr="00710D66">
        <w:rPr>
          <w:sz w:val="20"/>
          <w:szCs w:val="20"/>
          <w:lang w:val="en-GB"/>
        </w:rPr>
        <w:t xml:space="preserve"> Japan, see </w:t>
      </w:r>
      <w:hyperlink r:id="rId17" w:tgtFrame="_blank" w:history="1">
        <w:r w:rsidRPr="00710D66">
          <w:rPr>
            <w:rStyle w:val="Hyperlink"/>
            <w:sz w:val="20"/>
            <w:szCs w:val="20"/>
            <w:lang w:val="en-GB"/>
          </w:rPr>
          <w:t>https://www.mofa.go.jp/policy/human/pdfs/req_info_120731_en.pdf</w:t>
        </w:r>
      </w:hyperlink>
      <w:r w:rsidRPr="00710D66">
        <w:rPr>
          <w:sz w:val="20"/>
          <w:szCs w:val="20"/>
          <w:lang w:val="en-GB"/>
        </w:rPr>
        <w:t xml:space="preserve"> and </w:t>
      </w:r>
      <w:hyperlink r:id="rId18" w:tgtFrame="_blank" w:history="1">
        <w:r w:rsidRPr="00710D66">
          <w:rPr>
            <w:rStyle w:val="Hyperlink"/>
            <w:sz w:val="20"/>
            <w:szCs w:val="20"/>
            <w:lang w:val="en-GB"/>
          </w:rPr>
          <w:t>https://www.mofa.go.jp/policy/human/pdfs/response_201301.pdf</w:t>
        </w:r>
      </w:hyperlink>
      <w:r w:rsidRPr="00710D66">
        <w:rPr>
          <w:sz w:val="20"/>
          <w:szCs w:val="20"/>
          <w:lang w:val="en-GB"/>
        </w:rPr>
        <w:t xml:space="preserve"> </w:t>
      </w:r>
    </w:p>
  </w:footnote>
  <w:footnote w:id="44">
    <w:p w14:paraId="68FF5173" w14:textId="77777777" w:rsidR="00A20A4E" w:rsidRPr="00710D66" w:rsidRDefault="00A20A4E" w:rsidP="00B24CA2">
      <w:pPr>
        <w:pStyle w:val="FootnoteText"/>
        <w:rPr>
          <w:lang w:val="en-GB"/>
        </w:rPr>
      </w:pPr>
      <w:r w:rsidRPr="00710D66">
        <w:rPr>
          <w:rStyle w:val="FootnoteReference"/>
          <w:lang w:val="en-GB"/>
        </w:rPr>
        <w:footnoteRef/>
      </w:r>
      <w:r w:rsidRPr="00710D66">
        <w:rPr>
          <w:lang w:val="en-GB"/>
        </w:rPr>
        <w:t xml:space="preserve"> </w:t>
      </w:r>
      <w:hyperlink r:id="rId19" w:history="1">
        <w:r w:rsidRPr="00710D66">
          <w:rPr>
            <w:rStyle w:val="Hyperlink"/>
            <w:lang w:val="en-GB"/>
          </w:rPr>
          <w:t>https://www.ishr.ch/news/treaty-bodies-call-vision-ambition-and-innovation-strengthen-system</w:t>
        </w:r>
      </w:hyperlink>
      <w:r w:rsidRPr="00710D66">
        <w:rPr>
          <w:lang w:val="en-GB"/>
        </w:rPr>
        <w:t xml:space="preserve"> </w:t>
      </w:r>
    </w:p>
  </w:footnote>
  <w:footnote w:id="45">
    <w:p w14:paraId="25E48C6F"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In line with a discontinued practice of some treaty bodies including HR Ctte and CEDAW</w:t>
      </w:r>
    </w:p>
  </w:footnote>
  <w:footnote w:id="46">
    <w:p w14:paraId="4BEC4821"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A/71/118</w:t>
      </w:r>
    </w:p>
  </w:footnote>
  <w:footnote w:id="47">
    <w:p w14:paraId="4297F09B" w14:textId="77777777" w:rsidR="00A20A4E" w:rsidRPr="00710D66" w:rsidRDefault="00A20A4E" w:rsidP="009D7457">
      <w:pPr>
        <w:pStyle w:val="FootnoteText"/>
        <w:rPr>
          <w:lang w:val="en-GB"/>
        </w:rPr>
      </w:pPr>
      <w:r w:rsidRPr="00710D66">
        <w:rPr>
          <w:rStyle w:val="FootnoteReference"/>
          <w:lang w:val="en-GB"/>
        </w:rPr>
        <w:footnoteRef/>
      </w:r>
      <w:r w:rsidRPr="00710D66">
        <w:rPr>
          <w:lang w:val="en-GB"/>
        </w:rPr>
        <w:t xml:space="preserve"> </w:t>
      </w:r>
      <w:r w:rsidRPr="00710D66">
        <w:rPr>
          <w:bCs/>
          <w:szCs w:val="17"/>
          <w:lang w:val="en-GB"/>
        </w:rPr>
        <w:t>A/73/309</w:t>
      </w:r>
    </w:p>
  </w:footnote>
  <w:footnote w:id="48">
    <w:p w14:paraId="59F6433F"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HRI/MC/2018/3</w:t>
      </w:r>
    </w:p>
  </w:footnote>
  <w:footnote w:id="49">
    <w:p w14:paraId="577EB907" w14:textId="77777777" w:rsidR="00A20A4E" w:rsidRPr="00710D66" w:rsidRDefault="00A20A4E" w:rsidP="00020124">
      <w:pPr>
        <w:pStyle w:val="FootnoteText"/>
        <w:rPr>
          <w:lang w:val="en-GB"/>
        </w:rPr>
      </w:pPr>
      <w:r w:rsidRPr="00710D66">
        <w:rPr>
          <w:rStyle w:val="FootnoteReference"/>
          <w:lang w:val="en-GB"/>
        </w:rPr>
        <w:footnoteRef/>
      </w:r>
      <w:r w:rsidRPr="00710D66">
        <w:rPr>
          <w:lang w:val="en-GB"/>
        </w:rPr>
        <w:t xml:space="preserve"> In a joint statement of NGOs on the occasion of the 2015 meeting of chairs, signatories emphasized that “the implementation of decisions taken by TB Chairs has been disappointing” and further called on the chairs to propose a review of the GA resolution 49/178 with a view to ensuring a strong leadership and a clear timeframe in future strengthening steps”. </w:t>
      </w:r>
      <w:hyperlink r:id="rId20" w:history="1">
        <w:r w:rsidRPr="00710D66">
          <w:rPr>
            <w:rStyle w:val="Hyperlink"/>
            <w:lang w:val="en-GB"/>
          </w:rPr>
          <w:t>http://bit.ly/2UTvn3S</w:t>
        </w:r>
      </w:hyperlink>
      <w:r w:rsidRPr="00710D66">
        <w:rPr>
          <w:lang w:val="en-GB"/>
        </w:rPr>
        <w:t xml:space="preserve"> </w:t>
      </w:r>
    </w:p>
  </w:footnote>
  <w:footnote w:id="50">
    <w:p w14:paraId="58C718AB" w14:textId="09AFA1D2" w:rsidR="00A20A4E" w:rsidRPr="00710D66" w:rsidRDefault="00A20A4E">
      <w:pPr>
        <w:pStyle w:val="FootnoteText"/>
        <w:rPr>
          <w:lang w:val="en-GB"/>
        </w:rPr>
      </w:pPr>
      <w:r w:rsidRPr="00710D66">
        <w:rPr>
          <w:rStyle w:val="FootnoteReference"/>
          <w:lang w:val="en-GB"/>
        </w:rPr>
        <w:footnoteRef/>
      </w:r>
      <w:r w:rsidRPr="00710D66">
        <w:rPr>
          <w:lang w:val="en-GB"/>
        </w:rPr>
        <w:t xml:space="preserve"> In line with the 2011 recommendation by the chairs that “measures would be implemented by all treaty bodies, unless a committee subsequently disassociated itself from it”. Pillay report, 3.1.2</w:t>
      </w:r>
    </w:p>
  </w:footnote>
  <w:footnote w:id="51">
    <w:p w14:paraId="338D2606"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A/44/668; § 40-41</w:t>
      </w:r>
    </w:p>
  </w:footnote>
  <w:footnote w:id="52">
    <w:p w14:paraId="48F87DE9"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A/57/387; §54</w:t>
      </w:r>
    </w:p>
  </w:footnote>
  <w:footnote w:id="53">
    <w:p w14:paraId="0003234C"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HRI/MC/2006/2</w:t>
      </w:r>
    </w:p>
  </w:footnote>
  <w:footnote w:id="54">
    <w:p w14:paraId="136DD14F" w14:textId="77777777" w:rsidR="00A20A4E" w:rsidRPr="00710D66" w:rsidRDefault="00A20A4E" w:rsidP="001F6150">
      <w:pPr>
        <w:pStyle w:val="FootnoteText"/>
        <w:rPr>
          <w:lang w:val="en-GB"/>
        </w:rPr>
      </w:pPr>
      <w:r w:rsidRPr="00710D66">
        <w:rPr>
          <w:rStyle w:val="FootnoteReference"/>
          <w:lang w:val="en-GB"/>
        </w:rPr>
        <w:footnoteRef/>
      </w:r>
      <w:r w:rsidRPr="00710D66">
        <w:rPr>
          <w:lang w:val="en-GB"/>
        </w:rPr>
        <w:t xml:space="preserve"> Navanethem Pillay report on Strengthening the United Nations human rights treaty body system, pgs. 37-46</w:t>
      </w:r>
    </w:p>
  </w:footnote>
  <w:footnote w:id="55">
    <w:p w14:paraId="77038E1A"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w:t>
      </w:r>
      <w:hyperlink r:id="rId21" w:history="1">
        <w:r w:rsidRPr="00710D66">
          <w:rPr>
            <w:rStyle w:val="Hyperlink"/>
            <w:lang w:val="en-GB"/>
          </w:rPr>
          <w:t>https://twitter.com/CCPR_Centre/status/1111585222439636994</w:t>
        </w:r>
      </w:hyperlink>
      <w:r w:rsidRPr="00710D66">
        <w:rPr>
          <w:rStyle w:val="Hyperlink"/>
          <w:lang w:val="en-GB"/>
        </w:rPr>
        <w:t xml:space="preserve"> </w:t>
      </w:r>
    </w:p>
  </w:footnote>
  <w:footnote w:id="56">
    <w:p w14:paraId="5E6F7145"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See “The development of grading systems on the implementation of UN treaty body recommendations and the potential for replication to other UN human rights bodies”. An ISHR A contribution to the Academic Platform Project on the 2020 review of UN treaty bodies, available at </w:t>
      </w:r>
      <w:hyperlink r:id="rId22" w:history="1">
        <w:r w:rsidRPr="00710D66">
          <w:rPr>
            <w:rStyle w:val="Hyperlink"/>
            <w:lang w:val="en-GB"/>
          </w:rPr>
          <w:t>http://bit.ly/2UTUCTL</w:t>
        </w:r>
      </w:hyperlink>
      <w:r w:rsidRPr="00710D66">
        <w:rPr>
          <w:lang w:val="en-GB"/>
        </w:rPr>
        <w:t xml:space="preserve">  </w:t>
      </w:r>
    </w:p>
  </w:footnote>
  <w:footnote w:id="57">
    <w:p w14:paraId="745942FF"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Joint NGO submission to the 2017 meeting of treaty body chairs </w:t>
      </w:r>
      <w:hyperlink r:id="rId23" w:history="1">
        <w:r w:rsidRPr="00710D66">
          <w:rPr>
            <w:rStyle w:val="Hyperlink"/>
            <w:lang w:val="en-GB"/>
          </w:rPr>
          <w:t>https://www.ohchr.org/Documents/HRBodies/TB/AnnualMeeting/29Meeting/JoinNGOStatement.pdf</w:t>
        </w:r>
      </w:hyperlink>
      <w:r w:rsidRPr="00710D66">
        <w:rPr>
          <w:lang w:val="en-GB"/>
        </w:rPr>
        <w:t xml:space="preserve">, p.5 </w:t>
      </w:r>
    </w:p>
  </w:footnote>
  <w:footnote w:id="58">
    <w:p w14:paraId="1F6C3629" w14:textId="77777777" w:rsidR="00A20A4E" w:rsidRPr="00710D66" w:rsidRDefault="00A20A4E" w:rsidP="005408B1">
      <w:pPr>
        <w:pStyle w:val="FootnoteText"/>
        <w:rPr>
          <w:lang w:val="en-GB"/>
        </w:rPr>
      </w:pPr>
      <w:r w:rsidRPr="00710D66">
        <w:rPr>
          <w:rStyle w:val="FootnoteReference"/>
          <w:lang w:val="en-GB"/>
        </w:rPr>
        <w:footnoteRef/>
      </w:r>
      <w:r w:rsidRPr="00710D66">
        <w:rPr>
          <w:lang w:val="en-GB"/>
        </w:rPr>
        <w:t xml:space="preserve"> Navanethem Pillay report on Strengthening the United Nations human rights treaty body system, pg. 69, 4.3.2</w:t>
      </w:r>
    </w:p>
  </w:footnote>
  <w:footnote w:id="59">
    <w:p w14:paraId="156690BF" w14:textId="77777777" w:rsidR="00A20A4E" w:rsidRPr="00710D66" w:rsidRDefault="00A20A4E" w:rsidP="005408B1">
      <w:pPr>
        <w:pStyle w:val="FootnoteText"/>
        <w:rPr>
          <w:lang w:val="en-GB"/>
        </w:rPr>
      </w:pPr>
      <w:r w:rsidRPr="00710D66">
        <w:rPr>
          <w:rStyle w:val="FootnoteReference"/>
          <w:lang w:val="en-GB"/>
        </w:rPr>
        <w:footnoteRef/>
      </w:r>
      <w:r w:rsidRPr="00710D66">
        <w:rPr>
          <w:lang w:val="en-GB"/>
        </w:rPr>
        <w:t xml:space="preserve"> “The Chairs also recommended that such measures would be implemented by all treaty bodies, unless a committee subsequently disassociated itself from it”. Pillay report, 3.1.2</w:t>
      </w:r>
    </w:p>
  </w:footnote>
  <w:footnote w:id="60">
    <w:p w14:paraId="1ACBBEAA"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Such as the third optional protocol to CRC more recently. </w:t>
      </w:r>
    </w:p>
  </w:footnote>
  <w:footnote w:id="61">
    <w:p w14:paraId="155E39FB"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E.g. the report HRI/MC/2018/3 mentions that CEDAW Cobs continue to be longer than 6’000 words despite the Committee’s decision to limit them to a maximum of 6’000 words (§33)</w:t>
      </w:r>
    </w:p>
  </w:footnote>
  <w:footnote w:id="62">
    <w:p w14:paraId="5AE30AD4"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For updated information, see HRI/MC/2018/3; section II</w:t>
      </w:r>
    </w:p>
  </w:footnote>
  <w:footnote w:id="63">
    <w:p w14:paraId="53234D24"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For example, unlike other treaty bodies, CEDAW does not hold the dialogue over two consecutive working days. For more examples, see A/69/285</w:t>
      </w:r>
    </w:p>
  </w:footnote>
  <w:footnote w:id="64">
    <w:p w14:paraId="0C534E06"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This is evidenced in Annex XIX of the Report of the UN Secretary General on treaty body strengthening, 6 August 2018 (A/73/309 Annexes)</w:t>
      </w:r>
    </w:p>
  </w:footnote>
  <w:footnote w:id="65">
    <w:p w14:paraId="72E4FDE4"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A/69/285, para. 54 and annex II.</w:t>
      </w:r>
    </w:p>
  </w:footnote>
  <w:footnote w:id="66">
    <w:p w14:paraId="55ECF921"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For example, the average length of concluding observations in 2017 for the HR Ctte was 8 pages, while the average length of the CRC’s was 17. A/73/309 Annex XX.</w:t>
      </w:r>
    </w:p>
  </w:footnote>
  <w:footnote w:id="67">
    <w:p w14:paraId="7F1E5701"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A/73/309 Annex XX.</w:t>
      </w:r>
    </w:p>
  </w:footnote>
  <w:footnote w:id="68">
    <w:p w14:paraId="49FCB068"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The INGOs are now part of a network called TB-Net </w:t>
      </w:r>
    </w:p>
  </w:footnote>
  <w:footnote w:id="69">
    <w:p w14:paraId="7E08671C" w14:textId="77777777" w:rsidR="00A20A4E" w:rsidRPr="00710D66" w:rsidRDefault="00A20A4E" w:rsidP="00263FCA">
      <w:pPr>
        <w:pStyle w:val="FootnoteText"/>
        <w:rPr>
          <w:lang w:val="en-GB"/>
        </w:rPr>
      </w:pPr>
      <w:r w:rsidRPr="00710D66">
        <w:rPr>
          <w:rStyle w:val="FootnoteReference"/>
          <w:lang w:val="en-GB"/>
        </w:rPr>
        <w:footnoteRef/>
      </w:r>
      <w:r w:rsidRPr="00710D66">
        <w:rPr>
          <w:lang w:val="en-GB"/>
        </w:rPr>
        <w:t xml:space="preserve"> Navanethem Pillay report on Strengthening the United Nations human rights treaty body system, pgs. 65-66</w:t>
      </w:r>
    </w:p>
  </w:footnote>
  <w:footnote w:id="70">
    <w:p w14:paraId="23689B81" w14:textId="77777777" w:rsidR="00A20A4E" w:rsidRPr="00710D66" w:rsidRDefault="00A20A4E" w:rsidP="00263FCA">
      <w:pPr>
        <w:pStyle w:val="FootnoteText"/>
        <w:rPr>
          <w:lang w:val="en-GB"/>
        </w:rPr>
      </w:pPr>
      <w:r w:rsidRPr="00710D66">
        <w:rPr>
          <w:rStyle w:val="FootnoteReference"/>
          <w:lang w:val="en-GB"/>
        </w:rPr>
        <w:footnoteRef/>
      </w:r>
      <w:r w:rsidRPr="00710D66">
        <w:rPr>
          <w:lang w:val="en-GB"/>
        </w:rPr>
        <w:t xml:space="preserve"> Navanethem Pillay report on Strengthening the United Nations human rights treaty body system, pg. 66</w:t>
      </w:r>
    </w:p>
  </w:footnote>
  <w:footnote w:id="71">
    <w:p w14:paraId="7F2260ED"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A/73/309 Annex XXI </w:t>
      </w:r>
    </w:p>
  </w:footnote>
  <w:footnote w:id="72">
    <w:p w14:paraId="64ED65B9"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HRI/MC/2018/3; §59</w:t>
      </w:r>
    </w:p>
  </w:footnote>
  <w:footnote w:id="73">
    <w:p w14:paraId="02644D57"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Idem</w:t>
      </w:r>
    </w:p>
  </w:footnote>
  <w:footnote w:id="74">
    <w:p w14:paraId="5CF7C1FE" w14:textId="77777777" w:rsidR="00A20A4E" w:rsidRPr="00710D66" w:rsidRDefault="00A20A4E" w:rsidP="007A16BD">
      <w:pPr>
        <w:pStyle w:val="FootnoteText"/>
        <w:rPr>
          <w:lang w:val="en-GB"/>
        </w:rPr>
      </w:pPr>
      <w:r w:rsidRPr="00710D66">
        <w:rPr>
          <w:rStyle w:val="FootnoteReference"/>
          <w:lang w:val="en-GB"/>
        </w:rPr>
        <w:footnoteRef/>
      </w:r>
      <w:r w:rsidRPr="00710D66">
        <w:rPr>
          <w:lang w:val="en-GB"/>
        </w:rPr>
        <w:t xml:space="preserve"> </w:t>
      </w:r>
      <w:hyperlink r:id="rId24" w:history="1">
        <w:r w:rsidRPr="00710D66">
          <w:rPr>
            <w:rStyle w:val="Hyperlink"/>
            <w:lang w:val="en-GB"/>
          </w:rPr>
          <w:t>https://www.ohchr.org/Documents/HRBodies/TB/AnnualMeeting/29Meeting/JoinNGOStatement.pdf</w:t>
        </w:r>
      </w:hyperlink>
      <w:r w:rsidRPr="00710D66">
        <w:rPr>
          <w:lang w:val="en-GB"/>
        </w:rPr>
        <w:t>, p.5</w:t>
      </w:r>
    </w:p>
  </w:footnote>
  <w:footnote w:id="75">
    <w:p w14:paraId="27DA20BE"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HRI/MC/2018/3; §67</w:t>
      </w:r>
    </w:p>
  </w:footnote>
  <w:footnote w:id="76">
    <w:p w14:paraId="7626DFFA" w14:textId="77777777" w:rsidR="00A20A4E" w:rsidRPr="00710D66" w:rsidRDefault="00A20A4E" w:rsidP="009D7457">
      <w:pPr>
        <w:pStyle w:val="FootnoteText"/>
        <w:jc w:val="both"/>
        <w:rPr>
          <w:lang w:val="en-GB"/>
        </w:rPr>
      </w:pPr>
      <w:r w:rsidRPr="00710D66">
        <w:rPr>
          <w:rStyle w:val="FootnoteReference"/>
          <w:lang w:val="en-GB"/>
        </w:rPr>
        <w:footnoteRef/>
      </w:r>
      <w:r w:rsidRPr="00710D66">
        <w:rPr>
          <w:lang w:val="en-GB"/>
        </w:rPr>
        <w:t xml:space="preserve"> </w:t>
      </w:r>
      <w:hyperlink r:id="rId25" w:history="1">
        <w:r w:rsidRPr="00710D66">
          <w:rPr>
            <w:rStyle w:val="Hyperlink"/>
            <w:lang w:val="en-GB"/>
          </w:rPr>
          <w:t>https://www.ohchr.org/Documents/HRBodies/TB/AnnualMeeting/29Meeting/JoinNGOStatement.pdf</w:t>
        </w:r>
      </w:hyperlink>
      <w:r w:rsidRPr="00710D66">
        <w:rPr>
          <w:lang w:val="en-GB"/>
        </w:rPr>
        <w:t xml:space="preserve">, p. 5 </w:t>
      </w:r>
    </w:p>
  </w:footnote>
  <w:footnote w:id="77">
    <w:p w14:paraId="4C6B7A8C"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w:t>
      </w:r>
      <w:hyperlink r:id="rId26" w:history="1">
        <w:r w:rsidRPr="00710D66">
          <w:rPr>
            <w:rStyle w:val="Hyperlink"/>
            <w:lang w:val="en-GB"/>
          </w:rPr>
          <w:t>https://www.ohchr.org/EN/HRBodies/Pages/Reprisal.aspx</w:t>
        </w:r>
      </w:hyperlink>
      <w:r w:rsidRPr="00710D66">
        <w:rPr>
          <w:lang w:val="en-GB"/>
        </w:rPr>
        <w:t xml:space="preserve"> </w:t>
      </w:r>
    </w:p>
  </w:footnote>
  <w:footnote w:id="78">
    <w:p w14:paraId="7C889166" w14:textId="4952524B" w:rsidR="00A20A4E" w:rsidRPr="00710D66" w:rsidRDefault="00A20A4E" w:rsidP="00276D9F">
      <w:pPr>
        <w:spacing w:after="0" w:line="240" w:lineRule="auto"/>
        <w:rPr>
          <w:lang w:val="en-GB"/>
        </w:rPr>
      </w:pPr>
      <w:r w:rsidRPr="00710D66">
        <w:rPr>
          <w:rStyle w:val="FootnoteReference"/>
          <w:lang w:val="en-GB"/>
        </w:rPr>
        <w:footnoteRef/>
      </w:r>
      <w:r w:rsidRPr="00710D66">
        <w:rPr>
          <w:lang w:val="en-GB"/>
        </w:rPr>
        <w:t xml:space="preserve"> </w:t>
      </w:r>
      <w:hyperlink r:id="rId27" w:tgtFrame="_blank" w:history="1">
        <w:r w:rsidRPr="00710D66">
          <w:rPr>
            <w:rStyle w:val="Hyperlink"/>
            <w:rFonts w:ascii="Calibri" w:hAnsi="Calibri" w:cs="Calibri"/>
            <w:color w:val="0563C1"/>
            <w:lang w:val="en-GB"/>
          </w:rPr>
          <w:t>https://undocs.org/HRI/MC/2019/2</w:t>
        </w:r>
      </w:hyperlink>
    </w:p>
  </w:footnote>
  <w:footnote w:id="79">
    <w:p w14:paraId="3964E6B1" w14:textId="7C46252B" w:rsidR="00B02E67" w:rsidRPr="00710D66" w:rsidRDefault="00B02E67" w:rsidP="00B02E67">
      <w:pPr>
        <w:pStyle w:val="Header"/>
        <w:rPr>
          <w:lang w:val="en-GB"/>
        </w:rPr>
      </w:pPr>
      <w:r w:rsidRPr="00710D66">
        <w:rPr>
          <w:rStyle w:val="FootnoteReference"/>
          <w:lang w:val="en-GB"/>
        </w:rPr>
        <w:footnoteRef/>
      </w:r>
      <w:r w:rsidRPr="00710D66">
        <w:rPr>
          <w:lang w:val="en-GB"/>
        </w:rPr>
        <w:t xml:space="preserve"> Resulting in CRPD having to put follow up to </w:t>
      </w:r>
      <w:r w:rsidR="00B733E9" w:rsidRPr="00710D66">
        <w:rPr>
          <w:lang w:val="en-GB"/>
        </w:rPr>
        <w:t>Co</w:t>
      </w:r>
      <w:r w:rsidRPr="00710D66">
        <w:rPr>
          <w:lang w:val="en-GB"/>
        </w:rPr>
        <w:t>bs “on hold” in April 2018. See CRPD/C/19/2; Annex 1; §10</w:t>
      </w:r>
    </w:p>
  </w:footnote>
  <w:footnote w:id="80">
    <w:p w14:paraId="261CBA90" w14:textId="7A8B80F0" w:rsidR="00276D9F" w:rsidRPr="00710D66" w:rsidRDefault="00276D9F">
      <w:pPr>
        <w:pStyle w:val="FootnoteText"/>
        <w:rPr>
          <w:lang w:val="en-GB"/>
        </w:rPr>
      </w:pPr>
      <w:r w:rsidRPr="00710D66">
        <w:rPr>
          <w:rStyle w:val="FootnoteReference"/>
          <w:lang w:val="en-GB"/>
        </w:rPr>
        <w:footnoteRef/>
      </w:r>
      <w:r w:rsidRPr="00710D66">
        <w:rPr>
          <w:lang w:val="en-GB"/>
        </w:rPr>
        <w:t xml:space="preserve"> Letter of the Deputy High Commissioner for Human Rights to the chairs dated 5 February 2018</w:t>
      </w:r>
    </w:p>
  </w:footnote>
  <w:footnote w:id="81">
    <w:p w14:paraId="4BD17457" w14:textId="25F2BBCC" w:rsidR="00C64C0D" w:rsidRPr="00710D66" w:rsidRDefault="00C64C0D">
      <w:pPr>
        <w:pStyle w:val="FootnoteText"/>
        <w:rPr>
          <w:lang w:val="en-GB"/>
        </w:rPr>
      </w:pPr>
      <w:r w:rsidRPr="00710D66">
        <w:rPr>
          <w:rStyle w:val="FootnoteReference"/>
          <w:lang w:val="en-GB"/>
        </w:rPr>
        <w:footnoteRef/>
      </w:r>
      <w:r w:rsidRPr="00710D66">
        <w:rPr>
          <w:lang w:val="en-GB"/>
        </w:rPr>
        <w:t xml:space="preserve"> “the Subcommittee recognizes that it is not possible to continue its current level of work and will have to undertake fewer visits during the coming period” CAT/C/63/4; §60</w:t>
      </w:r>
    </w:p>
  </w:footnote>
  <w:footnote w:id="82">
    <w:p w14:paraId="786D2D44" w14:textId="5E955926" w:rsidR="000355DB" w:rsidRPr="00710D66" w:rsidRDefault="000355DB">
      <w:pPr>
        <w:pStyle w:val="FootnoteText"/>
        <w:rPr>
          <w:lang w:val="en-GB"/>
        </w:rPr>
      </w:pPr>
      <w:r w:rsidRPr="00710D66">
        <w:rPr>
          <w:rStyle w:val="FootnoteReference"/>
          <w:lang w:val="en-GB"/>
        </w:rPr>
        <w:footnoteRef/>
      </w:r>
      <w:r w:rsidRPr="00710D66">
        <w:rPr>
          <w:lang w:val="en-GB"/>
        </w:rPr>
        <w:t xml:space="preserve"> See </w:t>
      </w:r>
      <w:hyperlink r:id="rId28" w:history="1">
        <w:r w:rsidRPr="00710D66">
          <w:rPr>
            <w:rStyle w:val="Hyperlink"/>
            <w:lang w:val="en-GB"/>
          </w:rPr>
          <w:t>http://www.ishr.ch/news/treaty-bodies-backlog-individual-complaints-must-be-addressed-now</w:t>
        </w:r>
      </w:hyperlink>
      <w:r w:rsidRPr="00710D66">
        <w:rPr>
          <w:lang w:val="en-GB"/>
        </w:rPr>
        <w:t xml:space="preserve"> </w:t>
      </w:r>
    </w:p>
  </w:footnote>
  <w:footnote w:id="83">
    <w:p w14:paraId="344E5181" w14:textId="6512F677" w:rsidR="009A16E3" w:rsidRPr="00710D66" w:rsidRDefault="009A16E3">
      <w:pPr>
        <w:pStyle w:val="FootnoteText"/>
        <w:rPr>
          <w:lang w:val="en-GB"/>
        </w:rPr>
      </w:pPr>
      <w:r w:rsidRPr="00710D66">
        <w:rPr>
          <w:rStyle w:val="FootnoteReference"/>
          <w:lang w:val="en-GB"/>
        </w:rPr>
        <w:footnoteRef/>
      </w:r>
      <w:r w:rsidRPr="00710D66">
        <w:rPr>
          <w:lang w:val="en-GB"/>
        </w:rPr>
        <w:t xml:space="preserve"> Letter of the High Commissioner for Human Rights to the chairs dated </w:t>
      </w:r>
      <w:r w:rsidR="000F1574" w:rsidRPr="00710D66">
        <w:rPr>
          <w:lang w:val="en-GB"/>
        </w:rPr>
        <w:t>30</w:t>
      </w:r>
      <w:r w:rsidR="000F1574" w:rsidRPr="00710D66">
        <w:rPr>
          <w:vertAlign w:val="superscript"/>
          <w:lang w:val="en-GB"/>
        </w:rPr>
        <w:t>th</w:t>
      </w:r>
      <w:r w:rsidR="000F1574" w:rsidRPr="00710D66">
        <w:rPr>
          <w:lang w:val="en-GB"/>
        </w:rPr>
        <w:t xml:space="preserve"> April</w:t>
      </w:r>
      <w:r w:rsidRPr="00710D66">
        <w:rPr>
          <w:lang w:val="en-GB"/>
        </w:rPr>
        <w:t xml:space="preserve"> 2019</w:t>
      </w:r>
    </w:p>
  </w:footnote>
  <w:footnote w:id="84">
    <w:p w14:paraId="52492918" w14:textId="77777777" w:rsidR="00A20A4E" w:rsidRPr="00710D66" w:rsidRDefault="00A20A4E" w:rsidP="009D7457">
      <w:pPr>
        <w:pStyle w:val="FootnoteText"/>
        <w:jc w:val="both"/>
        <w:rPr>
          <w:lang w:val="en-GB"/>
        </w:rPr>
      </w:pPr>
      <w:r w:rsidRPr="00710D66">
        <w:rPr>
          <w:rStyle w:val="FootnoteReference"/>
          <w:lang w:val="en-GB"/>
        </w:rPr>
        <w:footnoteRef/>
      </w:r>
      <w:r w:rsidRPr="00710D66">
        <w:rPr>
          <w:lang w:val="en-GB"/>
        </w:rPr>
        <w:t xml:space="preserve"> </w:t>
      </w:r>
      <w:r w:rsidRPr="00710D66">
        <w:rPr>
          <w:i/>
          <w:lang w:val="en-GB"/>
        </w:rPr>
        <w:t xml:space="preserve">See </w:t>
      </w:r>
      <w:r w:rsidRPr="00710D66">
        <w:rPr>
          <w:lang w:val="en-GB"/>
        </w:rPr>
        <w:t xml:space="preserve">Joint NGO Statement on the 2015 Annual Treaty Body Chairpersons Meeting, </w:t>
      </w:r>
      <w:hyperlink r:id="rId29" w:history="1">
        <w:r w:rsidRPr="00710D66">
          <w:rPr>
            <w:rStyle w:val="Hyperlink"/>
            <w:lang w:val="en-GB"/>
          </w:rPr>
          <w:t>https://www.wiltonpark.org.uk/wp-content/uploads/NGO-Statement-2015-meeting-of-TB-chairsleads-on-WP-220615.pdf</w:t>
        </w:r>
      </w:hyperlink>
      <w:r w:rsidRPr="00710D66">
        <w:rPr>
          <w:lang w:val="en-GB"/>
        </w:rPr>
        <w:t xml:space="preserve">; Joint NGO Statement on the occasion of the Twenty-ninth meeting of UN treaty body chairs, p. 5, </w:t>
      </w:r>
      <w:hyperlink r:id="rId30" w:history="1">
        <w:r w:rsidRPr="00710D66">
          <w:rPr>
            <w:rStyle w:val="Hyperlink"/>
            <w:lang w:val="en-GB"/>
          </w:rPr>
          <w:t>https://www.amnesty.org/download/Documents/IOR4066472017ENGLISH.pdf</w:t>
        </w:r>
      </w:hyperlink>
    </w:p>
  </w:footnote>
  <w:footnote w:id="85">
    <w:p w14:paraId="5BBA6E8F" w14:textId="77777777" w:rsidR="00A20A4E" w:rsidRPr="00710D66" w:rsidRDefault="00A20A4E" w:rsidP="009D7457">
      <w:pPr>
        <w:pStyle w:val="FootnoteText"/>
        <w:jc w:val="both"/>
        <w:rPr>
          <w:lang w:val="en-GB"/>
        </w:rPr>
      </w:pPr>
      <w:r w:rsidRPr="00710D66">
        <w:rPr>
          <w:rStyle w:val="FootnoteReference"/>
          <w:lang w:val="en-GB"/>
        </w:rPr>
        <w:footnoteRef/>
      </w:r>
      <w:r w:rsidRPr="00710D66">
        <w:rPr>
          <w:lang w:val="en-GB"/>
        </w:rPr>
        <w:t xml:space="preserve"> For example, all treaty body reviews could take place consecutively at a predictable moment. This would considerably improve participation by non-State actors. </w:t>
      </w:r>
    </w:p>
  </w:footnote>
  <w:footnote w:id="86">
    <w:p w14:paraId="7107C494" w14:textId="5F27C543" w:rsidR="008C5E3D" w:rsidRPr="00710D66" w:rsidRDefault="008C5E3D">
      <w:pPr>
        <w:pStyle w:val="FootnoteText"/>
        <w:rPr>
          <w:lang w:val="en-GB"/>
        </w:rPr>
      </w:pPr>
      <w:r w:rsidRPr="00710D66">
        <w:rPr>
          <w:rStyle w:val="FootnoteReference"/>
          <w:lang w:val="en-GB"/>
        </w:rPr>
        <w:footnoteRef/>
      </w:r>
      <w:r w:rsidRPr="00710D66">
        <w:rPr>
          <w:lang w:val="en-GB"/>
        </w:rPr>
        <w:t xml:space="preserve"> See recommendation supra under §2.5</w:t>
      </w:r>
    </w:p>
  </w:footnote>
  <w:footnote w:id="87">
    <w:p w14:paraId="4AE9DB96" w14:textId="77777777" w:rsidR="00A20A4E" w:rsidRPr="00710D66" w:rsidRDefault="00A20A4E" w:rsidP="009D7457">
      <w:pPr>
        <w:pStyle w:val="FootnoteText"/>
        <w:jc w:val="both"/>
        <w:rPr>
          <w:lang w:val="en-GB"/>
        </w:rPr>
      </w:pPr>
      <w:r w:rsidRPr="00710D66">
        <w:rPr>
          <w:rStyle w:val="FootnoteReference"/>
          <w:lang w:val="en-GB"/>
        </w:rPr>
        <w:footnoteRef/>
      </w:r>
      <w:r w:rsidRPr="00710D66">
        <w:rPr>
          <w:lang w:val="en-GB"/>
        </w:rPr>
        <w:t xml:space="preserve"> GA Res. 68/268 para. 36-37</w:t>
      </w:r>
    </w:p>
  </w:footnote>
  <w:footnote w:id="88">
    <w:p w14:paraId="0899D7A5"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w:t>
      </w:r>
      <w:hyperlink r:id="rId31" w:history="1">
        <w:r w:rsidRPr="00710D66">
          <w:rPr>
            <w:rStyle w:val="Hyperlink"/>
            <w:lang w:val="en-GB"/>
          </w:rPr>
          <w:t>https://www.ishr.ch/sites/default/files/files/ISHR_TB_Report_A4_Eng6-change-%20w%20comments%20(1)(1).pdf</w:t>
        </w:r>
      </w:hyperlink>
      <w:r w:rsidRPr="00710D66">
        <w:rPr>
          <w:lang w:val="en-GB"/>
        </w:rPr>
        <w:t xml:space="preserve"> </w:t>
      </w:r>
    </w:p>
  </w:footnote>
  <w:footnote w:id="89">
    <w:p w14:paraId="10F299BB"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E.g. see Pillay report 4.4.2</w:t>
      </w:r>
    </w:p>
  </w:footnote>
  <w:footnote w:id="90">
    <w:p w14:paraId="460044AB"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w:t>
      </w:r>
      <w:hyperlink r:id="rId32" w:history="1">
        <w:r w:rsidRPr="00710D66">
          <w:rPr>
            <w:rStyle w:val="Hyperlink"/>
            <w:lang w:val="en-GB"/>
          </w:rPr>
          <w:t>https://www.geneva-academy.ch/joomlatools-files/docman-files/Diversity%20in%20Treaty%20Bodies%20Membership.pdf</w:t>
        </w:r>
      </w:hyperlink>
      <w:r w:rsidRPr="00710D66">
        <w:rPr>
          <w:lang w:val="en-GB"/>
        </w:rPr>
        <w:t xml:space="preserve"> </w:t>
      </w:r>
    </w:p>
  </w:footnote>
  <w:footnote w:id="91">
    <w:p w14:paraId="135734A2"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E.g. see HRI/MC/2018/3; §55</w:t>
      </w:r>
    </w:p>
  </w:footnote>
  <w:footnote w:id="92">
    <w:p w14:paraId="138ADC88" w14:textId="77777777" w:rsidR="00A20A4E" w:rsidRPr="00710D66" w:rsidRDefault="00A20A4E">
      <w:pPr>
        <w:pStyle w:val="FootnoteText"/>
        <w:rPr>
          <w:lang w:val="en-GB"/>
        </w:rPr>
      </w:pPr>
      <w:r w:rsidRPr="00710D66">
        <w:rPr>
          <w:rStyle w:val="FootnoteReference"/>
          <w:lang w:val="en-GB"/>
        </w:rPr>
        <w:footnoteRef/>
      </w:r>
      <w:r w:rsidRPr="00710D66">
        <w:rPr>
          <w:lang w:val="en-GB"/>
        </w:rPr>
        <w:t xml:space="preserve"> E.g. see HRI/MC/2018/3; §56</w:t>
      </w:r>
    </w:p>
  </w:footnote>
  <w:footnote w:id="93">
    <w:p w14:paraId="513B114A" w14:textId="77777777" w:rsidR="00A20A4E" w:rsidRPr="00710D66" w:rsidRDefault="00A20A4E" w:rsidP="00820F77">
      <w:pPr>
        <w:pStyle w:val="FootnoteText"/>
        <w:rPr>
          <w:lang w:val="en-GB"/>
        </w:rPr>
      </w:pPr>
      <w:r w:rsidRPr="00710D66">
        <w:rPr>
          <w:rStyle w:val="FootnoteReference"/>
          <w:lang w:val="en-GB"/>
        </w:rPr>
        <w:footnoteRef/>
      </w:r>
      <w:r w:rsidRPr="00710D66">
        <w:rPr>
          <w:lang w:val="en-GB"/>
        </w:rPr>
        <w:t xml:space="preserve"> E.g. </w:t>
      </w:r>
      <w:hyperlink r:id="rId33" w:history="1">
        <w:r w:rsidRPr="00710D66">
          <w:rPr>
            <w:rStyle w:val="Hyperlink"/>
            <w:lang w:val="en-GB"/>
          </w:rPr>
          <w:t>https://www.ohchr.org/Documents/HRBodies/TB/AnnualMeeting/29Meeting/JoinNGOStatement.pdf</w:t>
        </w:r>
      </w:hyperlink>
      <w:r w:rsidRPr="00710D66">
        <w:rPr>
          <w:lang w:val="en-GB"/>
        </w:rPr>
        <w:t>, p.3</w:t>
      </w:r>
    </w:p>
  </w:footnote>
  <w:footnote w:id="94">
    <w:p w14:paraId="62133373" w14:textId="77777777" w:rsidR="00A20A4E" w:rsidRPr="00710D66" w:rsidRDefault="00A20A4E" w:rsidP="00D634A0">
      <w:pPr>
        <w:pStyle w:val="FootnoteText"/>
        <w:rPr>
          <w:lang w:val="en-GB"/>
        </w:rPr>
      </w:pPr>
      <w:r w:rsidRPr="00710D66">
        <w:rPr>
          <w:rStyle w:val="FootnoteReference"/>
          <w:lang w:val="en-GB"/>
        </w:rPr>
        <w:footnoteRef/>
      </w:r>
      <w:r w:rsidRPr="00710D66">
        <w:rPr>
          <w:lang w:val="en-GB"/>
        </w:rPr>
        <w:t xml:space="preserve"> “Summary Report - TB-NET Event on Treaty Body Elections”, November 2018. </w:t>
      </w:r>
      <w:hyperlink r:id="rId34" w:history="1">
        <w:r w:rsidRPr="00710D66">
          <w:rPr>
            <w:rStyle w:val="Hyperlink"/>
            <w:lang w:val="en-GB"/>
          </w:rPr>
          <w:t>https://www.amnesty.org/download/Documents/IOR4096082018ENGLISH.pdf</w:t>
        </w:r>
      </w:hyperlink>
      <w:r w:rsidRPr="00710D66">
        <w:rPr>
          <w:lang w:val="en-GB"/>
        </w:rPr>
        <w:t xml:space="preserve">. P.2  </w:t>
      </w:r>
    </w:p>
  </w:footnote>
  <w:footnote w:id="95">
    <w:p w14:paraId="15A9AE61" w14:textId="77777777" w:rsidR="00A20A4E" w:rsidRPr="00710D66" w:rsidRDefault="00A20A4E" w:rsidP="00DF7DB7">
      <w:pPr>
        <w:pStyle w:val="FootnoteText"/>
        <w:rPr>
          <w:lang w:val="en-GB"/>
        </w:rPr>
      </w:pPr>
      <w:r w:rsidRPr="00710D66">
        <w:rPr>
          <w:rStyle w:val="FootnoteReference"/>
          <w:lang w:val="en-GB"/>
        </w:rPr>
        <w:footnoteRef/>
      </w:r>
      <w:r w:rsidRPr="00710D66">
        <w:rPr>
          <w:lang w:val="en-GB"/>
        </w:rPr>
        <w:t xml:space="preserve"> </w:t>
      </w:r>
      <w:hyperlink r:id="rId35" w:history="1">
        <w:r w:rsidRPr="00710D66">
          <w:rPr>
            <w:rStyle w:val="Hyperlink"/>
            <w:lang w:val="en-GB"/>
          </w:rPr>
          <w:t>https://www.ohchr.org/Documents/HRBodies/TB/AnnualMeeting/29Meeting/JoinNGOStatement.pdf</w:t>
        </w:r>
      </w:hyperlink>
      <w:r w:rsidRPr="00710D66">
        <w:rPr>
          <w:rStyle w:val="Hyperlink"/>
          <w:lang w:val="en-GB"/>
        </w:rPr>
        <w:t xml:space="preserve"> </w:t>
      </w:r>
    </w:p>
  </w:footnote>
  <w:footnote w:id="96">
    <w:p w14:paraId="42920D7B" w14:textId="4E23C0EE" w:rsidR="00A20A4E" w:rsidRPr="00710D66" w:rsidRDefault="00A20A4E">
      <w:pPr>
        <w:pStyle w:val="FootnoteText"/>
        <w:rPr>
          <w:lang w:val="en-GB"/>
        </w:rPr>
      </w:pPr>
      <w:r w:rsidRPr="00710D66">
        <w:rPr>
          <w:rStyle w:val="FootnoteReference"/>
          <w:lang w:val="en-GB"/>
        </w:rPr>
        <w:footnoteRef/>
      </w:r>
      <w:r w:rsidRPr="00710D66">
        <w:rPr>
          <w:lang w:val="en-GB"/>
        </w:rPr>
        <w:t xml:space="preserve"> Or ethical charter, see </w:t>
      </w:r>
      <w:hyperlink r:id="rId36" w:history="1">
        <w:r w:rsidRPr="00710D66">
          <w:rPr>
            <w:rStyle w:val="Hyperlink"/>
            <w:lang w:val="en-GB"/>
          </w:rPr>
          <w:t>https://www.geneva-academy.ch/joomlatools-files/docman-files/Oslo%20Consultation%20-%20Final.pdf</w:t>
        </w:r>
      </w:hyperlink>
      <w:r w:rsidRPr="00710D66">
        <w:rPr>
          <w:lang w:val="en-GB"/>
        </w:rPr>
        <w:t xml:space="preserve"> </w:t>
      </w:r>
    </w:p>
  </w:footnote>
  <w:footnote w:id="97">
    <w:p w14:paraId="29936C6C" w14:textId="71DC72AD" w:rsidR="00A20A4E" w:rsidRPr="00710D66" w:rsidRDefault="00A20A4E">
      <w:pPr>
        <w:pStyle w:val="FootnoteText"/>
        <w:rPr>
          <w:lang w:val="en-GB"/>
        </w:rPr>
      </w:pPr>
      <w:r w:rsidRPr="00710D66">
        <w:rPr>
          <w:rStyle w:val="FootnoteReference"/>
          <w:lang w:val="en-GB"/>
        </w:rPr>
        <w:footnoteRef/>
      </w:r>
      <w:r w:rsidRPr="00710D66">
        <w:rPr>
          <w:lang w:val="en-GB"/>
        </w:rPr>
        <w:t xml:space="preserve"> In pursuance with the suggestion formulated in the Pillay report to establish “An open public space for all States parties to present their potential candidates or nominees for treaty bodies”; 4.4.4. Also see the reference to “ a platform for review and vetting” in </w:t>
      </w:r>
      <w:hyperlink r:id="rId37" w:history="1">
        <w:r w:rsidRPr="00710D66">
          <w:rPr>
            <w:rStyle w:val="Hyperlink"/>
            <w:lang w:val="en-GB"/>
          </w:rPr>
          <w:t>https://www.geneva-academy.ch/joomlatools-files/docman-files/Oslo%20Consultation%20-%20Final.pdf</w:t>
        </w:r>
      </w:hyperlink>
      <w:r w:rsidRPr="00710D66">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A46"/>
    <w:multiLevelType w:val="hybridMultilevel"/>
    <w:tmpl w:val="6EBA62D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0F01EFD"/>
    <w:multiLevelType w:val="hybridMultilevel"/>
    <w:tmpl w:val="E2E27CD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68B2BB1"/>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54CF9"/>
    <w:multiLevelType w:val="hybridMultilevel"/>
    <w:tmpl w:val="46303506"/>
    <w:lvl w:ilvl="0" w:tplc="100C0009">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78C4411"/>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A12FB9"/>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5C51D9"/>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C60B07"/>
    <w:multiLevelType w:val="hybridMultilevel"/>
    <w:tmpl w:val="3DAA200A"/>
    <w:lvl w:ilvl="0" w:tplc="100C000B">
      <w:start w:val="1"/>
      <w:numFmt w:val="bullet"/>
      <w:lvlText w:val=""/>
      <w:lvlJc w:val="left"/>
      <w:pPr>
        <w:ind w:left="1068" w:hanging="360"/>
      </w:pPr>
      <w:rPr>
        <w:rFonts w:ascii="Wingdings" w:hAnsi="Wingdings" w:hint="default"/>
      </w:rPr>
    </w:lvl>
    <w:lvl w:ilvl="1" w:tplc="7C5AFE24">
      <w:start w:val="1"/>
      <w:numFmt w:val="bullet"/>
      <w:lvlText w:val="o"/>
      <w:lvlJc w:val="left"/>
      <w:pPr>
        <w:ind w:left="1788" w:hanging="360"/>
      </w:pPr>
      <w:rPr>
        <w:rFonts w:ascii="Courier New" w:hAnsi="Courier New" w:cs="Courier New" w:hint="default"/>
        <w:color w:val="auto"/>
      </w:rPr>
    </w:lvl>
    <w:lvl w:ilvl="2" w:tplc="100C0005">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8" w15:restartNumberingAfterBreak="0">
    <w:nsid w:val="32E70BDC"/>
    <w:multiLevelType w:val="hybridMultilevel"/>
    <w:tmpl w:val="4F5AB5C2"/>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45B39E7"/>
    <w:multiLevelType w:val="hybridMultilevel"/>
    <w:tmpl w:val="29527E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88C1B52"/>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40687D"/>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822FF1"/>
    <w:multiLevelType w:val="hybridMultilevel"/>
    <w:tmpl w:val="A1B40FF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F711AE8"/>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673B72"/>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521723"/>
    <w:multiLevelType w:val="hybridMultilevel"/>
    <w:tmpl w:val="9C6A348A"/>
    <w:lvl w:ilvl="0" w:tplc="100C0009">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11A216A"/>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AC2E5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6378FC"/>
    <w:multiLevelType w:val="hybridMultilevel"/>
    <w:tmpl w:val="BBA65578"/>
    <w:lvl w:ilvl="0" w:tplc="01128F88">
      <w:start w:val="1"/>
      <w:numFmt w:val="decimal"/>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9" w15:restartNumberingAfterBreak="0">
    <w:nsid w:val="63DD578E"/>
    <w:multiLevelType w:val="hybridMultilevel"/>
    <w:tmpl w:val="4BB026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65B113A6"/>
    <w:multiLevelType w:val="hybridMultilevel"/>
    <w:tmpl w:val="D528E964"/>
    <w:lvl w:ilvl="0" w:tplc="0E10B9D6">
      <w:start w:val="1"/>
      <w:numFmt w:val="upperRoman"/>
      <w:lvlText w:val="%1."/>
      <w:lvlJc w:val="left"/>
      <w:pPr>
        <w:ind w:left="1080" w:hanging="720"/>
      </w:pPr>
      <w:rPr>
        <w:rFonts w:hint="default"/>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65BA695A"/>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016B2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C44237"/>
    <w:multiLevelType w:val="hybridMultilevel"/>
    <w:tmpl w:val="E3F8278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75A2173B"/>
    <w:multiLevelType w:val="hybridMultilevel"/>
    <w:tmpl w:val="B2AA9516"/>
    <w:lvl w:ilvl="0" w:tplc="100C0009">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782273F8"/>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8"/>
  </w:num>
  <w:num w:numId="3">
    <w:abstractNumId w:val="1"/>
  </w:num>
  <w:num w:numId="4">
    <w:abstractNumId w:val="8"/>
  </w:num>
  <w:num w:numId="5">
    <w:abstractNumId w:val="17"/>
  </w:num>
  <w:num w:numId="6">
    <w:abstractNumId w:val="2"/>
  </w:num>
  <w:num w:numId="7">
    <w:abstractNumId w:val="16"/>
  </w:num>
  <w:num w:numId="8">
    <w:abstractNumId w:val="13"/>
  </w:num>
  <w:num w:numId="9">
    <w:abstractNumId w:val="3"/>
  </w:num>
  <w:num w:numId="10">
    <w:abstractNumId w:val="15"/>
  </w:num>
  <w:num w:numId="11">
    <w:abstractNumId w:val="0"/>
  </w:num>
  <w:num w:numId="12">
    <w:abstractNumId w:val="7"/>
  </w:num>
  <w:num w:numId="13">
    <w:abstractNumId w:val="24"/>
  </w:num>
  <w:num w:numId="14">
    <w:abstractNumId w:val="12"/>
  </w:num>
  <w:num w:numId="15">
    <w:abstractNumId w:val="4"/>
  </w:num>
  <w:num w:numId="16">
    <w:abstractNumId w:val="5"/>
  </w:num>
  <w:num w:numId="17">
    <w:abstractNumId w:val="6"/>
  </w:num>
  <w:num w:numId="18">
    <w:abstractNumId w:val="22"/>
  </w:num>
  <w:num w:numId="19">
    <w:abstractNumId w:val="14"/>
  </w:num>
  <w:num w:numId="20">
    <w:abstractNumId w:val="21"/>
  </w:num>
  <w:num w:numId="21">
    <w:abstractNumId w:val="11"/>
  </w:num>
  <w:num w:numId="22">
    <w:abstractNumId w:val="25"/>
  </w:num>
  <w:num w:numId="23">
    <w:abstractNumId w:val="10"/>
  </w:num>
  <w:num w:numId="24">
    <w:abstractNumId w:val="23"/>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185"/>
    <w:rsid w:val="00000E5E"/>
    <w:rsid w:val="00002E51"/>
    <w:rsid w:val="00006F53"/>
    <w:rsid w:val="00020124"/>
    <w:rsid w:val="000250A7"/>
    <w:rsid w:val="00025D7A"/>
    <w:rsid w:val="000263C9"/>
    <w:rsid w:val="000355DB"/>
    <w:rsid w:val="00061821"/>
    <w:rsid w:val="00065377"/>
    <w:rsid w:val="00066043"/>
    <w:rsid w:val="00074C1E"/>
    <w:rsid w:val="000758F8"/>
    <w:rsid w:val="00082161"/>
    <w:rsid w:val="00085347"/>
    <w:rsid w:val="00085963"/>
    <w:rsid w:val="00090992"/>
    <w:rsid w:val="00091938"/>
    <w:rsid w:val="00093143"/>
    <w:rsid w:val="00097DC4"/>
    <w:rsid w:val="000A397F"/>
    <w:rsid w:val="000B2591"/>
    <w:rsid w:val="000B3AA9"/>
    <w:rsid w:val="000B63B5"/>
    <w:rsid w:val="000B755F"/>
    <w:rsid w:val="000C13B3"/>
    <w:rsid w:val="000C2CAA"/>
    <w:rsid w:val="000C3FAE"/>
    <w:rsid w:val="000C6CA4"/>
    <w:rsid w:val="000D613E"/>
    <w:rsid w:val="000E2A5D"/>
    <w:rsid w:val="000E4FE1"/>
    <w:rsid w:val="000F1574"/>
    <w:rsid w:val="000F3738"/>
    <w:rsid w:val="000F6161"/>
    <w:rsid w:val="000F63B9"/>
    <w:rsid w:val="000F7476"/>
    <w:rsid w:val="00103796"/>
    <w:rsid w:val="00104F0B"/>
    <w:rsid w:val="00107A80"/>
    <w:rsid w:val="001106B3"/>
    <w:rsid w:val="00113457"/>
    <w:rsid w:val="001168FC"/>
    <w:rsid w:val="00133A75"/>
    <w:rsid w:val="00135D83"/>
    <w:rsid w:val="00136078"/>
    <w:rsid w:val="00136FB6"/>
    <w:rsid w:val="00140E4B"/>
    <w:rsid w:val="00155595"/>
    <w:rsid w:val="00157598"/>
    <w:rsid w:val="0015769F"/>
    <w:rsid w:val="00160425"/>
    <w:rsid w:val="0016225F"/>
    <w:rsid w:val="00170349"/>
    <w:rsid w:val="00177026"/>
    <w:rsid w:val="00193E87"/>
    <w:rsid w:val="0019741F"/>
    <w:rsid w:val="001A0A9E"/>
    <w:rsid w:val="001A1DF8"/>
    <w:rsid w:val="001A337B"/>
    <w:rsid w:val="001B2BCE"/>
    <w:rsid w:val="001B6DB0"/>
    <w:rsid w:val="001C059E"/>
    <w:rsid w:val="001C1743"/>
    <w:rsid w:val="001C3E90"/>
    <w:rsid w:val="001C420E"/>
    <w:rsid w:val="001D100B"/>
    <w:rsid w:val="001D21A5"/>
    <w:rsid w:val="001D46BB"/>
    <w:rsid w:val="001D5A77"/>
    <w:rsid w:val="001E3268"/>
    <w:rsid w:val="001F6150"/>
    <w:rsid w:val="001F6453"/>
    <w:rsid w:val="001F66E2"/>
    <w:rsid w:val="001F6D4A"/>
    <w:rsid w:val="002332DE"/>
    <w:rsid w:val="002335CC"/>
    <w:rsid w:val="00234325"/>
    <w:rsid w:val="00240778"/>
    <w:rsid w:val="00242609"/>
    <w:rsid w:val="00245DA0"/>
    <w:rsid w:val="002463D8"/>
    <w:rsid w:val="00263DB0"/>
    <w:rsid w:val="00263FCA"/>
    <w:rsid w:val="00264ECA"/>
    <w:rsid w:val="00267CC9"/>
    <w:rsid w:val="00276D9F"/>
    <w:rsid w:val="00276FFC"/>
    <w:rsid w:val="00280F30"/>
    <w:rsid w:val="002849FF"/>
    <w:rsid w:val="00286BEE"/>
    <w:rsid w:val="00286C3F"/>
    <w:rsid w:val="00292D49"/>
    <w:rsid w:val="00292F11"/>
    <w:rsid w:val="00293022"/>
    <w:rsid w:val="00295F82"/>
    <w:rsid w:val="002A657C"/>
    <w:rsid w:val="002A6E10"/>
    <w:rsid w:val="002A7E4A"/>
    <w:rsid w:val="002B21CF"/>
    <w:rsid w:val="002C5F1B"/>
    <w:rsid w:val="002C6E46"/>
    <w:rsid w:val="002D26C4"/>
    <w:rsid w:val="002D4B1A"/>
    <w:rsid w:val="002E5327"/>
    <w:rsid w:val="002F15A2"/>
    <w:rsid w:val="002F68A0"/>
    <w:rsid w:val="00300509"/>
    <w:rsid w:val="0030144C"/>
    <w:rsid w:val="003101C3"/>
    <w:rsid w:val="0031188D"/>
    <w:rsid w:val="00314B1A"/>
    <w:rsid w:val="003158FA"/>
    <w:rsid w:val="00320ACC"/>
    <w:rsid w:val="00322329"/>
    <w:rsid w:val="00323877"/>
    <w:rsid w:val="0033603D"/>
    <w:rsid w:val="00337BDD"/>
    <w:rsid w:val="00341B31"/>
    <w:rsid w:val="00341BEF"/>
    <w:rsid w:val="00345718"/>
    <w:rsid w:val="00355925"/>
    <w:rsid w:val="00356C86"/>
    <w:rsid w:val="003619A3"/>
    <w:rsid w:val="00362801"/>
    <w:rsid w:val="00363988"/>
    <w:rsid w:val="00364A07"/>
    <w:rsid w:val="00366F08"/>
    <w:rsid w:val="00367F66"/>
    <w:rsid w:val="00370442"/>
    <w:rsid w:val="00376871"/>
    <w:rsid w:val="003810AD"/>
    <w:rsid w:val="00382985"/>
    <w:rsid w:val="00391EBE"/>
    <w:rsid w:val="003929A5"/>
    <w:rsid w:val="003957C7"/>
    <w:rsid w:val="003A05C0"/>
    <w:rsid w:val="003A2A6E"/>
    <w:rsid w:val="003A2C29"/>
    <w:rsid w:val="003B2C56"/>
    <w:rsid w:val="003B3B71"/>
    <w:rsid w:val="003B3BE7"/>
    <w:rsid w:val="003C3E4A"/>
    <w:rsid w:val="003D0690"/>
    <w:rsid w:val="003D3419"/>
    <w:rsid w:val="003E189D"/>
    <w:rsid w:val="003E28F0"/>
    <w:rsid w:val="003E47F3"/>
    <w:rsid w:val="003F7962"/>
    <w:rsid w:val="003F7A59"/>
    <w:rsid w:val="00402D42"/>
    <w:rsid w:val="00412ACB"/>
    <w:rsid w:val="0041353F"/>
    <w:rsid w:val="00417443"/>
    <w:rsid w:val="0042104C"/>
    <w:rsid w:val="0042126B"/>
    <w:rsid w:val="004258A5"/>
    <w:rsid w:val="00426AD5"/>
    <w:rsid w:val="00432010"/>
    <w:rsid w:val="004425F9"/>
    <w:rsid w:val="00442BED"/>
    <w:rsid w:val="004469B0"/>
    <w:rsid w:val="00451709"/>
    <w:rsid w:val="00452545"/>
    <w:rsid w:val="00452652"/>
    <w:rsid w:val="00454E68"/>
    <w:rsid w:val="00455743"/>
    <w:rsid w:val="00461E3A"/>
    <w:rsid w:val="00475D54"/>
    <w:rsid w:val="00484788"/>
    <w:rsid w:val="004872B6"/>
    <w:rsid w:val="00491E73"/>
    <w:rsid w:val="004A2289"/>
    <w:rsid w:val="004A5EEC"/>
    <w:rsid w:val="004A622C"/>
    <w:rsid w:val="004A67B5"/>
    <w:rsid w:val="004A6C4A"/>
    <w:rsid w:val="004B0BD8"/>
    <w:rsid w:val="004B3D74"/>
    <w:rsid w:val="004C0C15"/>
    <w:rsid w:val="004C26E8"/>
    <w:rsid w:val="004C6C27"/>
    <w:rsid w:val="004D0697"/>
    <w:rsid w:val="004D3455"/>
    <w:rsid w:val="004E0BC0"/>
    <w:rsid w:val="004E23AA"/>
    <w:rsid w:val="004E4AC3"/>
    <w:rsid w:val="004E6F28"/>
    <w:rsid w:val="0050027E"/>
    <w:rsid w:val="00502292"/>
    <w:rsid w:val="0050582C"/>
    <w:rsid w:val="00517FC0"/>
    <w:rsid w:val="00532521"/>
    <w:rsid w:val="00533EE0"/>
    <w:rsid w:val="005364A8"/>
    <w:rsid w:val="005408B1"/>
    <w:rsid w:val="00543F93"/>
    <w:rsid w:val="005448BA"/>
    <w:rsid w:val="00547FD3"/>
    <w:rsid w:val="005542C9"/>
    <w:rsid w:val="00562036"/>
    <w:rsid w:val="00582FE3"/>
    <w:rsid w:val="00591327"/>
    <w:rsid w:val="0059515C"/>
    <w:rsid w:val="005A4FDD"/>
    <w:rsid w:val="005B16F7"/>
    <w:rsid w:val="005B1B4D"/>
    <w:rsid w:val="005B3D95"/>
    <w:rsid w:val="005B4F6F"/>
    <w:rsid w:val="005B526A"/>
    <w:rsid w:val="005B7155"/>
    <w:rsid w:val="005C3C9B"/>
    <w:rsid w:val="005D1640"/>
    <w:rsid w:val="005D69DB"/>
    <w:rsid w:val="005D752F"/>
    <w:rsid w:val="005E1832"/>
    <w:rsid w:val="005F5147"/>
    <w:rsid w:val="005F68A1"/>
    <w:rsid w:val="005F7026"/>
    <w:rsid w:val="006016F3"/>
    <w:rsid w:val="00601858"/>
    <w:rsid w:val="00605649"/>
    <w:rsid w:val="006075FD"/>
    <w:rsid w:val="00621188"/>
    <w:rsid w:val="00623237"/>
    <w:rsid w:val="00625D3B"/>
    <w:rsid w:val="00626140"/>
    <w:rsid w:val="00627561"/>
    <w:rsid w:val="00635E74"/>
    <w:rsid w:val="00641DE6"/>
    <w:rsid w:val="006431A3"/>
    <w:rsid w:val="00652873"/>
    <w:rsid w:val="00655640"/>
    <w:rsid w:val="0066423D"/>
    <w:rsid w:val="00664BDA"/>
    <w:rsid w:val="006671B8"/>
    <w:rsid w:val="00671B01"/>
    <w:rsid w:val="006742CA"/>
    <w:rsid w:val="006744C7"/>
    <w:rsid w:val="006762D9"/>
    <w:rsid w:val="00680139"/>
    <w:rsid w:val="00692036"/>
    <w:rsid w:val="00695433"/>
    <w:rsid w:val="00697F02"/>
    <w:rsid w:val="006A324C"/>
    <w:rsid w:val="006A335F"/>
    <w:rsid w:val="006B00C8"/>
    <w:rsid w:val="006B168A"/>
    <w:rsid w:val="006C6376"/>
    <w:rsid w:val="006D0CF1"/>
    <w:rsid w:val="006D519C"/>
    <w:rsid w:val="006E110A"/>
    <w:rsid w:val="006E2796"/>
    <w:rsid w:val="006F1701"/>
    <w:rsid w:val="006F2100"/>
    <w:rsid w:val="006F241C"/>
    <w:rsid w:val="00701653"/>
    <w:rsid w:val="00705F3F"/>
    <w:rsid w:val="00710D66"/>
    <w:rsid w:val="00710F06"/>
    <w:rsid w:val="00713F42"/>
    <w:rsid w:val="007143DD"/>
    <w:rsid w:val="0071569B"/>
    <w:rsid w:val="00732FDD"/>
    <w:rsid w:val="00741008"/>
    <w:rsid w:val="00751919"/>
    <w:rsid w:val="00753961"/>
    <w:rsid w:val="00761FCA"/>
    <w:rsid w:val="00763C14"/>
    <w:rsid w:val="00765C30"/>
    <w:rsid w:val="007674C5"/>
    <w:rsid w:val="007675FF"/>
    <w:rsid w:val="00773208"/>
    <w:rsid w:val="007818CF"/>
    <w:rsid w:val="007820EF"/>
    <w:rsid w:val="00782699"/>
    <w:rsid w:val="00784336"/>
    <w:rsid w:val="00793F3B"/>
    <w:rsid w:val="00795C0E"/>
    <w:rsid w:val="007A16BD"/>
    <w:rsid w:val="007A1828"/>
    <w:rsid w:val="007A458F"/>
    <w:rsid w:val="007A701B"/>
    <w:rsid w:val="007B77BA"/>
    <w:rsid w:val="007C5FE3"/>
    <w:rsid w:val="007D19EE"/>
    <w:rsid w:val="007E66BE"/>
    <w:rsid w:val="007F4143"/>
    <w:rsid w:val="007F716B"/>
    <w:rsid w:val="008059BC"/>
    <w:rsid w:val="00815527"/>
    <w:rsid w:val="00820F77"/>
    <w:rsid w:val="008215D0"/>
    <w:rsid w:val="008259BD"/>
    <w:rsid w:val="00826451"/>
    <w:rsid w:val="00844013"/>
    <w:rsid w:val="00847510"/>
    <w:rsid w:val="008622CD"/>
    <w:rsid w:val="00882079"/>
    <w:rsid w:val="0088497A"/>
    <w:rsid w:val="00885F5F"/>
    <w:rsid w:val="00890F83"/>
    <w:rsid w:val="008954C4"/>
    <w:rsid w:val="0089577E"/>
    <w:rsid w:val="008A7318"/>
    <w:rsid w:val="008B1129"/>
    <w:rsid w:val="008B18BE"/>
    <w:rsid w:val="008B7B25"/>
    <w:rsid w:val="008C5413"/>
    <w:rsid w:val="008C5E3D"/>
    <w:rsid w:val="008D5BD8"/>
    <w:rsid w:val="008E1F85"/>
    <w:rsid w:val="008F4CE8"/>
    <w:rsid w:val="0090211E"/>
    <w:rsid w:val="00905D8A"/>
    <w:rsid w:val="009147D9"/>
    <w:rsid w:val="00917B6F"/>
    <w:rsid w:val="00920906"/>
    <w:rsid w:val="00922108"/>
    <w:rsid w:val="00922402"/>
    <w:rsid w:val="0093142E"/>
    <w:rsid w:val="00931F0C"/>
    <w:rsid w:val="009328DB"/>
    <w:rsid w:val="009351DE"/>
    <w:rsid w:val="009367C2"/>
    <w:rsid w:val="00940A38"/>
    <w:rsid w:val="00952BEC"/>
    <w:rsid w:val="0095484C"/>
    <w:rsid w:val="00955600"/>
    <w:rsid w:val="00957383"/>
    <w:rsid w:val="00963932"/>
    <w:rsid w:val="00965D19"/>
    <w:rsid w:val="00966185"/>
    <w:rsid w:val="00990180"/>
    <w:rsid w:val="00993329"/>
    <w:rsid w:val="00994000"/>
    <w:rsid w:val="009A16E3"/>
    <w:rsid w:val="009A1F46"/>
    <w:rsid w:val="009A679B"/>
    <w:rsid w:val="009B1810"/>
    <w:rsid w:val="009C34CC"/>
    <w:rsid w:val="009C6030"/>
    <w:rsid w:val="009C631C"/>
    <w:rsid w:val="009C7CA0"/>
    <w:rsid w:val="009D7457"/>
    <w:rsid w:val="009E0143"/>
    <w:rsid w:val="009E2612"/>
    <w:rsid w:val="009F0BD0"/>
    <w:rsid w:val="009F1095"/>
    <w:rsid w:val="009F428A"/>
    <w:rsid w:val="009F6704"/>
    <w:rsid w:val="009F68BB"/>
    <w:rsid w:val="00A11EFE"/>
    <w:rsid w:val="00A17328"/>
    <w:rsid w:val="00A20A4E"/>
    <w:rsid w:val="00A2476C"/>
    <w:rsid w:val="00A27439"/>
    <w:rsid w:val="00A426E8"/>
    <w:rsid w:val="00A43D06"/>
    <w:rsid w:val="00A54FCE"/>
    <w:rsid w:val="00A56F09"/>
    <w:rsid w:val="00A62BB6"/>
    <w:rsid w:val="00A62C2C"/>
    <w:rsid w:val="00A6547A"/>
    <w:rsid w:val="00A67DE3"/>
    <w:rsid w:val="00A74998"/>
    <w:rsid w:val="00A74AED"/>
    <w:rsid w:val="00A766BD"/>
    <w:rsid w:val="00A81262"/>
    <w:rsid w:val="00A87B37"/>
    <w:rsid w:val="00A95E57"/>
    <w:rsid w:val="00A96289"/>
    <w:rsid w:val="00A97A1A"/>
    <w:rsid w:val="00AA0CCF"/>
    <w:rsid w:val="00AA4019"/>
    <w:rsid w:val="00AB4E76"/>
    <w:rsid w:val="00AB7026"/>
    <w:rsid w:val="00AC0086"/>
    <w:rsid w:val="00AC190F"/>
    <w:rsid w:val="00AC1EC7"/>
    <w:rsid w:val="00AC4512"/>
    <w:rsid w:val="00AD5CA3"/>
    <w:rsid w:val="00AE2585"/>
    <w:rsid w:val="00AE709A"/>
    <w:rsid w:val="00AE710E"/>
    <w:rsid w:val="00AF37AB"/>
    <w:rsid w:val="00AF39B2"/>
    <w:rsid w:val="00AF5388"/>
    <w:rsid w:val="00AF5AD0"/>
    <w:rsid w:val="00B008C9"/>
    <w:rsid w:val="00B02E67"/>
    <w:rsid w:val="00B038D1"/>
    <w:rsid w:val="00B05062"/>
    <w:rsid w:val="00B05C81"/>
    <w:rsid w:val="00B11861"/>
    <w:rsid w:val="00B141FD"/>
    <w:rsid w:val="00B16192"/>
    <w:rsid w:val="00B21728"/>
    <w:rsid w:val="00B24CA2"/>
    <w:rsid w:val="00B33428"/>
    <w:rsid w:val="00B42922"/>
    <w:rsid w:val="00B42E65"/>
    <w:rsid w:val="00B43D32"/>
    <w:rsid w:val="00B448C8"/>
    <w:rsid w:val="00B478AF"/>
    <w:rsid w:val="00B52280"/>
    <w:rsid w:val="00B5688A"/>
    <w:rsid w:val="00B602F9"/>
    <w:rsid w:val="00B733E9"/>
    <w:rsid w:val="00B76952"/>
    <w:rsid w:val="00B80E3A"/>
    <w:rsid w:val="00B928C1"/>
    <w:rsid w:val="00B95B4D"/>
    <w:rsid w:val="00BB0E36"/>
    <w:rsid w:val="00BB4BE7"/>
    <w:rsid w:val="00BC29EB"/>
    <w:rsid w:val="00BD04EF"/>
    <w:rsid w:val="00BD4EF9"/>
    <w:rsid w:val="00BD67CB"/>
    <w:rsid w:val="00BE180B"/>
    <w:rsid w:val="00BE694A"/>
    <w:rsid w:val="00BF0CE2"/>
    <w:rsid w:val="00BF3E6B"/>
    <w:rsid w:val="00BF41E3"/>
    <w:rsid w:val="00BF7A11"/>
    <w:rsid w:val="00C00C0D"/>
    <w:rsid w:val="00C01DB7"/>
    <w:rsid w:val="00C15D64"/>
    <w:rsid w:val="00C16D3D"/>
    <w:rsid w:val="00C175C9"/>
    <w:rsid w:val="00C21F16"/>
    <w:rsid w:val="00C22762"/>
    <w:rsid w:val="00C2358C"/>
    <w:rsid w:val="00C248EC"/>
    <w:rsid w:val="00C31996"/>
    <w:rsid w:val="00C334FC"/>
    <w:rsid w:val="00C64C0D"/>
    <w:rsid w:val="00C65A67"/>
    <w:rsid w:val="00C76552"/>
    <w:rsid w:val="00C77102"/>
    <w:rsid w:val="00C77851"/>
    <w:rsid w:val="00C90009"/>
    <w:rsid w:val="00C912A9"/>
    <w:rsid w:val="00C91DF3"/>
    <w:rsid w:val="00C92BD0"/>
    <w:rsid w:val="00CA258C"/>
    <w:rsid w:val="00CA38A2"/>
    <w:rsid w:val="00CA54C8"/>
    <w:rsid w:val="00CA67B6"/>
    <w:rsid w:val="00CB306A"/>
    <w:rsid w:val="00CC2211"/>
    <w:rsid w:val="00CC5B96"/>
    <w:rsid w:val="00CC786E"/>
    <w:rsid w:val="00CD0A93"/>
    <w:rsid w:val="00CD1011"/>
    <w:rsid w:val="00CD3096"/>
    <w:rsid w:val="00CD4EA3"/>
    <w:rsid w:val="00CD621A"/>
    <w:rsid w:val="00CD67AC"/>
    <w:rsid w:val="00CE3310"/>
    <w:rsid w:val="00CF1670"/>
    <w:rsid w:val="00CF7EE0"/>
    <w:rsid w:val="00D027C7"/>
    <w:rsid w:val="00D1334D"/>
    <w:rsid w:val="00D144A3"/>
    <w:rsid w:val="00D21A10"/>
    <w:rsid w:val="00D3049C"/>
    <w:rsid w:val="00D634A0"/>
    <w:rsid w:val="00D654D7"/>
    <w:rsid w:val="00D75FA0"/>
    <w:rsid w:val="00D76B46"/>
    <w:rsid w:val="00D77B58"/>
    <w:rsid w:val="00D839F2"/>
    <w:rsid w:val="00D86DB0"/>
    <w:rsid w:val="00D92E04"/>
    <w:rsid w:val="00D9755D"/>
    <w:rsid w:val="00DA0F56"/>
    <w:rsid w:val="00DA7B3B"/>
    <w:rsid w:val="00DB24F9"/>
    <w:rsid w:val="00DB26CC"/>
    <w:rsid w:val="00DB3121"/>
    <w:rsid w:val="00DB3710"/>
    <w:rsid w:val="00DB3BBE"/>
    <w:rsid w:val="00DC150E"/>
    <w:rsid w:val="00DC1964"/>
    <w:rsid w:val="00DC56C2"/>
    <w:rsid w:val="00DD3B08"/>
    <w:rsid w:val="00DD7E34"/>
    <w:rsid w:val="00DE19C3"/>
    <w:rsid w:val="00DE3AF8"/>
    <w:rsid w:val="00DE5377"/>
    <w:rsid w:val="00DF7DB7"/>
    <w:rsid w:val="00E005D6"/>
    <w:rsid w:val="00E0246D"/>
    <w:rsid w:val="00E03605"/>
    <w:rsid w:val="00E03960"/>
    <w:rsid w:val="00E04D0B"/>
    <w:rsid w:val="00E066A2"/>
    <w:rsid w:val="00E15964"/>
    <w:rsid w:val="00E16FDC"/>
    <w:rsid w:val="00E21AF9"/>
    <w:rsid w:val="00E32C0D"/>
    <w:rsid w:val="00E357FE"/>
    <w:rsid w:val="00E47ED1"/>
    <w:rsid w:val="00E51B7A"/>
    <w:rsid w:val="00E63AC5"/>
    <w:rsid w:val="00E65B50"/>
    <w:rsid w:val="00E72102"/>
    <w:rsid w:val="00E80032"/>
    <w:rsid w:val="00E81980"/>
    <w:rsid w:val="00E8370E"/>
    <w:rsid w:val="00E957D5"/>
    <w:rsid w:val="00E95BDF"/>
    <w:rsid w:val="00E9782E"/>
    <w:rsid w:val="00EA531F"/>
    <w:rsid w:val="00EA6BB9"/>
    <w:rsid w:val="00EC4590"/>
    <w:rsid w:val="00EC4F6A"/>
    <w:rsid w:val="00EC60BC"/>
    <w:rsid w:val="00EC6DC8"/>
    <w:rsid w:val="00EC785B"/>
    <w:rsid w:val="00EC7968"/>
    <w:rsid w:val="00ED380D"/>
    <w:rsid w:val="00ED3875"/>
    <w:rsid w:val="00ED602C"/>
    <w:rsid w:val="00EE1974"/>
    <w:rsid w:val="00EF2688"/>
    <w:rsid w:val="00EF5EAD"/>
    <w:rsid w:val="00EF5FF1"/>
    <w:rsid w:val="00F06CE3"/>
    <w:rsid w:val="00F131DD"/>
    <w:rsid w:val="00F16D5F"/>
    <w:rsid w:val="00F20536"/>
    <w:rsid w:val="00F22973"/>
    <w:rsid w:val="00F25215"/>
    <w:rsid w:val="00F260F9"/>
    <w:rsid w:val="00F32013"/>
    <w:rsid w:val="00F34089"/>
    <w:rsid w:val="00F4510D"/>
    <w:rsid w:val="00F4725B"/>
    <w:rsid w:val="00F50336"/>
    <w:rsid w:val="00F51334"/>
    <w:rsid w:val="00F53BC5"/>
    <w:rsid w:val="00F54555"/>
    <w:rsid w:val="00F61A23"/>
    <w:rsid w:val="00F61BBA"/>
    <w:rsid w:val="00F716E6"/>
    <w:rsid w:val="00F72A11"/>
    <w:rsid w:val="00F74557"/>
    <w:rsid w:val="00F77493"/>
    <w:rsid w:val="00F8030E"/>
    <w:rsid w:val="00F80A5B"/>
    <w:rsid w:val="00F906A2"/>
    <w:rsid w:val="00F95445"/>
    <w:rsid w:val="00FA0304"/>
    <w:rsid w:val="00FA1F6C"/>
    <w:rsid w:val="00FA317D"/>
    <w:rsid w:val="00FA34B8"/>
    <w:rsid w:val="00FA3735"/>
    <w:rsid w:val="00FA6FD3"/>
    <w:rsid w:val="00FA7E37"/>
    <w:rsid w:val="00FB01D0"/>
    <w:rsid w:val="00FB50E2"/>
    <w:rsid w:val="00FC222A"/>
    <w:rsid w:val="00FC2E41"/>
    <w:rsid w:val="00FC313B"/>
    <w:rsid w:val="00FC3DED"/>
    <w:rsid w:val="00FD0E1D"/>
    <w:rsid w:val="00FE41DA"/>
    <w:rsid w:val="00FF6CA6"/>
    <w:rsid w:val="00FF71C1"/>
    <w:rsid w:val="00FF721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6ED5"/>
  <w15:chartTrackingRefBased/>
  <w15:docId w15:val="{8E5D9330-51D8-467F-AF4E-CC4BEFB4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39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60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327"/>
    <w:pPr>
      <w:ind w:left="720"/>
      <w:contextualSpacing/>
    </w:pPr>
  </w:style>
  <w:style w:type="paragraph" w:styleId="FootnoteText">
    <w:name w:val="footnote text"/>
    <w:basedOn w:val="Normal"/>
    <w:link w:val="FootnoteTextChar"/>
    <w:uiPriority w:val="99"/>
    <w:semiHidden/>
    <w:unhideWhenUsed/>
    <w:rsid w:val="004517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1709"/>
    <w:rPr>
      <w:sz w:val="20"/>
      <w:szCs w:val="20"/>
    </w:rPr>
  </w:style>
  <w:style w:type="character" w:styleId="FootnoteReference">
    <w:name w:val="footnote reference"/>
    <w:basedOn w:val="DefaultParagraphFont"/>
    <w:uiPriority w:val="99"/>
    <w:semiHidden/>
    <w:unhideWhenUsed/>
    <w:rsid w:val="00451709"/>
    <w:rPr>
      <w:vertAlign w:val="superscript"/>
    </w:rPr>
  </w:style>
  <w:style w:type="character" w:styleId="Hyperlink">
    <w:name w:val="Hyperlink"/>
    <w:basedOn w:val="DefaultParagraphFont"/>
    <w:uiPriority w:val="99"/>
    <w:unhideWhenUsed/>
    <w:rsid w:val="00F72A11"/>
    <w:rPr>
      <w:color w:val="0563C1" w:themeColor="hyperlink"/>
      <w:u w:val="single"/>
    </w:rPr>
  </w:style>
  <w:style w:type="character" w:styleId="FollowedHyperlink">
    <w:name w:val="FollowedHyperlink"/>
    <w:basedOn w:val="DefaultParagraphFont"/>
    <w:uiPriority w:val="99"/>
    <w:semiHidden/>
    <w:unhideWhenUsed/>
    <w:rsid w:val="00F72A11"/>
    <w:rPr>
      <w:color w:val="954F72" w:themeColor="followedHyperlink"/>
      <w:u w:val="single"/>
    </w:rPr>
  </w:style>
  <w:style w:type="character" w:customStyle="1" w:styleId="Heading1Char">
    <w:name w:val="Heading 1 Char"/>
    <w:basedOn w:val="DefaultParagraphFont"/>
    <w:link w:val="Heading1"/>
    <w:uiPriority w:val="9"/>
    <w:rsid w:val="00963932"/>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963932"/>
    <w:pPr>
      <w:spacing w:after="100"/>
    </w:pPr>
  </w:style>
  <w:style w:type="paragraph" w:styleId="Header">
    <w:name w:val="header"/>
    <w:aliases w:val="6_G"/>
    <w:basedOn w:val="Normal"/>
    <w:link w:val="HeaderChar"/>
    <w:unhideWhenUsed/>
    <w:qFormat/>
    <w:rsid w:val="00C90009"/>
    <w:pPr>
      <w:tabs>
        <w:tab w:val="center" w:pos="4536"/>
        <w:tab w:val="right" w:pos="9072"/>
      </w:tabs>
      <w:spacing w:after="0" w:line="240" w:lineRule="auto"/>
    </w:pPr>
  </w:style>
  <w:style w:type="character" w:customStyle="1" w:styleId="HeaderChar">
    <w:name w:val="Header Char"/>
    <w:aliases w:val="6_G Char"/>
    <w:basedOn w:val="DefaultParagraphFont"/>
    <w:link w:val="Header"/>
    <w:rsid w:val="00C90009"/>
  </w:style>
  <w:style w:type="paragraph" w:styleId="Footer">
    <w:name w:val="footer"/>
    <w:basedOn w:val="Normal"/>
    <w:link w:val="FooterChar"/>
    <w:uiPriority w:val="99"/>
    <w:unhideWhenUsed/>
    <w:rsid w:val="00C900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0009"/>
  </w:style>
  <w:style w:type="character" w:customStyle="1" w:styleId="Heading2Char">
    <w:name w:val="Heading 2 Char"/>
    <w:basedOn w:val="DefaultParagraphFont"/>
    <w:link w:val="Heading2"/>
    <w:uiPriority w:val="9"/>
    <w:rsid w:val="00F260F9"/>
    <w:rPr>
      <w:rFonts w:asciiTheme="majorHAnsi" w:eastAsiaTheme="majorEastAsia" w:hAnsiTheme="majorHAnsi" w:cstheme="majorBidi"/>
      <w:color w:val="2E74B5" w:themeColor="accent1" w:themeShade="BF"/>
      <w:sz w:val="26"/>
      <w:szCs w:val="26"/>
    </w:rPr>
  </w:style>
  <w:style w:type="paragraph" w:customStyle="1" w:styleId="Default">
    <w:name w:val="Default"/>
    <w:rsid w:val="007A701B"/>
    <w:pPr>
      <w:autoSpaceDE w:val="0"/>
      <w:autoSpaceDN w:val="0"/>
      <w:adjustRightInd w:val="0"/>
      <w:spacing w:after="0" w:line="240" w:lineRule="auto"/>
    </w:pPr>
    <w:rPr>
      <w:rFonts w:ascii="Arial" w:hAnsi="Arial" w:cs="Arial"/>
      <w:color w:val="000000"/>
      <w:sz w:val="24"/>
      <w:szCs w:val="24"/>
    </w:rPr>
  </w:style>
  <w:style w:type="paragraph" w:styleId="TOC2">
    <w:name w:val="toc 2"/>
    <w:basedOn w:val="Normal"/>
    <w:next w:val="Normal"/>
    <w:autoRedefine/>
    <w:uiPriority w:val="39"/>
    <w:unhideWhenUsed/>
    <w:rsid w:val="00826451"/>
    <w:pPr>
      <w:spacing w:after="100"/>
      <w:ind w:left="220"/>
    </w:pPr>
  </w:style>
  <w:style w:type="character" w:styleId="CommentReference">
    <w:name w:val="annotation reference"/>
    <w:basedOn w:val="DefaultParagraphFont"/>
    <w:uiPriority w:val="99"/>
    <w:semiHidden/>
    <w:unhideWhenUsed/>
    <w:rsid w:val="00E16FDC"/>
    <w:rPr>
      <w:sz w:val="16"/>
      <w:szCs w:val="16"/>
    </w:rPr>
  </w:style>
  <w:style w:type="paragraph" w:styleId="CommentText">
    <w:name w:val="annotation text"/>
    <w:basedOn w:val="Normal"/>
    <w:link w:val="CommentTextChar"/>
    <w:uiPriority w:val="99"/>
    <w:semiHidden/>
    <w:unhideWhenUsed/>
    <w:rsid w:val="00E16FDC"/>
    <w:pPr>
      <w:spacing w:line="240" w:lineRule="auto"/>
    </w:pPr>
    <w:rPr>
      <w:sz w:val="20"/>
      <w:szCs w:val="20"/>
    </w:rPr>
  </w:style>
  <w:style w:type="character" w:customStyle="1" w:styleId="CommentTextChar">
    <w:name w:val="Comment Text Char"/>
    <w:basedOn w:val="DefaultParagraphFont"/>
    <w:link w:val="CommentText"/>
    <w:uiPriority w:val="99"/>
    <w:semiHidden/>
    <w:rsid w:val="00E16FDC"/>
    <w:rPr>
      <w:sz w:val="20"/>
      <w:szCs w:val="20"/>
    </w:rPr>
  </w:style>
  <w:style w:type="paragraph" w:styleId="CommentSubject">
    <w:name w:val="annotation subject"/>
    <w:basedOn w:val="CommentText"/>
    <w:next w:val="CommentText"/>
    <w:link w:val="CommentSubjectChar"/>
    <w:uiPriority w:val="99"/>
    <w:semiHidden/>
    <w:unhideWhenUsed/>
    <w:rsid w:val="00E16FDC"/>
    <w:rPr>
      <w:b/>
      <w:bCs/>
    </w:rPr>
  </w:style>
  <w:style w:type="character" w:customStyle="1" w:styleId="CommentSubjectChar">
    <w:name w:val="Comment Subject Char"/>
    <w:basedOn w:val="CommentTextChar"/>
    <w:link w:val="CommentSubject"/>
    <w:uiPriority w:val="99"/>
    <w:semiHidden/>
    <w:rsid w:val="00E16FDC"/>
    <w:rPr>
      <w:b/>
      <w:bCs/>
      <w:sz w:val="20"/>
      <w:szCs w:val="20"/>
    </w:rPr>
  </w:style>
  <w:style w:type="paragraph" w:styleId="BalloonText">
    <w:name w:val="Balloon Text"/>
    <w:basedOn w:val="Normal"/>
    <w:link w:val="BalloonTextChar"/>
    <w:uiPriority w:val="99"/>
    <w:semiHidden/>
    <w:unhideWhenUsed/>
    <w:rsid w:val="00E16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FDC"/>
    <w:rPr>
      <w:rFonts w:ascii="Segoe UI" w:hAnsi="Segoe UI" w:cs="Segoe UI"/>
      <w:sz w:val="18"/>
      <w:szCs w:val="18"/>
    </w:rPr>
  </w:style>
  <w:style w:type="table" w:styleId="TableGrid">
    <w:name w:val="Table Grid"/>
    <w:basedOn w:val="TableNormal"/>
    <w:uiPriority w:val="59"/>
    <w:rsid w:val="004B3D7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45177">
      <w:bodyDiv w:val="1"/>
      <w:marLeft w:val="0"/>
      <w:marRight w:val="0"/>
      <w:marTop w:val="0"/>
      <w:marBottom w:val="0"/>
      <w:divBdr>
        <w:top w:val="none" w:sz="0" w:space="0" w:color="auto"/>
        <w:left w:val="none" w:sz="0" w:space="0" w:color="auto"/>
        <w:bottom w:val="none" w:sz="0" w:space="0" w:color="auto"/>
        <w:right w:val="none" w:sz="0" w:space="0" w:color="auto"/>
      </w:divBdr>
    </w:div>
    <w:div w:id="1401293807">
      <w:bodyDiv w:val="1"/>
      <w:marLeft w:val="0"/>
      <w:marRight w:val="0"/>
      <w:marTop w:val="0"/>
      <w:marBottom w:val="0"/>
      <w:divBdr>
        <w:top w:val="none" w:sz="0" w:space="0" w:color="auto"/>
        <w:left w:val="none" w:sz="0" w:space="0" w:color="auto"/>
        <w:bottom w:val="none" w:sz="0" w:space="0" w:color="auto"/>
        <w:right w:val="none" w:sz="0" w:space="0" w:color="auto"/>
      </w:divBdr>
    </w:div>
    <w:div w:id="204578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sinclair@ishr.ch"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ploton@ishr.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tinyurl.com/y2q7qt2l" TargetMode="External"/><Relationship Id="rId13" Type="http://schemas.openxmlformats.org/officeDocument/2006/relationships/hyperlink" Target="https://www.ohchr.org/Documents/HRBodies/CRPD/Tablependingcases.pdf" TargetMode="External"/><Relationship Id="rId18" Type="http://schemas.openxmlformats.org/officeDocument/2006/relationships/hyperlink" Target="https://www.mofa.go.jp/policy/human/pdfs/response_201301.pdf" TargetMode="External"/><Relationship Id="rId26" Type="http://schemas.openxmlformats.org/officeDocument/2006/relationships/hyperlink" Target="https://www.ohchr.org/EN/HRBodies/Pages/Reprisal.aspx" TargetMode="External"/><Relationship Id="rId3" Type="http://schemas.openxmlformats.org/officeDocument/2006/relationships/hyperlink" Target="https://www.ohchr.org/EN/HRBodies/HRTD%20Newsletter/No.23,%20April%20to%20June%202014.pdf" TargetMode="External"/><Relationship Id="rId21" Type="http://schemas.openxmlformats.org/officeDocument/2006/relationships/hyperlink" Target="https://twitter.com/CCPR_Centre/status/1111585222439636994" TargetMode="External"/><Relationship Id="rId34" Type="http://schemas.openxmlformats.org/officeDocument/2006/relationships/hyperlink" Target="https://www.amnesty.org/download/Documents/IOR4096082018ENGLISH.pdf" TargetMode="External"/><Relationship Id="rId7" Type="http://schemas.openxmlformats.org/officeDocument/2006/relationships/hyperlink" Target="https://twitter.com/CCPR_Centre/status/1111585222439636994" TargetMode="External"/><Relationship Id="rId12" Type="http://schemas.openxmlformats.org/officeDocument/2006/relationships/hyperlink" Target="https://www.ohchr.org/Documents/HRBodies/CRC/TablePendingCases.doc" TargetMode="External"/><Relationship Id="rId17" Type="http://schemas.openxmlformats.org/officeDocument/2006/relationships/hyperlink" Target="https://www.mofa.go.jp/policy/human/pdfs/req_info_120731_en.pdf" TargetMode="External"/><Relationship Id="rId25" Type="http://schemas.openxmlformats.org/officeDocument/2006/relationships/hyperlink" Target="https://www.ohchr.org/Documents/HRBodies/TB/AnnualMeeting/29Meeting/JoinNGOStatement.pdf" TargetMode="External"/><Relationship Id="rId33" Type="http://schemas.openxmlformats.org/officeDocument/2006/relationships/hyperlink" Target="https://www.ohchr.org/Documents/HRBodies/TB/AnnualMeeting/29Meeting/JoinNGOStatement.pdf" TargetMode="External"/><Relationship Id="rId2" Type="http://schemas.openxmlformats.org/officeDocument/2006/relationships/hyperlink" Target="https://www.ohchr.org/EN/HRBodies/HRTD/Pages/FirstBiennialReportbySG.aspx" TargetMode="External"/><Relationship Id="rId16" Type="http://schemas.openxmlformats.org/officeDocument/2006/relationships/hyperlink" Target="https://www.ohchr.org/EN/HRBodies/CERD/Pages/InterstateCommunications.aspx" TargetMode="External"/><Relationship Id="rId20" Type="http://schemas.openxmlformats.org/officeDocument/2006/relationships/hyperlink" Target="http://bit.ly/2UTvn3S" TargetMode="External"/><Relationship Id="rId29" Type="http://schemas.openxmlformats.org/officeDocument/2006/relationships/hyperlink" Target="https://www.wiltonpark.org.uk/wp-content/uploads/NGO-Statement-2015-meeting-of-TB-chairsleads-on-WP-220615.pdf%20" TargetMode="External"/><Relationship Id="rId1" Type="http://schemas.openxmlformats.org/officeDocument/2006/relationships/hyperlink" Target="http://www.ishr.ch/news/general-assembly-takes-modest-important-step-strengthen-treaty-bodies" TargetMode="External"/><Relationship Id="rId6" Type="http://schemas.openxmlformats.org/officeDocument/2006/relationships/hyperlink" Target="http://www.ishr.ch/news/treaty-bodies-backlog-individual-complaints-must-be-addressed-now" TargetMode="External"/><Relationship Id="rId11" Type="http://schemas.openxmlformats.org/officeDocument/2006/relationships/hyperlink" Target="https://www.ohchr.org/Documents/HRBodies/CEDAW/PendingCases.docx" TargetMode="External"/><Relationship Id="rId24" Type="http://schemas.openxmlformats.org/officeDocument/2006/relationships/hyperlink" Target="https://www.ohchr.org/Documents/HRBodies/TB/AnnualMeeting/29Meeting/JoinNGOStatement.pdf" TargetMode="External"/><Relationship Id="rId32" Type="http://schemas.openxmlformats.org/officeDocument/2006/relationships/hyperlink" Target="https://www.geneva-academy.ch/joomlatools-files/docman-files/Diversity%20in%20Treaty%20Bodies%20Membership.pdf" TargetMode="External"/><Relationship Id="rId37" Type="http://schemas.openxmlformats.org/officeDocument/2006/relationships/hyperlink" Target="https://www.geneva-academy.ch/joomlatools-files/docman-files/Oslo%20Consultation%20-%20Final.pdf" TargetMode="External"/><Relationship Id="rId5" Type="http://schemas.openxmlformats.org/officeDocument/2006/relationships/hyperlink" Target="http://bit.ly/2Iu2vIV" TargetMode="External"/><Relationship Id="rId15" Type="http://schemas.openxmlformats.org/officeDocument/2006/relationships/hyperlink" Target="https://www.ohchr.org/EN/NewsEvents/Pages/DisplayNews.aspx?NewsID=23566&amp;LangID=E" TargetMode="External"/><Relationship Id="rId23" Type="http://schemas.openxmlformats.org/officeDocument/2006/relationships/hyperlink" Target="https://www.ohchr.org/Documents/HRBodies/TB/AnnualMeeting/29Meeting/JoinNGOStatement.pdf" TargetMode="External"/><Relationship Id="rId28" Type="http://schemas.openxmlformats.org/officeDocument/2006/relationships/hyperlink" Target="http://www.ishr.ch/news/treaty-bodies-backlog-individual-complaints-must-be-addressed-now" TargetMode="External"/><Relationship Id="rId36" Type="http://schemas.openxmlformats.org/officeDocument/2006/relationships/hyperlink" Target="https://www.geneva-academy.ch/joomlatools-files/docman-files/Oslo%20Consultation%20-%20Final.pdf" TargetMode="External"/><Relationship Id="rId10" Type="http://schemas.openxmlformats.org/officeDocument/2006/relationships/hyperlink" Target="https://www.ohchr.org/Documents/HRBodies/CCPR/RegisteredCases2018.docx" TargetMode="External"/><Relationship Id="rId19" Type="http://schemas.openxmlformats.org/officeDocument/2006/relationships/hyperlink" Target="https://www.ishr.ch/news/treaty-bodies-call-vision-ambition-and-innovation-strengthen-system" TargetMode="External"/><Relationship Id="rId31" Type="http://schemas.openxmlformats.org/officeDocument/2006/relationships/hyperlink" Target="https://www.ishr.ch/sites/default/files/files/ISHR_TB_Report_A4_Eng6-change-%20w%20comments%20(1)(1).pdf" TargetMode="External"/><Relationship Id="rId4" Type="http://schemas.openxmlformats.org/officeDocument/2006/relationships/hyperlink" Target="https://www.ohchr.org/EN/HRBodies/HRTD%20Newsletter/No.23,%20April%20to%20June%202014.pdf" TargetMode="External"/><Relationship Id="rId9" Type="http://schemas.openxmlformats.org/officeDocument/2006/relationships/hyperlink" Target="https://www.ohchr.org/EN/HRBodies/CESCR/Pages/PendingCases.aspx" TargetMode="External"/><Relationship Id="rId14" Type="http://schemas.openxmlformats.org/officeDocument/2006/relationships/hyperlink" Target="https://www.echr.coe.int/Pages/home.aspx?p=hearings/gcpending&amp;c" TargetMode="External"/><Relationship Id="rId22" Type="http://schemas.openxmlformats.org/officeDocument/2006/relationships/hyperlink" Target="http://bit.ly/2UTUCTL" TargetMode="External"/><Relationship Id="rId27" Type="http://schemas.openxmlformats.org/officeDocument/2006/relationships/hyperlink" Target="https://undocs.org/HRI/MC/2019/2" TargetMode="External"/><Relationship Id="rId30" Type="http://schemas.openxmlformats.org/officeDocument/2006/relationships/hyperlink" Target="https://www.amnesty.org/download/Documents/IOR4066472017ENGLISH.pdf" TargetMode="External"/><Relationship Id="rId35" Type="http://schemas.openxmlformats.org/officeDocument/2006/relationships/hyperlink" Target="https://www.ohchr.org/Documents/HRBodies/TB/AnnualMeeting/29Meeting/JoinNGO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CFE8C-43B9-409C-87AD-1338C3F22293}">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9233A75C-594C-4214-A2A1-4CC3F4798589}"/>
</file>

<file path=customXml/itemProps3.xml><?xml version="1.0" encoding="utf-8"?>
<ds:datastoreItem xmlns:ds="http://schemas.openxmlformats.org/officeDocument/2006/customXml" ds:itemID="{75C2AF41-CCA5-4C8B-8FF5-3B2214640430}">
  <ds:schemaRefs>
    <ds:schemaRef ds:uri="http://schemas.microsoft.com/sharepoint/v3/contenttype/forms"/>
  </ds:schemaRefs>
</ds:datastoreItem>
</file>

<file path=customXml/itemProps4.xml><?xml version="1.0" encoding="utf-8"?>
<ds:datastoreItem xmlns:ds="http://schemas.openxmlformats.org/officeDocument/2006/customXml" ds:itemID="{9A25B281-96D7-4C9B-8729-23B1A3C8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5748</Words>
  <Characters>32769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InternationalServiceHumanRights</dc:title>
  <dc:subject/>
  <dc:creator>Alexandra Ladwig</dc:creator>
  <cp:keywords/>
  <dc:description/>
  <cp:lastModifiedBy>BROWN Helen</cp:lastModifiedBy>
  <cp:revision>2</cp:revision>
  <cp:lastPrinted>2019-05-03T12:56:00Z</cp:lastPrinted>
  <dcterms:created xsi:type="dcterms:W3CDTF">2019-05-06T07:28:00Z</dcterms:created>
  <dcterms:modified xsi:type="dcterms:W3CDTF">2019-05-06T07:28:00Z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