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D701F" w14:textId="77777777" w:rsidR="00DF5B1D" w:rsidRPr="006E1AAF" w:rsidRDefault="00DF5B1D">
      <w:pPr>
        <w:rPr>
          <w:rFonts w:asciiTheme="minorHAnsi" w:hAnsiTheme="minorHAnsi" w:cstheme="minorHAnsi"/>
          <w:color w:val="323E4F" w:themeColor="text2" w:themeShade="BF"/>
          <w:sz w:val="24"/>
          <w:szCs w:val="24"/>
        </w:rPr>
      </w:pPr>
      <w:bookmarkStart w:id="0" w:name="_GoBack"/>
      <w:bookmarkEnd w:id="0"/>
    </w:p>
    <w:p w14:paraId="0B1C1C06" w14:textId="179F2010" w:rsidR="00937BDB" w:rsidRDefault="00937BDB">
      <w:pPr>
        <w:rPr>
          <w:rFonts w:asciiTheme="minorHAnsi" w:hAnsiTheme="minorHAnsi" w:cstheme="minorHAnsi"/>
          <w:color w:val="323E4F" w:themeColor="text2" w:themeShade="BF"/>
          <w:sz w:val="24"/>
          <w:szCs w:val="24"/>
        </w:rPr>
      </w:pPr>
    </w:p>
    <w:p w14:paraId="4E9DD742" w14:textId="6248315D" w:rsidR="00C21A02" w:rsidRDefault="00C21A02">
      <w:pPr>
        <w:rPr>
          <w:rFonts w:asciiTheme="minorHAnsi" w:hAnsiTheme="minorHAnsi" w:cstheme="minorHAnsi"/>
          <w:color w:val="323E4F" w:themeColor="text2" w:themeShade="BF"/>
          <w:sz w:val="24"/>
          <w:szCs w:val="24"/>
        </w:rPr>
      </w:pPr>
    </w:p>
    <w:p w14:paraId="6D2536A0" w14:textId="2F52FD1C" w:rsidR="00C21A02" w:rsidRPr="006E1AAF" w:rsidRDefault="00C21A02">
      <w:pPr>
        <w:rPr>
          <w:rFonts w:asciiTheme="minorHAnsi" w:hAnsiTheme="minorHAnsi" w:cstheme="minorHAnsi"/>
          <w:color w:val="323E4F" w:themeColor="text2" w:themeShade="BF"/>
          <w:sz w:val="24"/>
          <w:szCs w:val="24"/>
        </w:rPr>
      </w:pPr>
    </w:p>
    <w:p w14:paraId="506BD05F" w14:textId="0B01D66D" w:rsidR="00937BDB" w:rsidRPr="006E1AAF" w:rsidRDefault="00937BDB" w:rsidP="00937BDB">
      <w:pPr>
        <w:autoSpaceDE w:val="0"/>
        <w:autoSpaceDN w:val="0"/>
        <w:adjustRightInd w:val="0"/>
        <w:ind w:left="993" w:hanging="993"/>
        <w:jc w:val="center"/>
        <w:rPr>
          <w:rFonts w:asciiTheme="minorHAnsi" w:hAnsiTheme="minorHAnsi" w:cstheme="minorHAnsi"/>
          <w:b/>
          <w:color w:val="323E4F" w:themeColor="text2" w:themeShade="BF"/>
          <w:sz w:val="24"/>
          <w:szCs w:val="24"/>
          <w:lang w:eastAsia="en-GB"/>
        </w:rPr>
      </w:pPr>
      <w:r w:rsidRPr="006E1AAF">
        <w:rPr>
          <w:rFonts w:asciiTheme="minorHAnsi" w:hAnsiTheme="minorHAnsi" w:cstheme="minorHAnsi"/>
          <w:b/>
          <w:color w:val="323E4F" w:themeColor="text2" w:themeShade="BF"/>
          <w:sz w:val="24"/>
          <w:szCs w:val="24"/>
          <w:lang w:eastAsia="en-GB"/>
        </w:rPr>
        <w:t xml:space="preserve">Questionnaire in relation to </w:t>
      </w:r>
      <w:r w:rsidR="0099485A">
        <w:rPr>
          <w:rFonts w:asciiTheme="minorHAnsi" w:hAnsiTheme="minorHAnsi" w:cstheme="minorHAnsi"/>
          <w:b/>
          <w:color w:val="323E4F" w:themeColor="text2" w:themeShade="BF"/>
          <w:sz w:val="24"/>
          <w:szCs w:val="24"/>
          <w:lang w:eastAsia="en-GB"/>
        </w:rPr>
        <w:t xml:space="preserve">the </w:t>
      </w:r>
      <w:r w:rsidRPr="006E1AAF">
        <w:rPr>
          <w:rFonts w:asciiTheme="minorHAnsi" w:hAnsiTheme="minorHAnsi" w:cstheme="minorHAnsi"/>
          <w:b/>
          <w:color w:val="323E4F" w:themeColor="text2" w:themeShade="BF"/>
          <w:sz w:val="24"/>
          <w:szCs w:val="24"/>
          <w:lang w:eastAsia="en-GB"/>
        </w:rPr>
        <w:t>General Assembly resolution 68/268</w:t>
      </w:r>
    </w:p>
    <w:p w14:paraId="53259D35" w14:textId="77777777" w:rsidR="00937BDB" w:rsidRPr="006E1AAF" w:rsidRDefault="00937BDB" w:rsidP="00937BDB">
      <w:pPr>
        <w:jc w:val="center"/>
        <w:rPr>
          <w:rFonts w:asciiTheme="minorHAnsi" w:hAnsiTheme="minorHAnsi" w:cstheme="minorHAnsi"/>
          <w:b/>
          <w:color w:val="323E4F" w:themeColor="text2" w:themeShade="BF"/>
          <w:sz w:val="24"/>
          <w:szCs w:val="24"/>
        </w:rPr>
      </w:pPr>
    </w:p>
    <w:p w14:paraId="650CEC25" w14:textId="77777777" w:rsidR="00937BDB" w:rsidRPr="006E1AAF" w:rsidRDefault="00937BDB" w:rsidP="006E1AAF">
      <w:pPr>
        <w:spacing w:after="60"/>
        <w:jc w:val="center"/>
        <w:rPr>
          <w:rFonts w:asciiTheme="minorHAnsi" w:hAnsiTheme="minorHAnsi" w:cstheme="minorHAnsi"/>
          <w:b/>
          <w:color w:val="323E4F" w:themeColor="text2" w:themeShade="BF"/>
          <w:sz w:val="24"/>
          <w:szCs w:val="24"/>
        </w:rPr>
      </w:pPr>
      <w:r w:rsidRPr="006E1AAF">
        <w:rPr>
          <w:rFonts w:asciiTheme="minorHAnsi" w:hAnsiTheme="minorHAnsi" w:cstheme="minorHAnsi"/>
          <w:b/>
          <w:color w:val="323E4F" w:themeColor="text2" w:themeShade="BF"/>
          <w:sz w:val="24"/>
          <w:szCs w:val="24"/>
        </w:rPr>
        <w:t>Response by the Government of Finland</w:t>
      </w:r>
    </w:p>
    <w:p w14:paraId="3BCC24E1" w14:textId="77777777" w:rsidR="00937BDB" w:rsidRPr="006E1AAF" w:rsidRDefault="00937BDB" w:rsidP="00937BDB">
      <w:pPr>
        <w:jc w:val="center"/>
        <w:rPr>
          <w:rFonts w:asciiTheme="minorHAnsi" w:hAnsiTheme="minorHAnsi" w:cstheme="minorHAnsi"/>
          <w:b/>
          <w:color w:val="323E4F" w:themeColor="text2" w:themeShade="BF"/>
          <w:sz w:val="22"/>
          <w:szCs w:val="22"/>
        </w:rPr>
      </w:pPr>
      <w:r w:rsidRPr="006E1AAF">
        <w:rPr>
          <w:rFonts w:asciiTheme="minorHAnsi" w:hAnsiTheme="minorHAnsi" w:cstheme="minorHAnsi"/>
          <w:b/>
          <w:color w:val="323E4F" w:themeColor="text2" w:themeShade="BF"/>
          <w:sz w:val="22"/>
          <w:szCs w:val="22"/>
        </w:rPr>
        <w:t>30 April 2019</w:t>
      </w:r>
    </w:p>
    <w:p w14:paraId="3CFCF91F" w14:textId="3948F999" w:rsidR="00C21A02" w:rsidRPr="006E1AAF" w:rsidRDefault="00C21A02" w:rsidP="00947022">
      <w:pPr>
        <w:spacing w:before="120" w:after="120"/>
        <w:rPr>
          <w:rFonts w:asciiTheme="minorHAnsi" w:hAnsiTheme="minorHAnsi" w:cstheme="minorHAnsi"/>
          <w:color w:val="323E4F" w:themeColor="text2" w:themeShade="BF"/>
          <w:sz w:val="24"/>
          <w:szCs w:val="24"/>
        </w:rPr>
      </w:pPr>
    </w:p>
    <w:p w14:paraId="6798B128" w14:textId="00F4232C" w:rsidR="00947022" w:rsidRPr="006E1AAF" w:rsidRDefault="00614C6E" w:rsidP="006E1AAF">
      <w:pPr>
        <w:autoSpaceDE w:val="0"/>
        <w:autoSpaceDN w:val="0"/>
        <w:adjustRightInd w:val="0"/>
        <w:jc w:val="both"/>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 xml:space="preserve">The Government of </w:t>
      </w:r>
      <w:r w:rsidR="00947022" w:rsidRPr="006E1AAF">
        <w:rPr>
          <w:rFonts w:asciiTheme="minorHAnsi" w:hAnsiTheme="minorHAnsi" w:cstheme="minorHAnsi"/>
          <w:color w:val="323E4F" w:themeColor="text2" w:themeShade="BF"/>
          <w:sz w:val="24"/>
          <w:szCs w:val="24"/>
        </w:rPr>
        <w:t xml:space="preserve">Finland welcomes the invitation made by the United Nations High Commissioner for Human Rights to provide </w:t>
      </w:r>
      <w:r w:rsidRPr="006E1AAF">
        <w:rPr>
          <w:rFonts w:asciiTheme="minorHAnsi" w:hAnsiTheme="minorHAnsi" w:cstheme="minorHAnsi"/>
          <w:color w:val="323E4F" w:themeColor="text2" w:themeShade="BF"/>
          <w:sz w:val="24"/>
          <w:szCs w:val="24"/>
        </w:rPr>
        <w:t>comments on the state of the human rights treaty body system in view of the upcoming review by 9 April 2020, of the effectiveness of the measures in order to ensure their sustainability, and, on any further action to strengthen and enhance the effective functioning of the treaty body system.</w:t>
      </w:r>
      <w:r w:rsidR="00947022" w:rsidRPr="006E1AAF">
        <w:rPr>
          <w:rFonts w:asciiTheme="minorHAnsi" w:hAnsiTheme="minorHAnsi" w:cstheme="minorHAnsi"/>
          <w:color w:val="323E4F" w:themeColor="text2" w:themeShade="BF"/>
          <w:sz w:val="24"/>
          <w:szCs w:val="24"/>
        </w:rPr>
        <w:t xml:space="preserve"> </w:t>
      </w:r>
    </w:p>
    <w:p w14:paraId="67D12BBD" w14:textId="30F60E73" w:rsidR="00947022" w:rsidRPr="006E1AAF" w:rsidRDefault="00947022" w:rsidP="006E1AAF">
      <w:pPr>
        <w:autoSpaceDE w:val="0"/>
        <w:autoSpaceDN w:val="0"/>
        <w:adjustRightInd w:val="0"/>
        <w:jc w:val="both"/>
        <w:rPr>
          <w:rFonts w:asciiTheme="minorHAnsi" w:hAnsiTheme="minorHAnsi" w:cstheme="minorHAnsi"/>
          <w:color w:val="323E4F" w:themeColor="text2" w:themeShade="BF"/>
          <w:sz w:val="24"/>
          <w:szCs w:val="24"/>
        </w:rPr>
      </w:pPr>
    </w:p>
    <w:p w14:paraId="50AE9489" w14:textId="10A17607" w:rsidR="00614C6E" w:rsidRPr="006E1AAF" w:rsidRDefault="00614C6E" w:rsidP="006E1AAF">
      <w:pPr>
        <w:autoSpaceDE w:val="0"/>
        <w:autoSpaceDN w:val="0"/>
        <w:adjustRightInd w:val="0"/>
        <w:jc w:val="both"/>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 xml:space="preserve">The Government commends </w:t>
      </w:r>
      <w:r w:rsidRPr="00614C6E">
        <w:rPr>
          <w:rFonts w:asciiTheme="minorHAnsi" w:hAnsiTheme="minorHAnsi" w:cstheme="minorHAnsi"/>
          <w:color w:val="323E4F" w:themeColor="text2" w:themeShade="BF"/>
          <w:sz w:val="24"/>
          <w:szCs w:val="24"/>
        </w:rPr>
        <w:t xml:space="preserve">the Office for its long-term work in implementing the </w:t>
      </w:r>
      <w:r w:rsidRPr="006E1AAF">
        <w:rPr>
          <w:rFonts w:asciiTheme="minorHAnsi" w:hAnsiTheme="minorHAnsi" w:cstheme="minorHAnsi"/>
          <w:color w:val="323E4F" w:themeColor="text2" w:themeShade="BF"/>
          <w:sz w:val="24"/>
          <w:szCs w:val="24"/>
        </w:rPr>
        <w:t xml:space="preserve">General Assembly </w:t>
      </w:r>
      <w:r w:rsidRPr="00614C6E">
        <w:rPr>
          <w:rFonts w:asciiTheme="minorHAnsi" w:hAnsiTheme="minorHAnsi" w:cstheme="minorHAnsi"/>
          <w:color w:val="323E4F" w:themeColor="text2" w:themeShade="BF"/>
          <w:sz w:val="24"/>
          <w:szCs w:val="24"/>
        </w:rPr>
        <w:t>resolution</w:t>
      </w:r>
      <w:r w:rsidRPr="006E1AAF">
        <w:rPr>
          <w:rFonts w:asciiTheme="minorHAnsi" w:hAnsiTheme="minorHAnsi" w:cstheme="minorHAnsi"/>
          <w:color w:val="323E4F" w:themeColor="text2" w:themeShade="BF"/>
          <w:sz w:val="24"/>
          <w:szCs w:val="24"/>
        </w:rPr>
        <w:t xml:space="preserve"> 68/268</w:t>
      </w:r>
      <w:r w:rsidRPr="00614C6E">
        <w:rPr>
          <w:rFonts w:asciiTheme="minorHAnsi" w:hAnsiTheme="minorHAnsi" w:cstheme="minorHAnsi"/>
          <w:color w:val="323E4F" w:themeColor="text2" w:themeShade="BF"/>
          <w:sz w:val="24"/>
          <w:szCs w:val="24"/>
        </w:rPr>
        <w:t xml:space="preserve">, and in particular for increasing the visibility of the </w:t>
      </w:r>
      <w:r w:rsidR="00A14357">
        <w:rPr>
          <w:rFonts w:asciiTheme="minorHAnsi" w:hAnsiTheme="minorHAnsi" w:cstheme="minorHAnsi"/>
          <w:color w:val="323E4F" w:themeColor="text2" w:themeShade="BF"/>
          <w:sz w:val="24"/>
          <w:szCs w:val="24"/>
        </w:rPr>
        <w:t xml:space="preserve">treaty </w:t>
      </w:r>
      <w:r w:rsidRPr="00614C6E">
        <w:rPr>
          <w:rFonts w:asciiTheme="minorHAnsi" w:hAnsiTheme="minorHAnsi" w:cstheme="minorHAnsi"/>
          <w:color w:val="323E4F" w:themeColor="text2" w:themeShade="BF"/>
          <w:sz w:val="24"/>
          <w:szCs w:val="24"/>
        </w:rPr>
        <w:t>bodies</w:t>
      </w:r>
      <w:r w:rsidRPr="006E1AAF">
        <w:rPr>
          <w:rFonts w:asciiTheme="minorHAnsi" w:hAnsiTheme="minorHAnsi" w:cstheme="minorHAnsi"/>
          <w:color w:val="323E4F" w:themeColor="text2" w:themeShade="BF"/>
          <w:sz w:val="24"/>
          <w:szCs w:val="24"/>
        </w:rPr>
        <w:t xml:space="preserve">. </w:t>
      </w:r>
    </w:p>
    <w:p w14:paraId="02B20C25" w14:textId="03888AE3" w:rsidR="00614C6E" w:rsidRPr="006E1AAF" w:rsidRDefault="00614C6E" w:rsidP="006E1AAF">
      <w:pPr>
        <w:autoSpaceDE w:val="0"/>
        <w:autoSpaceDN w:val="0"/>
        <w:adjustRightInd w:val="0"/>
        <w:jc w:val="both"/>
        <w:rPr>
          <w:rFonts w:asciiTheme="minorHAnsi" w:hAnsiTheme="minorHAnsi" w:cstheme="minorHAnsi"/>
          <w:color w:val="323E4F" w:themeColor="text2" w:themeShade="BF"/>
          <w:sz w:val="24"/>
          <w:szCs w:val="24"/>
        </w:rPr>
      </w:pPr>
    </w:p>
    <w:p w14:paraId="73EE40C6" w14:textId="7C6E09E9" w:rsidR="00614C6E" w:rsidRPr="006E1AAF" w:rsidRDefault="00A14357" w:rsidP="006E1AAF">
      <w:pPr>
        <w:autoSpaceDE w:val="0"/>
        <w:autoSpaceDN w:val="0"/>
        <w:adjustRightInd w:val="0"/>
        <w:jc w:val="both"/>
        <w:rPr>
          <w:rFonts w:asciiTheme="minorHAnsi" w:hAnsiTheme="minorHAnsi" w:cstheme="minorHAnsi"/>
          <w:color w:val="323E4F" w:themeColor="text2" w:themeShade="BF"/>
          <w:sz w:val="24"/>
          <w:szCs w:val="24"/>
        </w:rPr>
      </w:pPr>
      <w:r>
        <w:rPr>
          <w:rFonts w:asciiTheme="minorHAnsi" w:hAnsiTheme="minorHAnsi" w:cstheme="minorHAnsi"/>
          <w:color w:val="323E4F" w:themeColor="text2" w:themeShade="BF"/>
          <w:sz w:val="24"/>
          <w:szCs w:val="24"/>
        </w:rPr>
        <w:t xml:space="preserve">In this regard, </w:t>
      </w:r>
      <w:r w:rsidR="00614C6E" w:rsidRPr="006E1AAF">
        <w:rPr>
          <w:rFonts w:asciiTheme="minorHAnsi" w:hAnsiTheme="minorHAnsi" w:cstheme="minorHAnsi"/>
          <w:color w:val="323E4F" w:themeColor="text2" w:themeShade="BF"/>
          <w:sz w:val="24"/>
          <w:szCs w:val="24"/>
        </w:rPr>
        <w:t xml:space="preserve">Finland is </w:t>
      </w:r>
      <w:r>
        <w:rPr>
          <w:rFonts w:asciiTheme="minorHAnsi" w:hAnsiTheme="minorHAnsi" w:cstheme="minorHAnsi"/>
          <w:color w:val="323E4F" w:themeColor="text2" w:themeShade="BF"/>
          <w:sz w:val="24"/>
          <w:szCs w:val="24"/>
        </w:rPr>
        <w:t xml:space="preserve">also </w:t>
      </w:r>
      <w:r w:rsidR="00614C6E" w:rsidRPr="006E1AAF">
        <w:rPr>
          <w:rFonts w:asciiTheme="minorHAnsi" w:hAnsiTheme="minorHAnsi" w:cstheme="minorHAnsi"/>
          <w:color w:val="323E4F" w:themeColor="text2" w:themeShade="BF"/>
          <w:sz w:val="24"/>
          <w:szCs w:val="24"/>
        </w:rPr>
        <w:t>pleased to be one of the main sponsors</w:t>
      </w:r>
      <w:r w:rsidR="00614C6E" w:rsidRPr="006E1AAF">
        <w:rPr>
          <w:rFonts w:asciiTheme="minorHAnsi" w:hAnsiTheme="minorHAnsi" w:cstheme="minorHAnsi"/>
          <w:color w:val="323E4F" w:themeColor="text2" w:themeShade="BF"/>
          <w:sz w:val="24"/>
          <w:szCs w:val="24"/>
          <w:vertAlign w:val="superscript"/>
        </w:rPr>
        <w:footnoteReference w:id="1"/>
      </w:r>
      <w:r w:rsidR="00614C6E" w:rsidRPr="006E1AAF">
        <w:rPr>
          <w:rFonts w:asciiTheme="minorHAnsi" w:hAnsiTheme="minorHAnsi" w:cstheme="minorHAnsi"/>
          <w:color w:val="323E4F" w:themeColor="text2" w:themeShade="BF"/>
          <w:sz w:val="24"/>
          <w:szCs w:val="24"/>
        </w:rPr>
        <w:t xml:space="preserve"> of the General Assembly resolution 73/162 on the human rights treaty body system, placing emphasis on the need for continued efforts to strengthen the monitoring system.</w:t>
      </w:r>
    </w:p>
    <w:p w14:paraId="115E3E40" w14:textId="6786D392" w:rsidR="007B450F" w:rsidRPr="006E1AAF" w:rsidRDefault="007B450F" w:rsidP="006E1AAF">
      <w:pPr>
        <w:autoSpaceDE w:val="0"/>
        <w:autoSpaceDN w:val="0"/>
        <w:adjustRightInd w:val="0"/>
        <w:jc w:val="both"/>
        <w:rPr>
          <w:rFonts w:asciiTheme="minorHAnsi" w:hAnsiTheme="minorHAnsi" w:cstheme="minorHAnsi"/>
          <w:color w:val="323E4F" w:themeColor="text2" w:themeShade="BF"/>
          <w:sz w:val="24"/>
          <w:szCs w:val="24"/>
        </w:rPr>
      </w:pPr>
    </w:p>
    <w:p w14:paraId="620178C2" w14:textId="11CED13C" w:rsidR="007B450F" w:rsidRPr="006E1AAF" w:rsidRDefault="007B450F" w:rsidP="006E1AAF">
      <w:pPr>
        <w:jc w:val="both"/>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 xml:space="preserve">Despite the implementation of the resolution 68/268 and the results in the right direction, continued efforts to strengthen and enhance the treaty body system are still urgently needed. </w:t>
      </w:r>
    </w:p>
    <w:p w14:paraId="3A6F7C54" w14:textId="77777777" w:rsidR="007B450F" w:rsidRPr="006E1AAF" w:rsidRDefault="007B450F" w:rsidP="006E1AAF">
      <w:pPr>
        <w:autoSpaceDE w:val="0"/>
        <w:autoSpaceDN w:val="0"/>
        <w:adjustRightInd w:val="0"/>
        <w:jc w:val="both"/>
        <w:rPr>
          <w:rFonts w:asciiTheme="minorHAnsi" w:hAnsiTheme="minorHAnsi" w:cstheme="minorHAnsi"/>
          <w:color w:val="323E4F" w:themeColor="text2" w:themeShade="BF"/>
          <w:sz w:val="24"/>
          <w:szCs w:val="24"/>
          <w:lang w:val="en-US"/>
        </w:rPr>
      </w:pPr>
    </w:p>
    <w:p w14:paraId="10E89067" w14:textId="77777777" w:rsidR="00C21A02" w:rsidRPr="00614C6E" w:rsidRDefault="00C21A02" w:rsidP="006E1AAF">
      <w:pPr>
        <w:autoSpaceDE w:val="0"/>
        <w:autoSpaceDN w:val="0"/>
        <w:adjustRightInd w:val="0"/>
        <w:jc w:val="both"/>
        <w:rPr>
          <w:rFonts w:asciiTheme="minorHAnsi" w:hAnsiTheme="minorHAnsi" w:cstheme="minorHAnsi"/>
          <w:color w:val="323E4F" w:themeColor="text2" w:themeShade="BF"/>
          <w:sz w:val="24"/>
          <w:szCs w:val="24"/>
        </w:rPr>
      </w:pPr>
    </w:p>
    <w:p w14:paraId="1BE4302C" w14:textId="02B3A2C9" w:rsidR="00937BDB" w:rsidRPr="006E1AAF" w:rsidRDefault="00BB52AE" w:rsidP="00BB52AE">
      <w:pPr>
        <w:shd w:val="clear" w:color="auto" w:fill="323E4F" w:themeFill="text2" w:themeFillShade="BF"/>
        <w:rPr>
          <w:rFonts w:asciiTheme="minorHAnsi" w:hAnsiTheme="minorHAnsi" w:cstheme="minorHAnsi"/>
          <w:b/>
          <w:color w:val="FFFFFF" w:themeColor="background1"/>
          <w:sz w:val="24"/>
          <w:szCs w:val="24"/>
          <w:lang w:eastAsia="en-GB"/>
        </w:rPr>
      </w:pPr>
      <w:r w:rsidRPr="006E1AAF">
        <w:rPr>
          <w:rFonts w:asciiTheme="minorHAnsi" w:hAnsiTheme="minorHAnsi" w:cstheme="minorHAnsi"/>
          <w:b/>
          <w:color w:val="FFFFFF" w:themeColor="background1"/>
          <w:sz w:val="24"/>
          <w:szCs w:val="24"/>
          <w:lang w:eastAsia="en-GB"/>
        </w:rPr>
        <w:t xml:space="preserve">A. </w:t>
      </w:r>
      <w:r w:rsidR="00937BDB" w:rsidRPr="006E1AAF">
        <w:rPr>
          <w:rFonts w:asciiTheme="minorHAnsi" w:hAnsiTheme="minorHAnsi" w:cstheme="minorHAnsi"/>
          <w:b/>
          <w:color w:val="FFFFFF" w:themeColor="background1"/>
          <w:sz w:val="24"/>
          <w:szCs w:val="24"/>
          <w:lang w:eastAsia="en-GB"/>
        </w:rPr>
        <w:t xml:space="preserve">Comments on the implementation of </w:t>
      </w:r>
      <w:r w:rsidR="0099485A">
        <w:rPr>
          <w:rFonts w:asciiTheme="minorHAnsi" w:hAnsiTheme="minorHAnsi" w:cstheme="minorHAnsi"/>
          <w:b/>
          <w:color w:val="FFFFFF" w:themeColor="background1"/>
          <w:sz w:val="24"/>
          <w:szCs w:val="24"/>
          <w:lang w:eastAsia="en-GB"/>
        </w:rPr>
        <w:t xml:space="preserve">the </w:t>
      </w:r>
      <w:r w:rsidR="00937BDB" w:rsidRPr="006E1AAF">
        <w:rPr>
          <w:rFonts w:asciiTheme="minorHAnsi" w:hAnsiTheme="minorHAnsi" w:cstheme="minorHAnsi"/>
          <w:b/>
          <w:color w:val="FFFFFF" w:themeColor="background1"/>
          <w:sz w:val="24"/>
          <w:szCs w:val="24"/>
          <w:lang w:eastAsia="en-GB"/>
        </w:rPr>
        <w:t>General Assembly resolution 68/268</w:t>
      </w:r>
    </w:p>
    <w:p w14:paraId="1C18CFB1" w14:textId="09D26999" w:rsidR="00937BDB" w:rsidRPr="006E1AAF" w:rsidRDefault="00937BDB" w:rsidP="006E1AAF">
      <w:pPr>
        <w:rPr>
          <w:rFonts w:asciiTheme="minorHAnsi" w:hAnsiTheme="minorHAnsi" w:cstheme="minorHAnsi"/>
          <w:b/>
          <w:color w:val="323E4F" w:themeColor="text2" w:themeShade="BF"/>
          <w:sz w:val="24"/>
          <w:szCs w:val="24"/>
          <w:lang w:eastAsia="en-GB"/>
        </w:rPr>
      </w:pPr>
    </w:p>
    <w:p w14:paraId="6829BD10" w14:textId="3C9977CA" w:rsidR="00C779A2" w:rsidRPr="006E1AAF" w:rsidRDefault="00C779A2" w:rsidP="006E1AAF">
      <w:pPr>
        <w:jc w:val="both"/>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As regards the implementation of the resolution 68/268, the Government of Finland would like to report of the following developments:</w:t>
      </w:r>
    </w:p>
    <w:p w14:paraId="43BA4AAF" w14:textId="4D54E659" w:rsidR="00C779A2" w:rsidRPr="006E1AAF" w:rsidRDefault="00C779A2" w:rsidP="006E1AAF">
      <w:pPr>
        <w:rPr>
          <w:rFonts w:asciiTheme="minorHAnsi" w:hAnsiTheme="minorHAnsi" w:cstheme="minorHAnsi"/>
          <w:color w:val="323E4F" w:themeColor="text2" w:themeShade="BF"/>
          <w:sz w:val="24"/>
          <w:szCs w:val="24"/>
          <w:lang w:val="en-US"/>
        </w:rPr>
      </w:pPr>
    </w:p>
    <w:p w14:paraId="7A8BAD46" w14:textId="234A7839" w:rsidR="00C779A2" w:rsidRPr="006E1AAF" w:rsidRDefault="00C779A2" w:rsidP="00C779A2">
      <w:pPr>
        <w:spacing w:after="120"/>
        <w:rPr>
          <w:rFonts w:asciiTheme="minorHAnsi" w:hAnsiTheme="minorHAnsi" w:cstheme="minorHAnsi"/>
          <w:b/>
          <w:i/>
          <w:color w:val="323E4F" w:themeColor="text2" w:themeShade="BF"/>
          <w:sz w:val="24"/>
          <w:szCs w:val="24"/>
          <w:lang w:eastAsia="en-GB"/>
        </w:rPr>
      </w:pPr>
      <w:r w:rsidRPr="006E1AAF">
        <w:rPr>
          <w:rFonts w:asciiTheme="minorHAnsi" w:hAnsiTheme="minorHAnsi" w:cstheme="minorHAnsi"/>
          <w:b/>
          <w:i/>
          <w:color w:val="323E4F" w:themeColor="text2" w:themeShade="BF"/>
          <w:sz w:val="24"/>
          <w:szCs w:val="24"/>
          <w:lang w:eastAsia="en-GB"/>
        </w:rPr>
        <w:t>Simplified reporting procedure</w:t>
      </w:r>
    </w:p>
    <w:p w14:paraId="63C9B6A1" w14:textId="2C06FDDC" w:rsidR="00693F63" w:rsidRPr="006E1AAF" w:rsidRDefault="00BB52AE" w:rsidP="006E1AAF">
      <w:pPr>
        <w:jc w:val="both"/>
        <w:rPr>
          <w:rFonts w:asciiTheme="minorHAnsi" w:hAnsiTheme="minorHAnsi" w:cstheme="minorHAnsi"/>
          <w:color w:val="323E4F" w:themeColor="text2" w:themeShade="BF"/>
          <w:sz w:val="24"/>
          <w:szCs w:val="24"/>
          <w:lang w:eastAsia="en-GB"/>
        </w:rPr>
      </w:pPr>
      <w:r w:rsidRPr="006E1AAF">
        <w:rPr>
          <w:rFonts w:asciiTheme="minorHAnsi" w:hAnsiTheme="minorHAnsi" w:cstheme="minorHAnsi"/>
          <w:color w:val="323E4F" w:themeColor="text2" w:themeShade="BF"/>
          <w:sz w:val="24"/>
          <w:szCs w:val="24"/>
          <w:lang w:eastAsia="en-GB"/>
        </w:rPr>
        <w:t>The Government of Finland has accepted</w:t>
      </w:r>
      <w:r w:rsidR="00A14357">
        <w:rPr>
          <w:rFonts w:asciiTheme="minorHAnsi" w:hAnsiTheme="minorHAnsi" w:cstheme="minorHAnsi"/>
          <w:color w:val="323E4F" w:themeColor="text2" w:themeShade="BF"/>
          <w:sz w:val="24"/>
          <w:szCs w:val="24"/>
          <w:lang w:eastAsia="en-GB"/>
        </w:rPr>
        <w:t xml:space="preserve"> the</w:t>
      </w:r>
      <w:r w:rsidRPr="006E1AAF">
        <w:rPr>
          <w:rFonts w:asciiTheme="minorHAnsi" w:hAnsiTheme="minorHAnsi" w:cstheme="minorHAnsi"/>
          <w:color w:val="323E4F" w:themeColor="text2" w:themeShade="BF"/>
          <w:sz w:val="24"/>
          <w:szCs w:val="24"/>
          <w:lang w:eastAsia="en-GB"/>
        </w:rPr>
        <w:t xml:space="preserve"> simplified reporting procedure with respect to its periodic reports to be submitted</w:t>
      </w:r>
      <w:r w:rsidR="00693F63" w:rsidRPr="006E1AAF">
        <w:rPr>
          <w:rFonts w:asciiTheme="minorHAnsi" w:hAnsiTheme="minorHAnsi" w:cstheme="minorHAnsi"/>
          <w:color w:val="323E4F" w:themeColor="text2" w:themeShade="BF"/>
          <w:sz w:val="24"/>
          <w:szCs w:val="24"/>
          <w:lang w:eastAsia="en-GB"/>
        </w:rPr>
        <w:t xml:space="preserve"> to the Human Rights Committee, the Committee on Economic, Social and Cultural Rights and the Committee against Torture</w:t>
      </w:r>
      <w:r w:rsidRPr="006E1AAF">
        <w:rPr>
          <w:rFonts w:asciiTheme="minorHAnsi" w:hAnsiTheme="minorHAnsi" w:cstheme="minorHAnsi"/>
          <w:color w:val="323E4F" w:themeColor="text2" w:themeShade="BF"/>
          <w:sz w:val="24"/>
          <w:szCs w:val="24"/>
          <w:lang w:eastAsia="en-GB"/>
        </w:rPr>
        <w:t xml:space="preserve">. So far the Government has submitted two periodic reports to the Committee against Torture under this new procedure and </w:t>
      </w:r>
      <w:r w:rsidR="00693F63" w:rsidRPr="006E1AAF">
        <w:rPr>
          <w:rFonts w:asciiTheme="minorHAnsi" w:hAnsiTheme="minorHAnsi" w:cstheme="minorHAnsi"/>
          <w:color w:val="323E4F" w:themeColor="text2" w:themeShade="BF"/>
          <w:sz w:val="24"/>
          <w:szCs w:val="24"/>
          <w:lang w:eastAsia="en-GB"/>
        </w:rPr>
        <w:t xml:space="preserve">the Committee has considered them both. </w:t>
      </w:r>
    </w:p>
    <w:p w14:paraId="4E6C7018" w14:textId="3115360B" w:rsidR="00693F63" w:rsidRPr="006E1AAF" w:rsidRDefault="00693F63" w:rsidP="006E1AAF">
      <w:pPr>
        <w:jc w:val="both"/>
        <w:rPr>
          <w:rFonts w:asciiTheme="minorHAnsi" w:hAnsiTheme="minorHAnsi" w:cstheme="minorHAnsi"/>
          <w:color w:val="323E4F" w:themeColor="text2" w:themeShade="BF"/>
          <w:sz w:val="24"/>
          <w:szCs w:val="24"/>
          <w:lang w:eastAsia="en-GB"/>
        </w:rPr>
      </w:pPr>
    </w:p>
    <w:p w14:paraId="0EDC99F1" w14:textId="77777777" w:rsidR="00693F63" w:rsidRPr="006E1AAF" w:rsidRDefault="00693F63" w:rsidP="006E1AAF">
      <w:pPr>
        <w:jc w:val="both"/>
        <w:rPr>
          <w:rFonts w:asciiTheme="minorHAnsi" w:hAnsiTheme="minorHAnsi" w:cstheme="minorHAnsi"/>
          <w:color w:val="323E4F" w:themeColor="text2" w:themeShade="BF"/>
          <w:sz w:val="24"/>
          <w:szCs w:val="24"/>
          <w:lang w:eastAsia="en-GB"/>
        </w:rPr>
      </w:pPr>
      <w:r w:rsidRPr="006E1AAF">
        <w:rPr>
          <w:rFonts w:asciiTheme="minorHAnsi" w:hAnsiTheme="minorHAnsi" w:cstheme="minorHAnsi"/>
          <w:color w:val="323E4F" w:themeColor="text2" w:themeShade="BF"/>
          <w:sz w:val="24"/>
          <w:szCs w:val="24"/>
          <w:lang w:eastAsia="en-GB"/>
        </w:rPr>
        <w:t>As regards other core human rights treaties, the Government will positively consider accepting the simplified reporting procedure when offered.</w:t>
      </w:r>
    </w:p>
    <w:p w14:paraId="15C70377" w14:textId="77777777" w:rsidR="00693F63" w:rsidRPr="006E1AAF" w:rsidRDefault="00693F63" w:rsidP="006E1AAF">
      <w:pPr>
        <w:jc w:val="both"/>
        <w:rPr>
          <w:rFonts w:asciiTheme="minorHAnsi" w:hAnsiTheme="minorHAnsi" w:cstheme="minorHAnsi"/>
          <w:color w:val="323E4F" w:themeColor="text2" w:themeShade="BF"/>
          <w:sz w:val="24"/>
          <w:szCs w:val="24"/>
          <w:lang w:eastAsia="en-GB"/>
        </w:rPr>
      </w:pPr>
    </w:p>
    <w:p w14:paraId="342B307E" w14:textId="51873C66" w:rsidR="00060EFC" w:rsidRPr="00060EFC" w:rsidRDefault="00060EFC" w:rsidP="00060EFC">
      <w:pPr>
        <w:jc w:val="both"/>
        <w:rPr>
          <w:rFonts w:asciiTheme="minorHAnsi" w:hAnsiTheme="minorHAnsi" w:cstheme="minorHAnsi"/>
          <w:color w:val="323E4F" w:themeColor="text2" w:themeShade="BF"/>
          <w:sz w:val="24"/>
          <w:szCs w:val="24"/>
          <w:lang w:eastAsia="en-GB"/>
        </w:rPr>
      </w:pPr>
      <w:r w:rsidRPr="00060EFC">
        <w:rPr>
          <w:rFonts w:asciiTheme="minorHAnsi" w:hAnsiTheme="minorHAnsi" w:cstheme="minorHAnsi"/>
          <w:color w:val="323E4F" w:themeColor="text2" w:themeShade="BF"/>
          <w:sz w:val="24"/>
          <w:szCs w:val="24"/>
          <w:lang w:eastAsia="en-GB"/>
        </w:rPr>
        <w:lastRenderedPageBreak/>
        <w:t xml:space="preserve">The Government of Finland has had many positive experiences of the simplified reporting procedure. It facilitates and speeds up the reporting process. </w:t>
      </w:r>
      <w:r>
        <w:rPr>
          <w:rFonts w:asciiTheme="minorHAnsi" w:hAnsiTheme="minorHAnsi" w:cstheme="minorHAnsi"/>
          <w:color w:val="323E4F" w:themeColor="text2" w:themeShade="BF"/>
          <w:sz w:val="24"/>
          <w:szCs w:val="24"/>
          <w:lang w:eastAsia="en-GB"/>
        </w:rPr>
        <w:t>T</w:t>
      </w:r>
      <w:r w:rsidRPr="00060EFC">
        <w:rPr>
          <w:rFonts w:asciiTheme="minorHAnsi" w:hAnsiTheme="minorHAnsi" w:cstheme="minorHAnsi"/>
          <w:color w:val="323E4F" w:themeColor="text2" w:themeShade="BF"/>
          <w:sz w:val="24"/>
          <w:szCs w:val="24"/>
          <w:lang w:eastAsia="en-GB"/>
        </w:rPr>
        <w:t xml:space="preserve">he reports submitted to the Committee against Torture were processed more rapidly after their submission than previously submitted periodic reports.  </w:t>
      </w:r>
    </w:p>
    <w:p w14:paraId="77F01F52" w14:textId="77777777" w:rsidR="00060EFC" w:rsidRPr="00060EFC" w:rsidRDefault="00060EFC" w:rsidP="00060EFC">
      <w:pPr>
        <w:jc w:val="both"/>
        <w:rPr>
          <w:rFonts w:asciiTheme="minorHAnsi" w:hAnsiTheme="minorHAnsi" w:cstheme="minorHAnsi"/>
          <w:color w:val="323E4F" w:themeColor="text2" w:themeShade="BF"/>
          <w:sz w:val="24"/>
          <w:szCs w:val="24"/>
          <w:lang w:eastAsia="en-GB"/>
        </w:rPr>
      </w:pPr>
    </w:p>
    <w:p w14:paraId="111E96A4" w14:textId="51EE8CEA" w:rsidR="00060EFC" w:rsidRDefault="00060EFC" w:rsidP="00060EFC">
      <w:pPr>
        <w:jc w:val="both"/>
        <w:rPr>
          <w:rFonts w:asciiTheme="minorHAnsi" w:hAnsiTheme="minorHAnsi" w:cstheme="minorHAnsi"/>
          <w:color w:val="323E4F" w:themeColor="text2" w:themeShade="BF"/>
          <w:sz w:val="24"/>
          <w:szCs w:val="24"/>
          <w:lang w:eastAsia="en-GB"/>
        </w:rPr>
      </w:pPr>
      <w:r w:rsidRPr="00060EFC">
        <w:rPr>
          <w:rFonts w:asciiTheme="minorHAnsi" w:hAnsiTheme="minorHAnsi" w:cstheme="minorHAnsi"/>
          <w:color w:val="323E4F" w:themeColor="text2" w:themeShade="BF"/>
          <w:sz w:val="24"/>
          <w:szCs w:val="24"/>
          <w:lang w:eastAsia="en-GB"/>
        </w:rPr>
        <w:t>Moreover, during the simplified reporting procedure, the constructive dialogue between the Government of Finland and the Committee against Torture became precisely targeted, both because of the specified questions and because the report contained more detailed information than before.</w:t>
      </w:r>
    </w:p>
    <w:p w14:paraId="3894FCFB" w14:textId="77777777" w:rsidR="00060EFC" w:rsidRPr="006E1AAF" w:rsidRDefault="00060EFC" w:rsidP="006E1AAF">
      <w:pPr>
        <w:jc w:val="both"/>
        <w:rPr>
          <w:rFonts w:asciiTheme="minorHAnsi" w:hAnsiTheme="minorHAnsi" w:cstheme="minorHAnsi"/>
          <w:color w:val="323E4F" w:themeColor="text2" w:themeShade="BF"/>
          <w:sz w:val="24"/>
          <w:szCs w:val="24"/>
          <w:lang w:eastAsia="en-GB"/>
        </w:rPr>
      </w:pPr>
    </w:p>
    <w:p w14:paraId="1BFA30B2" w14:textId="31114E80" w:rsidR="00BB52AE" w:rsidRPr="006E1AAF" w:rsidRDefault="00BB52AE" w:rsidP="006E1AAF">
      <w:pPr>
        <w:jc w:val="both"/>
        <w:rPr>
          <w:rFonts w:asciiTheme="minorHAnsi" w:hAnsiTheme="minorHAnsi" w:cstheme="minorHAnsi"/>
          <w:color w:val="323E4F" w:themeColor="text2" w:themeShade="BF"/>
          <w:sz w:val="24"/>
          <w:szCs w:val="24"/>
          <w:lang w:eastAsia="en-GB"/>
        </w:rPr>
      </w:pPr>
      <w:r w:rsidRPr="006E1AAF">
        <w:rPr>
          <w:rFonts w:asciiTheme="minorHAnsi" w:hAnsiTheme="minorHAnsi" w:cstheme="minorHAnsi"/>
          <w:color w:val="323E4F" w:themeColor="text2" w:themeShade="BF"/>
          <w:sz w:val="24"/>
          <w:szCs w:val="24"/>
          <w:lang w:eastAsia="en-GB"/>
        </w:rPr>
        <w:t xml:space="preserve">The Government welcomes the established word limits for </w:t>
      </w:r>
      <w:r w:rsidR="00060EFC">
        <w:rPr>
          <w:rFonts w:asciiTheme="minorHAnsi" w:hAnsiTheme="minorHAnsi" w:cstheme="minorHAnsi"/>
          <w:color w:val="323E4F" w:themeColor="text2" w:themeShade="BF"/>
          <w:sz w:val="24"/>
          <w:szCs w:val="24"/>
          <w:lang w:eastAsia="en-GB"/>
        </w:rPr>
        <w:t>State parties’</w:t>
      </w:r>
      <w:r w:rsidRPr="006E1AAF">
        <w:rPr>
          <w:rFonts w:asciiTheme="minorHAnsi" w:hAnsiTheme="minorHAnsi" w:cstheme="minorHAnsi"/>
          <w:color w:val="323E4F" w:themeColor="text2" w:themeShade="BF"/>
          <w:sz w:val="24"/>
          <w:szCs w:val="24"/>
          <w:lang w:eastAsia="en-GB"/>
        </w:rPr>
        <w:t xml:space="preserve"> reports. This facilitates the preparation of more concise periodic reports, and is also more cost-effective.</w:t>
      </w:r>
    </w:p>
    <w:p w14:paraId="682AD9F4" w14:textId="3259547F" w:rsidR="00BB52AE" w:rsidRPr="006E1AAF" w:rsidRDefault="00BB52AE" w:rsidP="006E1AAF">
      <w:pPr>
        <w:jc w:val="both"/>
        <w:rPr>
          <w:rFonts w:asciiTheme="minorHAnsi" w:hAnsiTheme="minorHAnsi" w:cstheme="minorHAnsi"/>
          <w:color w:val="323E4F" w:themeColor="text2" w:themeShade="BF"/>
          <w:sz w:val="24"/>
          <w:szCs w:val="24"/>
          <w:lang w:eastAsia="en-GB"/>
        </w:rPr>
      </w:pPr>
    </w:p>
    <w:p w14:paraId="2F86CC16" w14:textId="77777777" w:rsidR="00D07C34" w:rsidRPr="00FA0BFA" w:rsidRDefault="00C779A2" w:rsidP="00D07C34">
      <w:pPr>
        <w:autoSpaceDE w:val="0"/>
        <w:autoSpaceDN w:val="0"/>
        <w:adjustRightInd w:val="0"/>
        <w:spacing w:after="120"/>
        <w:rPr>
          <w:rFonts w:asciiTheme="minorHAnsi" w:hAnsiTheme="minorHAnsi" w:cstheme="minorHAnsi"/>
          <w:b/>
          <w:i/>
          <w:color w:val="323E4F" w:themeColor="text2" w:themeShade="BF"/>
          <w:sz w:val="24"/>
          <w:szCs w:val="24"/>
          <w:lang w:val="en-US"/>
        </w:rPr>
      </w:pPr>
      <w:r w:rsidRPr="00FA0BFA">
        <w:rPr>
          <w:rFonts w:asciiTheme="minorHAnsi" w:hAnsiTheme="minorHAnsi" w:cstheme="minorHAnsi"/>
          <w:b/>
          <w:i/>
          <w:color w:val="323E4F" w:themeColor="text2" w:themeShade="BF"/>
          <w:sz w:val="24"/>
          <w:szCs w:val="24"/>
          <w:lang w:val="en-US"/>
        </w:rPr>
        <w:t>Follow-up to the concluding observations</w:t>
      </w:r>
    </w:p>
    <w:p w14:paraId="7B831A45" w14:textId="66F7CBDD" w:rsidR="00D07C34" w:rsidRPr="006E1AAF" w:rsidRDefault="00D07C34" w:rsidP="006E1AAF">
      <w:pPr>
        <w:autoSpaceDE w:val="0"/>
        <w:autoSpaceDN w:val="0"/>
        <w:adjustRightInd w:val="0"/>
        <w:jc w:val="both"/>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Finland’s second National Action Plan on Fundamental and Hum</w:t>
      </w:r>
      <w:r w:rsidR="0099485A">
        <w:rPr>
          <w:rFonts w:asciiTheme="minorHAnsi" w:hAnsiTheme="minorHAnsi" w:cstheme="minorHAnsi"/>
          <w:color w:val="323E4F" w:themeColor="text2" w:themeShade="BF"/>
          <w:sz w:val="24"/>
          <w:szCs w:val="24"/>
          <w:lang w:val="en-US"/>
        </w:rPr>
        <w:t>an Rights 2017-2019 was adopted</w:t>
      </w:r>
      <w:r w:rsidRPr="006E1AAF">
        <w:rPr>
          <w:rFonts w:asciiTheme="minorHAnsi" w:hAnsiTheme="minorHAnsi" w:cstheme="minorHAnsi"/>
          <w:color w:val="323E4F" w:themeColor="text2" w:themeShade="BF"/>
          <w:sz w:val="24"/>
          <w:szCs w:val="24"/>
          <w:lang w:val="en-US"/>
        </w:rPr>
        <w:t xml:space="preserve"> on 16 February 2017. The objective of the Action Plan is to promote the constitutional obligation of the public authority to guarantee the observance of fundamental and human rights. The measures taken under the Action Plan are designed to act on identified problems with fundamental and human rights and to complement the work being carried out in various policy sectors to promote fundamental and human rights.</w:t>
      </w:r>
    </w:p>
    <w:p w14:paraId="4CC5FED0" w14:textId="77777777" w:rsidR="00D07C34" w:rsidRPr="006E1AAF" w:rsidRDefault="00D07C34" w:rsidP="006E1AAF">
      <w:pPr>
        <w:autoSpaceDE w:val="0"/>
        <w:autoSpaceDN w:val="0"/>
        <w:adjustRightInd w:val="0"/>
        <w:jc w:val="both"/>
        <w:rPr>
          <w:rFonts w:asciiTheme="minorHAnsi" w:hAnsiTheme="minorHAnsi" w:cstheme="minorHAnsi"/>
          <w:color w:val="323E4F" w:themeColor="text2" w:themeShade="BF"/>
          <w:sz w:val="24"/>
          <w:szCs w:val="24"/>
          <w:lang w:val="en-US"/>
        </w:rPr>
      </w:pPr>
    </w:p>
    <w:p w14:paraId="71BDCFCA" w14:textId="28775DED" w:rsidR="00D07C34" w:rsidRPr="006E1AAF" w:rsidRDefault="00D07C34" w:rsidP="006E1AAF">
      <w:pPr>
        <w:pStyle w:val="HTMLPreformatted"/>
        <w:shd w:val="clear" w:color="auto" w:fill="FFFFFF"/>
        <w:jc w:val="both"/>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The priorities of the Action Plan include fundamental and human rights education and training, equality, the right to self-determination and fundamental rights and digitalisation. The Action Plan includes a total of 43 projects which are spread across the administrative branches of all ministries. The recommendations of the treaty bodies have been used as the legal basis for the projects.</w:t>
      </w:r>
    </w:p>
    <w:p w14:paraId="12AE987A" w14:textId="36979F03" w:rsidR="00D07C34" w:rsidRPr="006E1AAF" w:rsidRDefault="00D07C34" w:rsidP="006E1AAF">
      <w:pPr>
        <w:autoSpaceDE w:val="0"/>
        <w:autoSpaceDN w:val="0"/>
        <w:adjustRightInd w:val="0"/>
        <w:jc w:val="both"/>
        <w:rPr>
          <w:rFonts w:asciiTheme="minorHAnsi" w:hAnsiTheme="minorHAnsi" w:cstheme="minorHAnsi"/>
          <w:color w:val="323E4F" w:themeColor="text2" w:themeShade="BF"/>
          <w:sz w:val="24"/>
          <w:szCs w:val="24"/>
          <w:lang w:val="en-US"/>
        </w:rPr>
      </w:pPr>
    </w:p>
    <w:p w14:paraId="5AB3D949" w14:textId="7CC6470D" w:rsidR="00BB52AE" w:rsidRPr="006E1AAF" w:rsidRDefault="00060EFC" w:rsidP="006E1AAF">
      <w:pPr>
        <w:pStyle w:val="HTMLPreformatted"/>
        <w:shd w:val="clear" w:color="auto" w:fill="FFFFFF"/>
        <w:jc w:val="both"/>
        <w:rPr>
          <w:rFonts w:asciiTheme="minorHAnsi" w:hAnsiTheme="minorHAnsi" w:cstheme="minorHAnsi"/>
          <w:color w:val="323E4F" w:themeColor="text2" w:themeShade="BF"/>
          <w:sz w:val="24"/>
          <w:szCs w:val="24"/>
        </w:rPr>
      </w:pPr>
      <w:r>
        <w:rPr>
          <w:rFonts w:asciiTheme="minorHAnsi" w:hAnsiTheme="minorHAnsi" w:cstheme="minorHAnsi"/>
          <w:color w:val="323E4F" w:themeColor="text2" w:themeShade="BF"/>
          <w:sz w:val="24"/>
          <w:szCs w:val="24"/>
        </w:rPr>
        <w:t>Domestically, t</w:t>
      </w:r>
      <w:r w:rsidR="00BB52AE" w:rsidRPr="006E1AAF">
        <w:rPr>
          <w:rFonts w:asciiTheme="minorHAnsi" w:hAnsiTheme="minorHAnsi" w:cstheme="minorHAnsi"/>
          <w:color w:val="323E4F" w:themeColor="text2" w:themeShade="BF"/>
          <w:sz w:val="24"/>
          <w:szCs w:val="24"/>
        </w:rPr>
        <w:t xml:space="preserve">he Network of Contact Persons for Fundamental Rights and Human Rights with representatives from all ministries provides for more systematic monitoring of the fundamental and human rights situation in Finland and expedites information flows within the ministries. The Network, </w:t>
      </w:r>
      <w:r w:rsidR="00BB52AE" w:rsidRPr="006E1AAF">
        <w:rPr>
          <w:rFonts w:asciiTheme="minorHAnsi" w:hAnsiTheme="minorHAnsi" w:cstheme="minorHAnsi"/>
          <w:i/>
          <w:color w:val="323E4F" w:themeColor="text2" w:themeShade="BF"/>
          <w:sz w:val="24"/>
          <w:szCs w:val="24"/>
        </w:rPr>
        <w:t>inter alia</w:t>
      </w:r>
      <w:r w:rsidR="00BB52AE" w:rsidRPr="006E1AAF">
        <w:rPr>
          <w:rFonts w:asciiTheme="minorHAnsi" w:hAnsiTheme="minorHAnsi" w:cstheme="minorHAnsi"/>
          <w:color w:val="323E4F" w:themeColor="text2" w:themeShade="BF"/>
          <w:sz w:val="24"/>
          <w:szCs w:val="24"/>
        </w:rPr>
        <w:t xml:space="preserve">, follows the Government's periodic reporting and </w:t>
      </w:r>
      <w:r>
        <w:rPr>
          <w:rFonts w:asciiTheme="minorHAnsi" w:hAnsiTheme="minorHAnsi" w:cstheme="minorHAnsi"/>
          <w:color w:val="323E4F" w:themeColor="text2" w:themeShade="BF"/>
          <w:sz w:val="24"/>
          <w:szCs w:val="24"/>
        </w:rPr>
        <w:t xml:space="preserve">the implementation of the concluding observations </w:t>
      </w:r>
      <w:r w:rsidR="00BB52AE" w:rsidRPr="006E1AAF">
        <w:rPr>
          <w:rFonts w:asciiTheme="minorHAnsi" w:hAnsiTheme="minorHAnsi" w:cstheme="minorHAnsi"/>
          <w:color w:val="323E4F" w:themeColor="text2" w:themeShade="BF"/>
          <w:sz w:val="24"/>
          <w:szCs w:val="24"/>
        </w:rPr>
        <w:t>within the respective ministries. Representatives of the Supreme Guardians of the Law (Chancellor of Justice and Parliamentary Ombudsman) and the Human Rights Centre</w:t>
      </w:r>
      <w:r>
        <w:rPr>
          <w:rFonts w:asciiTheme="minorHAnsi" w:hAnsiTheme="minorHAnsi" w:cstheme="minorHAnsi"/>
          <w:color w:val="323E4F" w:themeColor="text2" w:themeShade="BF"/>
          <w:sz w:val="24"/>
          <w:szCs w:val="24"/>
        </w:rPr>
        <w:t>,</w:t>
      </w:r>
      <w:r w:rsidR="00BB52AE" w:rsidRPr="006E1AAF">
        <w:rPr>
          <w:rFonts w:asciiTheme="minorHAnsi" w:hAnsiTheme="minorHAnsi" w:cstheme="minorHAnsi"/>
          <w:color w:val="323E4F" w:themeColor="text2" w:themeShade="BF"/>
          <w:sz w:val="24"/>
          <w:szCs w:val="24"/>
        </w:rPr>
        <w:t xml:space="preserve"> as part of the national human rights institut</w:t>
      </w:r>
      <w:r>
        <w:rPr>
          <w:rFonts w:asciiTheme="minorHAnsi" w:hAnsiTheme="minorHAnsi" w:cstheme="minorHAnsi"/>
          <w:color w:val="323E4F" w:themeColor="text2" w:themeShade="BF"/>
          <w:sz w:val="24"/>
          <w:szCs w:val="24"/>
        </w:rPr>
        <w:t>ion, attend the meetings of the N</w:t>
      </w:r>
      <w:r w:rsidR="00BB52AE" w:rsidRPr="006E1AAF">
        <w:rPr>
          <w:rFonts w:asciiTheme="minorHAnsi" w:hAnsiTheme="minorHAnsi" w:cstheme="minorHAnsi"/>
          <w:color w:val="323E4F" w:themeColor="text2" w:themeShade="BF"/>
          <w:sz w:val="24"/>
          <w:szCs w:val="24"/>
        </w:rPr>
        <w:t>etwork.</w:t>
      </w:r>
    </w:p>
    <w:p w14:paraId="36118D2C" w14:textId="5A619492" w:rsidR="00425137" w:rsidRPr="006E1AAF" w:rsidRDefault="00425137" w:rsidP="006E1AAF">
      <w:pPr>
        <w:pStyle w:val="HTMLPreformatted"/>
        <w:shd w:val="clear" w:color="auto" w:fill="FFFFFF"/>
        <w:jc w:val="both"/>
        <w:rPr>
          <w:rFonts w:asciiTheme="minorHAnsi" w:hAnsiTheme="minorHAnsi" w:cstheme="minorHAnsi"/>
          <w:color w:val="323E4F" w:themeColor="text2" w:themeShade="BF"/>
          <w:sz w:val="24"/>
          <w:szCs w:val="24"/>
        </w:rPr>
      </w:pPr>
    </w:p>
    <w:p w14:paraId="0A5D9A05" w14:textId="1CFFD947" w:rsidR="00425137" w:rsidRPr="006E1AAF" w:rsidRDefault="00425137" w:rsidP="006E1AAF">
      <w:pPr>
        <w:tabs>
          <w:tab w:val="left" w:pos="600"/>
          <w:tab w:val="num" w:pos="851"/>
        </w:tabs>
        <w:autoSpaceDE w:val="0"/>
        <w:autoSpaceDN w:val="0"/>
        <w:adjustRightInd w:val="0"/>
        <w:jc w:val="both"/>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A well-functioning civil society is an essential part of the infrastructure for implementing fundamental and human rights. The Government aims consistently at promoting an open dialogue with civil society. The Government encourages non-governmental organisations to contribute directly to the work of the treaty bodies.</w:t>
      </w:r>
    </w:p>
    <w:p w14:paraId="40A3A2A8" w14:textId="0D5FA5C5" w:rsidR="00BB52AE" w:rsidRDefault="00BB52AE" w:rsidP="006E1AAF">
      <w:pPr>
        <w:autoSpaceDE w:val="0"/>
        <w:autoSpaceDN w:val="0"/>
        <w:adjustRightInd w:val="0"/>
        <w:rPr>
          <w:rFonts w:asciiTheme="minorHAnsi" w:hAnsiTheme="minorHAnsi" w:cstheme="minorHAnsi"/>
          <w:color w:val="323E4F" w:themeColor="text2" w:themeShade="BF"/>
          <w:sz w:val="24"/>
          <w:szCs w:val="24"/>
        </w:rPr>
      </w:pPr>
    </w:p>
    <w:p w14:paraId="29671C7B" w14:textId="4846A312" w:rsidR="00C21A02" w:rsidRDefault="00C21A02" w:rsidP="006E1AAF">
      <w:pPr>
        <w:autoSpaceDE w:val="0"/>
        <w:autoSpaceDN w:val="0"/>
        <w:adjustRightInd w:val="0"/>
        <w:rPr>
          <w:rFonts w:asciiTheme="minorHAnsi" w:hAnsiTheme="minorHAnsi" w:cstheme="minorHAnsi"/>
          <w:color w:val="323E4F" w:themeColor="text2" w:themeShade="BF"/>
          <w:sz w:val="24"/>
          <w:szCs w:val="24"/>
        </w:rPr>
      </w:pPr>
    </w:p>
    <w:p w14:paraId="58EAB79D" w14:textId="675D567A" w:rsidR="00C21A02" w:rsidRDefault="00C21A02" w:rsidP="006E1AAF">
      <w:pPr>
        <w:autoSpaceDE w:val="0"/>
        <w:autoSpaceDN w:val="0"/>
        <w:adjustRightInd w:val="0"/>
        <w:rPr>
          <w:rFonts w:asciiTheme="minorHAnsi" w:hAnsiTheme="minorHAnsi" w:cstheme="minorHAnsi"/>
          <w:color w:val="323E4F" w:themeColor="text2" w:themeShade="BF"/>
          <w:sz w:val="24"/>
          <w:szCs w:val="24"/>
        </w:rPr>
      </w:pPr>
    </w:p>
    <w:p w14:paraId="02CB748B" w14:textId="77777777" w:rsidR="00C21A02" w:rsidRPr="006E1AAF" w:rsidRDefault="00C21A02" w:rsidP="006E1AAF">
      <w:pPr>
        <w:autoSpaceDE w:val="0"/>
        <w:autoSpaceDN w:val="0"/>
        <w:adjustRightInd w:val="0"/>
        <w:rPr>
          <w:rFonts w:asciiTheme="minorHAnsi" w:hAnsiTheme="minorHAnsi" w:cstheme="minorHAnsi"/>
          <w:color w:val="323E4F" w:themeColor="text2" w:themeShade="BF"/>
          <w:sz w:val="24"/>
          <w:szCs w:val="24"/>
        </w:rPr>
      </w:pPr>
    </w:p>
    <w:p w14:paraId="0E4BF2C5" w14:textId="5E0F7D8F" w:rsidR="00C779A2" w:rsidRPr="00FA0BFA" w:rsidRDefault="00C779A2" w:rsidP="00C779A2">
      <w:pPr>
        <w:autoSpaceDE w:val="0"/>
        <w:autoSpaceDN w:val="0"/>
        <w:adjustRightInd w:val="0"/>
        <w:spacing w:after="120"/>
        <w:rPr>
          <w:rFonts w:asciiTheme="minorHAnsi" w:hAnsiTheme="minorHAnsi" w:cstheme="minorHAnsi"/>
          <w:b/>
          <w:i/>
          <w:color w:val="323E4F" w:themeColor="text2" w:themeShade="BF"/>
          <w:sz w:val="24"/>
          <w:szCs w:val="24"/>
        </w:rPr>
      </w:pPr>
      <w:r w:rsidRPr="00FA0BFA">
        <w:rPr>
          <w:rFonts w:asciiTheme="minorHAnsi" w:hAnsiTheme="minorHAnsi" w:cstheme="minorHAnsi"/>
          <w:b/>
          <w:i/>
          <w:color w:val="323E4F" w:themeColor="text2" w:themeShade="BF"/>
          <w:sz w:val="24"/>
          <w:szCs w:val="24"/>
        </w:rPr>
        <w:t>Reprisals</w:t>
      </w:r>
    </w:p>
    <w:p w14:paraId="60A3D867" w14:textId="20360295" w:rsidR="00BB52AE" w:rsidRPr="006E1AAF" w:rsidRDefault="0099485A" w:rsidP="006E1AAF">
      <w:pPr>
        <w:tabs>
          <w:tab w:val="left" w:pos="600"/>
          <w:tab w:val="num" w:pos="851"/>
        </w:tabs>
        <w:autoSpaceDE w:val="0"/>
        <w:autoSpaceDN w:val="0"/>
        <w:adjustRightInd w:val="0"/>
        <w:jc w:val="both"/>
        <w:rPr>
          <w:rFonts w:asciiTheme="minorHAnsi" w:hAnsiTheme="minorHAnsi" w:cstheme="minorHAnsi"/>
          <w:color w:val="323E4F" w:themeColor="text2" w:themeShade="BF"/>
          <w:sz w:val="24"/>
          <w:szCs w:val="24"/>
          <w:lang w:val="en-US"/>
        </w:rPr>
      </w:pPr>
      <w:r>
        <w:rPr>
          <w:rFonts w:asciiTheme="minorHAnsi" w:hAnsiTheme="minorHAnsi" w:cstheme="minorHAnsi"/>
          <w:color w:val="323E4F" w:themeColor="text2" w:themeShade="BF"/>
          <w:sz w:val="24"/>
          <w:szCs w:val="24"/>
          <w:lang w:val="en-US"/>
        </w:rPr>
        <w:t>As regards the serious issue</w:t>
      </w:r>
      <w:r w:rsidR="00425137" w:rsidRPr="006E1AAF">
        <w:rPr>
          <w:rFonts w:asciiTheme="minorHAnsi" w:hAnsiTheme="minorHAnsi" w:cstheme="minorHAnsi"/>
          <w:color w:val="323E4F" w:themeColor="text2" w:themeShade="BF"/>
          <w:sz w:val="24"/>
          <w:szCs w:val="24"/>
          <w:lang w:val="en-US"/>
        </w:rPr>
        <w:t xml:space="preserve"> of reprisals, t</w:t>
      </w:r>
      <w:r w:rsidR="00BB52AE" w:rsidRPr="006E1AAF">
        <w:rPr>
          <w:rFonts w:asciiTheme="minorHAnsi" w:hAnsiTheme="minorHAnsi" w:cstheme="minorHAnsi"/>
          <w:color w:val="323E4F" w:themeColor="text2" w:themeShade="BF"/>
          <w:sz w:val="24"/>
          <w:szCs w:val="24"/>
          <w:lang w:val="en-US"/>
        </w:rPr>
        <w:t xml:space="preserve">he Ministry for Foreign Affairs has published Guidelines on the protection and support of human rights defenders in November 2014. The Guidelines provide practical tools for the Ministry and its </w:t>
      </w:r>
      <w:r w:rsidR="004D5100">
        <w:rPr>
          <w:rFonts w:asciiTheme="minorHAnsi" w:hAnsiTheme="minorHAnsi" w:cstheme="minorHAnsi"/>
          <w:color w:val="323E4F" w:themeColor="text2" w:themeShade="BF"/>
          <w:sz w:val="24"/>
          <w:szCs w:val="24"/>
          <w:lang w:val="en-US"/>
        </w:rPr>
        <w:t xml:space="preserve">Missions abroad </w:t>
      </w:r>
      <w:r w:rsidR="00BB52AE" w:rsidRPr="006E1AAF">
        <w:rPr>
          <w:rFonts w:asciiTheme="minorHAnsi" w:hAnsiTheme="minorHAnsi" w:cstheme="minorHAnsi"/>
          <w:color w:val="323E4F" w:themeColor="text2" w:themeShade="BF"/>
          <w:sz w:val="24"/>
          <w:szCs w:val="24"/>
          <w:lang w:val="en-US"/>
        </w:rPr>
        <w:t>to cooperate with human rights defenders. The Guidelines are based on the EU G</w:t>
      </w:r>
      <w:r w:rsidR="004D5100">
        <w:rPr>
          <w:rFonts w:asciiTheme="minorHAnsi" w:hAnsiTheme="minorHAnsi" w:cstheme="minorHAnsi"/>
          <w:color w:val="323E4F" w:themeColor="text2" w:themeShade="BF"/>
          <w:sz w:val="24"/>
          <w:szCs w:val="24"/>
          <w:lang w:val="en-US"/>
        </w:rPr>
        <w:t>uidelines on Human Rights D</w:t>
      </w:r>
      <w:r w:rsidR="00BB52AE" w:rsidRPr="006E1AAF">
        <w:rPr>
          <w:rFonts w:asciiTheme="minorHAnsi" w:hAnsiTheme="minorHAnsi" w:cstheme="minorHAnsi"/>
          <w:color w:val="323E4F" w:themeColor="text2" w:themeShade="BF"/>
          <w:sz w:val="24"/>
          <w:szCs w:val="24"/>
          <w:lang w:val="en-US"/>
        </w:rPr>
        <w:t xml:space="preserve">efenders and on the Ministry's Human Rights Strategy. </w:t>
      </w:r>
    </w:p>
    <w:p w14:paraId="08B1CB4D" w14:textId="77777777" w:rsidR="00BB52AE" w:rsidRPr="006E1AAF" w:rsidRDefault="00BB52AE" w:rsidP="006E1AAF">
      <w:pPr>
        <w:tabs>
          <w:tab w:val="left" w:pos="600"/>
          <w:tab w:val="num" w:pos="851"/>
        </w:tabs>
        <w:autoSpaceDE w:val="0"/>
        <w:autoSpaceDN w:val="0"/>
        <w:adjustRightInd w:val="0"/>
        <w:jc w:val="both"/>
        <w:rPr>
          <w:rFonts w:asciiTheme="minorHAnsi" w:hAnsiTheme="minorHAnsi" w:cstheme="minorHAnsi"/>
          <w:color w:val="323E4F" w:themeColor="text2" w:themeShade="BF"/>
          <w:sz w:val="24"/>
          <w:szCs w:val="24"/>
        </w:rPr>
      </w:pPr>
    </w:p>
    <w:p w14:paraId="27D10152" w14:textId="77777777" w:rsidR="00BB52AE" w:rsidRPr="006E1AAF" w:rsidRDefault="00BB52AE" w:rsidP="006E1AAF">
      <w:pPr>
        <w:tabs>
          <w:tab w:val="left" w:pos="600"/>
          <w:tab w:val="num" w:pos="851"/>
        </w:tabs>
        <w:autoSpaceDE w:val="0"/>
        <w:autoSpaceDN w:val="0"/>
        <w:adjustRightInd w:val="0"/>
        <w:jc w:val="both"/>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 xml:space="preserve">The most important objective of the Guidelines is to encourage all actors within the Ministry all over the world to support human rights defenders and to engage in an active dialogue with them. The Guidelines refer, </w:t>
      </w:r>
      <w:r w:rsidRPr="006E1AAF">
        <w:rPr>
          <w:rFonts w:asciiTheme="minorHAnsi" w:hAnsiTheme="minorHAnsi" w:cstheme="minorHAnsi"/>
          <w:i/>
          <w:color w:val="323E4F" w:themeColor="text2" w:themeShade="BF"/>
          <w:sz w:val="24"/>
          <w:szCs w:val="24"/>
          <w:lang w:val="en-US"/>
        </w:rPr>
        <w:t>inter alia</w:t>
      </w:r>
      <w:r w:rsidRPr="006E1AAF">
        <w:rPr>
          <w:rFonts w:asciiTheme="minorHAnsi" w:hAnsiTheme="minorHAnsi" w:cstheme="minorHAnsi"/>
          <w:color w:val="323E4F" w:themeColor="text2" w:themeShade="BF"/>
          <w:sz w:val="24"/>
          <w:szCs w:val="24"/>
          <w:lang w:val="en-US"/>
        </w:rPr>
        <w:t>, to the access and participation of human rights defenders in international organisations, including their interaction with the treaty bodies that monitor the implementation of the UN’s human rights treaties.</w:t>
      </w:r>
    </w:p>
    <w:p w14:paraId="182C710C" w14:textId="5B434CF6" w:rsidR="00BB52AE" w:rsidRPr="006E1AAF" w:rsidRDefault="00BB52AE" w:rsidP="006E1AAF">
      <w:pPr>
        <w:tabs>
          <w:tab w:val="left" w:pos="600"/>
          <w:tab w:val="num" w:pos="851"/>
        </w:tabs>
        <w:autoSpaceDE w:val="0"/>
        <w:autoSpaceDN w:val="0"/>
        <w:adjustRightInd w:val="0"/>
        <w:jc w:val="both"/>
        <w:rPr>
          <w:rFonts w:asciiTheme="minorHAnsi" w:hAnsiTheme="minorHAnsi" w:cstheme="minorHAnsi"/>
          <w:color w:val="323E4F" w:themeColor="text2" w:themeShade="BF"/>
          <w:sz w:val="24"/>
          <w:szCs w:val="24"/>
        </w:rPr>
      </w:pPr>
    </w:p>
    <w:p w14:paraId="67FBED07" w14:textId="77777777" w:rsidR="00425137" w:rsidRPr="006E1AAF" w:rsidRDefault="00425137" w:rsidP="006E1AAF">
      <w:pPr>
        <w:tabs>
          <w:tab w:val="left" w:pos="600"/>
          <w:tab w:val="num" w:pos="851"/>
        </w:tabs>
        <w:autoSpaceDE w:val="0"/>
        <w:autoSpaceDN w:val="0"/>
        <w:adjustRightInd w:val="0"/>
        <w:jc w:val="both"/>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 xml:space="preserve">The Ministry actively promotes the use of the Guidelines. The Ministry commissioned an independent evaluation of the implementation of the Guidelines in 2017. A study on human rights defenders' work, </w:t>
      </w:r>
      <w:r w:rsidRPr="004D5100">
        <w:rPr>
          <w:rFonts w:asciiTheme="minorHAnsi" w:hAnsiTheme="minorHAnsi" w:cstheme="minorHAnsi"/>
          <w:i/>
          <w:color w:val="323E4F" w:themeColor="text2" w:themeShade="BF"/>
          <w:sz w:val="24"/>
          <w:szCs w:val="24"/>
          <w:lang w:val="en-US"/>
        </w:rPr>
        <w:t>Human rights defenders are facing increasing intimidation</w:t>
      </w:r>
      <w:r w:rsidRPr="006E1AAF">
        <w:rPr>
          <w:rFonts w:asciiTheme="minorHAnsi" w:hAnsiTheme="minorHAnsi" w:cstheme="minorHAnsi"/>
          <w:color w:val="323E4F" w:themeColor="text2" w:themeShade="BF"/>
          <w:sz w:val="24"/>
          <w:szCs w:val="24"/>
          <w:lang w:val="en-US"/>
        </w:rPr>
        <w:t xml:space="preserve"> - </w:t>
      </w:r>
      <w:r w:rsidRPr="006E1AAF">
        <w:rPr>
          <w:rFonts w:asciiTheme="minorHAnsi" w:hAnsiTheme="minorHAnsi" w:cstheme="minorHAnsi"/>
          <w:i/>
          <w:color w:val="323E4F" w:themeColor="text2" w:themeShade="BF"/>
          <w:sz w:val="24"/>
          <w:szCs w:val="24"/>
          <w:lang w:val="en-US"/>
        </w:rPr>
        <w:t>How should Finland's support for human rights defenders be developed?</w:t>
      </w:r>
      <w:r w:rsidRPr="006E1AAF">
        <w:rPr>
          <w:rFonts w:asciiTheme="minorHAnsi" w:hAnsiTheme="minorHAnsi" w:cstheme="minorHAnsi"/>
          <w:color w:val="323E4F" w:themeColor="text2" w:themeShade="BF"/>
          <w:sz w:val="24"/>
          <w:szCs w:val="24"/>
          <w:lang w:val="en-US"/>
        </w:rPr>
        <w:t xml:space="preserve">, published in November 2017, provides conclusions and recommendations to further enhance the protection of human rights defenders. </w:t>
      </w:r>
    </w:p>
    <w:p w14:paraId="39A0169C" w14:textId="77777777" w:rsidR="00FE2ABB" w:rsidRPr="006E1AAF" w:rsidRDefault="00FE2ABB" w:rsidP="006E1AAF">
      <w:pPr>
        <w:tabs>
          <w:tab w:val="left" w:pos="600"/>
          <w:tab w:val="num" w:pos="851"/>
        </w:tabs>
        <w:autoSpaceDE w:val="0"/>
        <w:autoSpaceDN w:val="0"/>
        <w:adjustRightInd w:val="0"/>
        <w:jc w:val="both"/>
        <w:rPr>
          <w:rFonts w:asciiTheme="minorHAnsi" w:hAnsiTheme="minorHAnsi" w:cstheme="minorHAnsi"/>
          <w:color w:val="323E4F" w:themeColor="text2" w:themeShade="BF"/>
          <w:sz w:val="24"/>
          <w:szCs w:val="24"/>
          <w:lang w:val="en-US"/>
        </w:rPr>
      </w:pPr>
    </w:p>
    <w:p w14:paraId="19625890" w14:textId="1FA5E071" w:rsidR="00BB52AE" w:rsidRPr="006E1AAF" w:rsidRDefault="00BB52AE" w:rsidP="006E1AAF">
      <w:pPr>
        <w:tabs>
          <w:tab w:val="left" w:pos="600"/>
          <w:tab w:val="num" w:pos="851"/>
        </w:tabs>
        <w:autoSpaceDE w:val="0"/>
        <w:autoSpaceDN w:val="0"/>
        <w:adjustRightInd w:val="0"/>
        <w:jc w:val="both"/>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The Government welcomes the adoption of the Guidelines against Intimidation or Reprisals, so called “San José Guidelines”.</w:t>
      </w:r>
    </w:p>
    <w:p w14:paraId="27F71985" w14:textId="204793CA" w:rsidR="00425137" w:rsidRPr="006E1AAF" w:rsidRDefault="00425137" w:rsidP="00C03D26">
      <w:pPr>
        <w:tabs>
          <w:tab w:val="left" w:pos="600"/>
          <w:tab w:val="num" w:pos="851"/>
        </w:tabs>
        <w:autoSpaceDE w:val="0"/>
        <w:autoSpaceDN w:val="0"/>
        <w:adjustRightInd w:val="0"/>
        <w:jc w:val="both"/>
        <w:rPr>
          <w:rFonts w:asciiTheme="minorHAnsi" w:hAnsiTheme="minorHAnsi" w:cstheme="minorHAnsi"/>
          <w:i/>
          <w:color w:val="323E4F" w:themeColor="text2" w:themeShade="BF"/>
          <w:sz w:val="24"/>
          <w:szCs w:val="24"/>
        </w:rPr>
      </w:pPr>
    </w:p>
    <w:p w14:paraId="44EA9426" w14:textId="77777777" w:rsidR="00C779A2" w:rsidRPr="006E1AAF" w:rsidRDefault="00C779A2" w:rsidP="00C779A2">
      <w:pPr>
        <w:spacing w:after="120"/>
        <w:rPr>
          <w:rFonts w:asciiTheme="minorHAnsi" w:hAnsiTheme="minorHAnsi" w:cstheme="minorHAnsi"/>
          <w:b/>
          <w:i/>
          <w:color w:val="323E4F" w:themeColor="text2" w:themeShade="BF"/>
          <w:sz w:val="24"/>
          <w:szCs w:val="24"/>
          <w:lang w:eastAsia="en-GB"/>
        </w:rPr>
      </w:pPr>
      <w:r w:rsidRPr="006E1AAF">
        <w:rPr>
          <w:rFonts w:asciiTheme="minorHAnsi" w:hAnsiTheme="minorHAnsi" w:cstheme="minorHAnsi"/>
          <w:b/>
          <w:i/>
          <w:color w:val="323E4F" w:themeColor="text2" w:themeShade="BF"/>
          <w:sz w:val="24"/>
          <w:szCs w:val="24"/>
          <w:lang w:eastAsia="en-GB"/>
        </w:rPr>
        <w:t>Technical cooperation</w:t>
      </w:r>
    </w:p>
    <w:p w14:paraId="76424EAB" w14:textId="3FE279D0" w:rsidR="00C779A2" w:rsidRPr="006E1AAF" w:rsidRDefault="00060EFC" w:rsidP="006E1AAF">
      <w:pPr>
        <w:autoSpaceDE w:val="0"/>
        <w:autoSpaceDN w:val="0"/>
        <w:adjustRightInd w:val="0"/>
        <w:jc w:val="both"/>
        <w:rPr>
          <w:rFonts w:asciiTheme="minorHAnsi" w:hAnsiTheme="minorHAnsi" w:cstheme="minorHAnsi"/>
          <w:color w:val="323E4F" w:themeColor="text2" w:themeShade="BF"/>
          <w:sz w:val="24"/>
          <w:szCs w:val="24"/>
          <w:lang w:val="en-US"/>
        </w:rPr>
      </w:pPr>
      <w:r>
        <w:rPr>
          <w:rFonts w:asciiTheme="minorHAnsi" w:hAnsiTheme="minorHAnsi" w:cstheme="minorHAnsi"/>
          <w:color w:val="323E4F" w:themeColor="text2" w:themeShade="BF"/>
          <w:sz w:val="24"/>
          <w:szCs w:val="24"/>
          <w:lang w:val="en-US"/>
        </w:rPr>
        <w:t>In its resolution, t</w:t>
      </w:r>
      <w:r w:rsidR="00C779A2" w:rsidRPr="006E1AAF">
        <w:rPr>
          <w:rFonts w:asciiTheme="minorHAnsi" w:hAnsiTheme="minorHAnsi" w:cstheme="minorHAnsi"/>
          <w:color w:val="323E4F" w:themeColor="text2" w:themeShade="BF"/>
          <w:sz w:val="24"/>
          <w:szCs w:val="24"/>
          <w:lang w:val="en-US"/>
        </w:rPr>
        <w:t xml:space="preserve">he General Assembly encouraged all Member States to contribute to the United Nations Voluntary Fund for Technical Cooperation in the Field of Human Rights. The Government of Finland </w:t>
      </w:r>
      <w:r>
        <w:rPr>
          <w:rFonts w:asciiTheme="minorHAnsi" w:hAnsiTheme="minorHAnsi" w:cstheme="minorHAnsi"/>
          <w:color w:val="323E4F" w:themeColor="text2" w:themeShade="BF"/>
          <w:sz w:val="24"/>
          <w:szCs w:val="24"/>
          <w:lang w:val="en-US"/>
        </w:rPr>
        <w:t xml:space="preserve">will make a </w:t>
      </w:r>
      <w:r w:rsidR="00C779A2" w:rsidRPr="006E1AAF">
        <w:rPr>
          <w:rFonts w:asciiTheme="minorHAnsi" w:hAnsiTheme="minorHAnsi" w:cstheme="minorHAnsi"/>
          <w:color w:val="323E4F" w:themeColor="text2" w:themeShade="BF"/>
          <w:sz w:val="24"/>
          <w:szCs w:val="24"/>
          <w:lang w:val="en-US"/>
        </w:rPr>
        <w:t>non-earmarked contribution</w:t>
      </w:r>
      <w:r>
        <w:rPr>
          <w:rFonts w:asciiTheme="minorHAnsi" w:hAnsiTheme="minorHAnsi" w:cstheme="minorHAnsi"/>
          <w:color w:val="323E4F" w:themeColor="text2" w:themeShade="BF"/>
          <w:sz w:val="24"/>
          <w:szCs w:val="24"/>
          <w:lang w:val="en-US"/>
        </w:rPr>
        <w:t xml:space="preserve"> of EUR 800 000</w:t>
      </w:r>
      <w:r w:rsidR="00C779A2" w:rsidRPr="006E1AAF">
        <w:rPr>
          <w:rFonts w:asciiTheme="minorHAnsi" w:hAnsiTheme="minorHAnsi" w:cstheme="minorHAnsi"/>
          <w:color w:val="323E4F" w:themeColor="text2" w:themeShade="BF"/>
          <w:sz w:val="24"/>
          <w:szCs w:val="24"/>
          <w:lang w:val="en-US"/>
        </w:rPr>
        <w:t xml:space="preserve"> to the Voluntary Fund</w:t>
      </w:r>
      <w:r>
        <w:rPr>
          <w:rFonts w:asciiTheme="minorHAnsi" w:hAnsiTheme="minorHAnsi" w:cstheme="minorHAnsi"/>
          <w:color w:val="323E4F" w:themeColor="text2" w:themeShade="BF"/>
          <w:sz w:val="24"/>
          <w:szCs w:val="24"/>
          <w:lang w:val="en-US"/>
        </w:rPr>
        <w:t xml:space="preserve"> i</w:t>
      </w:r>
      <w:r w:rsidR="00C779A2" w:rsidRPr="006E1AAF">
        <w:rPr>
          <w:rFonts w:asciiTheme="minorHAnsi" w:hAnsiTheme="minorHAnsi" w:cstheme="minorHAnsi"/>
          <w:color w:val="323E4F" w:themeColor="text2" w:themeShade="BF"/>
          <w:sz w:val="24"/>
          <w:szCs w:val="24"/>
          <w:lang w:val="en-US"/>
        </w:rPr>
        <w:t xml:space="preserve">n 2019. </w:t>
      </w:r>
    </w:p>
    <w:p w14:paraId="76B2F9D5" w14:textId="77777777" w:rsidR="00C779A2" w:rsidRPr="006E1AAF" w:rsidRDefault="00C779A2" w:rsidP="006E1AAF">
      <w:pPr>
        <w:tabs>
          <w:tab w:val="left" w:pos="600"/>
          <w:tab w:val="num" w:pos="851"/>
        </w:tabs>
        <w:autoSpaceDE w:val="0"/>
        <w:autoSpaceDN w:val="0"/>
        <w:adjustRightInd w:val="0"/>
        <w:jc w:val="both"/>
        <w:rPr>
          <w:rFonts w:asciiTheme="minorHAnsi" w:hAnsiTheme="minorHAnsi" w:cstheme="minorHAnsi"/>
          <w:i/>
          <w:color w:val="323E4F" w:themeColor="text2" w:themeShade="BF"/>
          <w:sz w:val="24"/>
          <w:szCs w:val="24"/>
        </w:rPr>
      </w:pPr>
    </w:p>
    <w:p w14:paraId="01A69024" w14:textId="77777777" w:rsidR="00937BDB" w:rsidRPr="006E1AAF" w:rsidRDefault="00937BDB" w:rsidP="006E1AAF">
      <w:pPr>
        <w:rPr>
          <w:rFonts w:asciiTheme="minorHAnsi" w:hAnsiTheme="minorHAnsi" w:cstheme="minorHAnsi"/>
          <w:b/>
          <w:color w:val="323E4F" w:themeColor="text2" w:themeShade="BF"/>
          <w:sz w:val="24"/>
          <w:szCs w:val="24"/>
          <w:lang w:eastAsia="en-GB"/>
        </w:rPr>
      </w:pPr>
    </w:p>
    <w:p w14:paraId="6DF45E36" w14:textId="77777777" w:rsidR="00937BDB" w:rsidRPr="006E1AAF" w:rsidRDefault="00BB52AE" w:rsidP="00BB52AE">
      <w:pPr>
        <w:shd w:val="clear" w:color="auto" w:fill="323E4F" w:themeFill="text2" w:themeFillShade="BF"/>
        <w:rPr>
          <w:rFonts w:asciiTheme="minorHAnsi" w:hAnsiTheme="minorHAnsi" w:cstheme="minorHAnsi"/>
          <w:b/>
          <w:color w:val="FFFFFF" w:themeColor="background1"/>
          <w:sz w:val="24"/>
          <w:szCs w:val="24"/>
          <w:lang w:eastAsia="en-GB"/>
        </w:rPr>
      </w:pPr>
      <w:r w:rsidRPr="006E1AAF">
        <w:rPr>
          <w:rFonts w:asciiTheme="minorHAnsi" w:hAnsiTheme="minorHAnsi" w:cstheme="minorHAnsi"/>
          <w:b/>
          <w:color w:val="FFFFFF" w:themeColor="background1"/>
          <w:sz w:val="24"/>
          <w:szCs w:val="24"/>
          <w:lang w:eastAsia="en-GB"/>
        </w:rPr>
        <w:t xml:space="preserve">B. </w:t>
      </w:r>
      <w:r w:rsidR="00937BDB" w:rsidRPr="006E1AAF">
        <w:rPr>
          <w:rFonts w:asciiTheme="minorHAnsi" w:hAnsiTheme="minorHAnsi" w:cstheme="minorHAnsi"/>
          <w:b/>
          <w:color w:val="FFFFFF" w:themeColor="background1"/>
          <w:sz w:val="24"/>
          <w:szCs w:val="24"/>
          <w:lang w:eastAsia="en-GB"/>
        </w:rPr>
        <w:t xml:space="preserve">Comments on the state of the human rights treaty body system </w:t>
      </w:r>
    </w:p>
    <w:p w14:paraId="52CF331B" w14:textId="77777777" w:rsidR="00937BDB" w:rsidRPr="006E1AAF" w:rsidRDefault="00937BDB" w:rsidP="00C03D26">
      <w:pPr>
        <w:rPr>
          <w:rFonts w:asciiTheme="minorHAnsi" w:hAnsiTheme="minorHAnsi" w:cstheme="minorHAnsi"/>
          <w:color w:val="323E4F" w:themeColor="text2" w:themeShade="BF"/>
          <w:sz w:val="24"/>
          <w:szCs w:val="24"/>
        </w:rPr>
      </w:pPr>
    </w:p>
    <w:p w14:paraId="71E870FE" w14:textId="77777777" w:rsidR="00947022" w:rsidRPr="006E1AAF" w:rsidRDefault="00D35A25" w:rsidP="00C03D26">
      <w:pPr>
        <w:spacing w:after="120"/>
        <w:rPr>
          <w:rFonts w:asciiTheme="minorHAnsi" w:hAnsiTheme="minorHAnsi" w:cstheme="minorHAnsi"/>
          <w:b/>
          <w:i/>
          <w:color w:val="323E4F" w:themeColor="text2" w:themeShade="BF"/>
          <w:sz w:val="24"/>
          <w:szCs w:val="24"/>
        </w:rPr>
      </w:pPr>
      <w:r w:rsidRPr="006E1AAF">
        <w:rPr>
          <w:rFonts w:asciiTheme="minorHAnsi" w:hAnsiTheme="minorHAnsi" w:cstheme="minorHAnsi"/>
          <w:b/>
          <w:i/>
          <w:color w:val="323E4F" w:themeColor="text2" w:themeShade="BF"/>
          <w:sz w:val="24"/>
          <w:szCs w:val="24"/>
        </w:rPr>
        <w:t>Strengthening process</w:t>
      </w:r>
    </w:p>
    <w:p w14:paraId="56231960" w14:textId="6C25EAA1" w:rsidR="006E1AAF" w:rsidRPr="006E1AAF" w:rsidRDefault="00EA653D" w:rsidP="006E1AAF">
      <w:pPr>
        <w:autoSpaceDE w:val="0"/>
        <w:autoSpaceDN w:val="0"/>
        <w:adjustRightInd w:val="0"/>
        <w:jc w:val="both"/>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The overall aim of the strengthening process should be to achieve better implementation of human rights obligations</w:t>
      </w:r>
      <w:r w:rsidR="004344EE" w:rsidRPr="006E1AAF">
        <w:rPr>
          <w:rFonts w:asciiTheme="minorHAnsi" w:hAnsiTheme="minorHAnsi" w:cstheme="minorHAnsi"/>
          <w:color w:val="323E4F" w:themeColor="text2" w:themeShade="BF"/>
          <w:sz w:val="24"/>
          <w:szCs w:val="24"/>
        </w:rPr>
        <w:t xml:space="preserve"> by duty-bearers and the full enjoyment of all human rights by rights-holders.</w:t>
      </w:r>
      <w:r w:rsidR="00D43E35" w:rsidRPr="006E1AAF">
        <w:rPr>
          <w:rFonts w:asciiTheme="minorHAnsi" w:hAnsiTheme="minorHAnsi" w:cstheme="minorHAnsi"/>
          <w:color w:val="323E4F" w:themeColor="text2" w:themeShade="BF"/>
          <w:sz w:val="24"/>
          <w:szCs w:val="24"/>
        </w:rPr>
        <w:t xml:space="preserve"> The opportunity of the 2020 review must be availed to enhance the effectiveness and independence of </w:t>
      </w:r>
      <w:r w:rsidR="004D5100">
        <w:rPr>
          <w:rFonts w:asciiTheme="minorHAnsi" w:hAnsiTheme="minorHAnsi" w:cstheme="minorHAnsi"/>
          <w:color w:val="323E4F" w:themeColor="text2" w:themeShade="BF"/>
          <w:sz w:val="24"/>
          <w:szCs w:val="24"/>
        </w:rPr>
        <w:t xml:space="preserve">the </w:t>
      </w:r>
      <w:r w:rsidR="00D43E35" w:rsidRPr="006E1AAF">
        <w:rPr>
          <w:rFonts w:asciiTheme="minorHAnsi" w:hAnsiTheme="minorHAnsi" w:cstheme="minorHAnsi"/>
          <w:color w:val="323E4F" w:themeColor="text2" w:themeShade="BF"/>
          <w:sz w:val="24"/>
          <w:szCs w:val="24"/>
        </w:rPr>
        <w:t>treaty bodies.</w:t>
      </w:r>
      <w:r w:rsidR="00941F7A" w:rsidRPr="006E1AAF">
        <w:rPr>
          <w:rFonts w:asciiTheme="minorHAnsi" w:hAnsiTheme="minorHAnsi" w:cstheme="minorHAnsi"/>
          <w:color w:val="323E4F" w:themeColor="text2" w:themeShade="BF"/>
          <w:sz w:val="24"/>
          <w:szCs w:val="24"/>
        </w:rPr>
        <w:t xml:space="preserve"> The perspectives and needs of rights</w:t>
      </w:r>
      <w:r w:rsidR="007D6F17" w:rsidRPr="006E1AAF">
        <w:rPr>
          <w:rFonts w:asciiTheme="minorHAnsi" w:hAnsiTheme="minorHAnsi" w:cstheme="minorHAnsi"/>
          <w:color w:val="323E4F" w:themeColor="text2" w:themeShade="BF"/>
          <w:sz w:val="24"/>
          <w:szCs w:val="24"/>
        </w:rPr>
        <w:t>-</w:t>
      </w:r>
      <w:r w:rsidR="00941F7A" w:rsidRPr="006E1AAF">
        <w:rPr>
          <w:rFonts w:asciiTheme="minorHAnsi" w:hAnsiTheme="minorHAnsi" w:cstheme="minorHAnsi"/>
          <w:color w:val="323E4F" w:themeColor="text2" w:themeShade="BF"/>
          <w:sz w:val="24"/>
          <w:szCs w:val="24"/>
        </w:rPr>
        <w:t xml:space="preserve">holders and victims of human rights violations </w:t>
      </w:r>
      <w:r w:rsidR="00F0563B" w:rsidRPr="006E1AAF">
        <w:rPr>
          <w:rFonts w:asciiTheme="minorHAnsi" w:hAnsiTheme="minorHAnsi" w:cstheme="minorHAnsi"/>
          <w:color w:val="323E4F" w:themeColor="text2" w:themeShade="BF"/>
          <w:sz w:val="24"/>
          <w:szCs w:val="24"/>
        </w:rPr>
        <w:t>are</w:t>
      </w:r>
      <w:r w:rsidR="007D6F17" w:rsidRPr="006E1AAF">
        <w:rPr>
          <w:rFonts w:asciiTheme="minorHAnsi" w:hAnsiTheme="minorHAnsi" w:cstheme="minorHAnsi"/>
          <w:color w:val="323E4F" w:themeColor="text2" w:themeShade="BF"/>
          <w:sz w:val="24"/>
          <w:szCs w:val="24"/>
        </w:rPr>
        <w:t xml:space="preserve"> critical t</w:t>
      </w:r>
      <w:r w:rsidR="00F0563B" w:rsidRPr="006E1AAF">
        <w:rPr>
          <w:rFonts w:asciiTheme="minorHAnsi" w:hAnsiTheme="minorHAnsi" w:cstheme="minorHAnsi"/>
          <w:color w:val="323E4F" w:themeColor="text2" w:themeShade="BF"/>
          <w:sz w:val="24"/>
          <w:szCs w:val="24"/>
        </w:rPr>
        <w:t>o the effective functioning of t</w:t>
      </w:r>
      <w:r w:rsidR="007D6F17" w:rsidRPr="006E1AAF">
        <w:rPr>
          <w:rFonts w:asciiTheme="minorHAnsi" w:hAnsiTheme="minorHAnsi" w:cstheme="minorHAnsi"/>
          <w:color w:val="323E4F" w:themeColor="text2" w:themeShade="BF"/>
          <w:sz w:val="24"/>
          <w:szCs w:val="24"/>
        </w:rPr>
        <w:t>reaty</w:t>
      </w:r>
      <w:r w:rsidR="00F0563B" w:rsidRPr="006E1AAF">
        <w:rPr>
          <w:rFonts w:asciiTheme="minorHAnsi" w:hAnsiTheme="minorHAnsi" w:cstheme="minorHAnsi"/>
          <w:color w:val="323E4F" w:themeColor="text2" w:themeShade="BF"/>
          <w:sz w:val="24"/>
          <w:szCs w:val="24"/>
        </w:rPr>
        <w:t xml:space="preserve"> b</w:t>
      </w:r>
      <w:r w:rsidR="007D6F17" w:rsidRPr="006E1AAF">
        <w:rPr>
          <w:rFonts w:asciiTheme="minorHAnsi" w:hAnsiTheme="minorHAnsi" w:cstheme="minorHAnsi"/>
          <w:color w:val="323E4F" w:themeColor="text2" w:themeShade="BF"/>
          <w:sz w:val="24"/>
          <w:szCs w:val="24"/>
        </w:rPr>
        <w:t>odies.</w:t>
      </w:r>
      <w:r w:rsidR="006E1AAF">
        <w:rPr>
          <w:rFonts w:asciiTheme="minorHAnsi" w:hAnsiTheme="minorHAnsi" w:cstheme="minorHAnsi"/>
          <w:color w:val="323E4F" w:themeColor="text2" w:themeShade="BF"/>
          <w:sz w:val="24"/>
          <w:szCs w:val="24"/>
        </w:rPr>
        <w:t xml:space="preserve"> </w:t>
      </w:r>
    </w:p>
    <w:p w14:paraId="0C853221" w14:textId="77777777" w:rsidR="00F0563B" w:rsidRPr="006E1AAF" w:rsidRDefault="00F0563B" w:rsidP="006E1AAF">
      <w:pPr>
        <w:autoSpaceDE w:val="0"/>
        <w:autoSpaceDN w:val="0"/>
        <w:adjustRightInd w:val="0"/>
        <w:jc w:val="both"/>
        <w:rPr>
          <w:rFonts w:asciiTheme="minorHAnsi" w:hAnsiTheme="minorHAnsi" w:cstheme="minorHAnsi"/>
          <w:color w:val="323E4F" w:themeColor="text2" w:themeShade="BF"/>
          <w:sz w:val="24"/>
          <w:szCs w:val="24"/>
        </w:rPr>
      </w:pPr>
    </w:p>
    <w:p w14:paraId="275666DF" w14:textId="7C25001B" w:rsidR="001143B0" w:rsidRPr="006E1AAF" w:rsidRDefault="001143B0" w:rsidP="006E1AAF">
      <w:pPr>
        <w:autoSpaceDE w:val="0"/>
        <w:autoSpaceDN w:val="0"/>
        <w:adjustRightInd w:val="0"/>
        <w:jc w:val="both"/>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 xml:space="preserve">The review of the strengthening process should be an inclusive and transparent procedure open to all stakeholders. In addition to the views of the States parties, it is essential to consult and get a genuine input from the treaty bodies, civil society organisations, national human rights </w:t>
      </w:r>
      <w:r w:rsidRPr="006E1AAF">
        <w:rPr>
          <w:rFonts w:asciiTheme="minorHAnsi" w:hAnsiTheme="minorHAnsi" w:cstheme="minorHAnsi"/>
          <w:color w:val="323E4F" w:themeColor="text2" w:themeShade="BF"/>
          <w:sz w:val="24"/>
          <w:szCs w:val="24"/>
        </w:rPr>
        <w:lastRenderedPageBreak/>
        <w:t>institutions and academia.</w:t>
      </w:r>
      <w:r w:rsidR="004D5100">
        <w:rPr>
          <w:rFonts w:asciiTheme="minorHAnsi" w:hAnsiTheme="minorHAnsi" w:cstheme="minorHAnsi"/>
          <w:color w:val="323E4F" w:themeColor="text2" w:themeShade="BF"/>
          <w:sz w:val="24"/>
          <w:szCs w:val="24"/>
        </w:rPr>
        <w:t xml:space="preserve"> The actual review of the strengthening process would benefit from </w:t>
      </w:r>
      <w:r w:rsidR="003A76B3" w:rsidRPr="006E1AAF">
        <w:rPr>
          <w:rFonts w:asciiTheme="minorHAnsi" w:hAnsiTheme="minorHAnsi" w:cstheme="minorHAnsi"/>
          <w:color w:val="323E4F" w:themeColor="text2" w:themeShade="BF"/>
          <w:sz w:val="24"/>
          <w:szCs w:val="24"/>
        </w:rPr>
        <w:t xml:space="preserve">a </w:t>
      </w:r>
      <w:r w:rsidR="004D5100">
        <w:rPr>
          <w:rFonts w:asciiTheme="minorHAnsi" w:hAnsiTheme="minorHAnsi" w:cstheme="minorHAnsi"/>
          <w:color w:val="323E4F" w:themeColor="text2" w:themeShade="BF"/>
          <w:sz w:val="24"/>
          <w:szCs w:val="24"/>
        </w:rPr>
        <w:t xml:space="preserve">so-called </w:t>
      </w:r>
      <w:r w:rsidR="003A76B3" w:rsidRPr="006E1AAF">
        <w:rPr>
          <w:rFonts w:asciiTheme="minorHAnsi" w:hAnsiTheme="minorHAnsi" w:cstheme="minorHAnsi"/>
          <w:color w:val="323E4F" w:themeColor="text2" w:themeShade="BF"/>
          <w:sz w:val="24"/>
          <w:szCs w:val="24"/>
        </w:rPr>
        <w:t>stakehold</w:t>
      </w:r>
      <w:r w:rsidR="004D5100">
        <w:rPr>
          <w:rFonts w:asciiTheme="minorHAnsi" w:hAnsiTheme="minorHAnsi" w:cstheme="minorHAnsi"/>
          <w:color w:val="323E4F" w:themeColor="text2" w:themeShade="BF"/>
          <w:sz w:val="24"/>
          <w:szCs w:val="24"/>
        </w:rPr>
        <w:t>er segment.</w:t>
      </w:r>
    </w:p>
    <w:p w14:paraId="50C17B94" w14:textId="77777777" w:rsidR="006E1AAF" w:rsidRPr="006E1AAF" w:rsidRDefault="006E1AAF" w:rsidP="006E1AAF">
      <w:pPr>
        <w:rPr>
          <w:rFonts w:asciiTheme="minorHAnsi" w:hAnsiTheme="minorHAnsi" w:cstheme="minorHAnsi"/>
          <w:color w:val="323E4F" w:themeColor="text2" w:themeShade="BF"/>
          <w:sz w:val="24"/>
          <w:szCs w:val="24"/>
        </w:rPr>
      </w:pPr>
    </w:p>
    <w:p w14:paraId="1AFF777F" w14:textId="4D5FA93A" w:rsidR="001143B0" w:rsidRPr="006E1AAF" w:rsidRDefault="004D5100" w:rsidP="00EA653D">
      <w:pPr>
        <w:spacing w:after="120"/>
        <w:rPr>
          <w:rFonts w:asciiTheme="minorHAnsi" w:hAnsiTheme="minorHAnsi" w:cstheme="minorHAnsi"/>
          <w:b/>
          <w:i/>
          <w:color w:val="323E4F" w:themeColor="text2" w:themeShade="BF"/>
          <w:sz w:val="24"/>
          <w:szCs w:val="24"/>
        </w:rPr>
      </w:pPr>
      <w:r>
        <w:rPr>
          <w:rFonts w:asciiTheme="minorHAnsi" w:hAnsiTheme="minorHAnsi" w:cstheme="minorHAnsi"/>
          <w:b/>
          <w:i/>
          <w:color w:val="323E4F" w:themeColor="text2" w:themeShade="BF"/>
          <w:sz w:val="24"/>
          <w:szCs w:val="24"/>
        </w:rPr>
        <w:t>Harmonis</w:t>
      </w:r>
      <w:r w:rsidR="001143B0" w:rsidRPr="006E1AAF">
        <w:rPr>
          <w:rFonts w:asciiTheme="minorHAnsi" w:hAnsiTheme="minorHAnsi" w:cstheme="minorHAnsi"/>
          <w:b/>
          <w:i/>
          <w:color w:val="323E4F" w:themeColor="text2" w:themeShade="BF"/>
          <w:sz w:val="24"/>
          <w:szCs w:val="24"/>
        </w:rPr>
        <w:t>ation of working methods and coordination</w:t>
      </w:r>
    </w:p>
    <w:p w14:paraId="000A3924" w14:textId="7F2214D7" w:rsidR="003A2F1E" w:rsidRPr="006E1AAF" w:rsidRDefault="007B450F" w:rsidP="006E1AAF">
      <w:pPr>
        <w:pStyle w:val="HTMLPreformatted"/>
        <w:shd w:val="clear" w:color="auto" w:fill="FFFFFF"/>
        <w:jc w:val="both"/>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Finland</w:t>
      </w:r>
      <w:r w:rsidR="00084BEA" w:rsidRPr="006E1AAF">
        <w:rPr>
          <w:rFonts w:asciiTheme="minorHAnsi" w:hAnsiTheme="minorHAnsi" w:cstheme="minorHAnsi"/>
          <w:color w:val="323E4F" w:themeColor="text2" w:themeShade="BF"/>
          <w:sz w:val="24"/>
          <w:szCs w:val="24"/>
        </w:rPr>
        <w:t xml:space="preserve"> encourages all</w:t>
      </w:r>
      <w:r w:rsidR="001143B0" w:rsidRPr="006E1AAF">
        <w:rPr>
          <w:rFonts w:asciiTheme="minorHAnsi" w:hAnsiTheme="minorHAnsi" w:cstheme="minorHAnsi"/>
          <w:color w:val="323E4F" w:themeColor="text2" w:themeShade="BF"/>
          <w:sz w:val="24"/>
          <w:szCs w:val="24"/>
        </w:rPr>
        <w:t xml:space="preserve"> treaty bodies to </w:t>
      </w:r>
      <w:r w:rsidR="00084BEA" w:rsidRPr="006E1AAF">
        <w:rPr>
          <w:rFonts w:asciiTheme="minorHAnsi" w:hAnsiTheme="minorHAnsi" w:cstheme="minorHAnsi"/>
          <w:color w:val="323E4F" w:themeColor="text2" w:themeShade="BF"/>
          <w:sz w:val="24"/>
          <w:szCs w:val="24"/>
        </w:rPr>
        <w:t xml:space="preserve">continue </w:t>
      </w:r>
      <w:r w:rsidR="001143B0" w:rsidRPr="006E1AAF">
        <w:rPr>
          <w:rFonts w:asciiTheme="minorHAnsi" w:hAnsiTheme="minorHAnsi" w:cstheme="minorHAnsi"/>
          <w:color w:val="323E4F" w:themeColor="text2" w:themeShade="BF"/>
          <w:sz w:val="24"/>
          <w:szCs w:val="24"/>
        </w:rPr>
        <w:t>reform</w:t>
      </w:r>
      <w:r w:rsidR="00084BEA" w:rsidRPr="006E1AAF">
        <w:rPr>
          <w:rFonts w:asciiTheme="minorHAnsi" w:hAnsiTheme="minorHAnsi" w:cstheme="minorHAnsi"/>
          <w:color w:val="323E4F" w:themeColor="text2" w:themeShade="BF"/>
          <w:sz w:val="24"/>
          <w:szCs w:val="24"/>
        </w:rPr>
        <w:t>ing</w:t>
      </w:r>
      <w:r w:rsidR="001143B0" w:rsidRPr="006E1AAF">
        <w:rPr>
          <w:rFonts w:asciiTheme="minorHAnsi" w:hAnsiTheme="minorHAnsi" w:cstheme="minorHAnsi"/>
          <w:color w:val="323E4F" w:themeColor="text2" w:themeShade="BF"/>
          <w:sz w:val="24"/>
          <w:szCs w:val="24"/>
        </w:rPr>
        <w:t xml:space="preserve"> their practic</w:t>
      </w:r>
      <w:r w:rsidR="00084BEA" w:rsidRPr="006E1AAF">
        <w:rPr>
          <w:rFonts w:asciiTheme="minorHAnsi" w:hAnsiTheme="minorHAnsi" w:cstheme="minorHAnsi"/>
          <w:color w:val="323E4F" w:themeColor="text2" w:themeShade="BF"/>
          <w:sz w:val="24"/>
          <w:szCs w:val="24"/>
        </w:rPr>
        <w:t>es internally</w:t>
      </w:r>
      <w:r w:rsidR="001143B0" w:rsidRPr="006E1AAF">
        <w:rPr>
          <w:rFonts w:asciiTheme="minorHAnsi" w:hAnsiTheme="minorHAnsi" w:cstheme="minorHAnsi"/>
          <w:color w:val="323E4F" w:themeColor="text2" w:themeShade="BF"/>
          <w:sz w:val="24"/>
          <w:szCs w:val="24"/>
        </w:rPr>
        <w:t xml:space="preserve">. </w:t>
      </w:r>
      <w:r w:rsidR="00084BEA" w:rsidRPr="006E1AAF">
        <w:rPr>
          <w:rFonts w:asciiTheme="minorHAnsi" w:hAnsiTheme="minorHAnsi" w:cstheme="minorHAnsi"/>
          <w:color w:val="323E4F" w:themeColor="text2" w:themeShade="BF"/>
          <w:sz w:val="24"/>
          <w:szCs w:val="24"/>
        </w:rPr>
        <w:t>The Government</w:t>
      </w:r>
      <w:r w:rsidR="004D5100">
        <w:rPr>
          <w:rFonts w:asciiTheme="minorHAnsi" w:hAnsiTheme="minorHAnsi" w:cstheme="minorHAnsi"/>
          <w:color w:val="323E4F" w:themeColor="text2" w:themeShade="BF"/>
          <w:sz w:val="24"/>
          <w:szCs w:val="24"/>
        </w:rPr>
        <w:t xml:space="preserve"> emphasis</w:t>
      </w:r>
      <w:r w:rsidR="00084BEA" w:rsidRPr="006E1AAF">
        <w:rPr>
          <w:rFonts w:asciiTheme="minorHAnsi" w:hAnsiTheme="minorHAnsi" w:cstheme="minorHAnsi"/>
          <w:color w:val="323E4F" w:themeColor="text2" w:themeShade="BF"/>
          <w:sz w:val="24"/>
          <w:szCs w:val="24"/>
        </w:rPr>
        <w:t>es that the treaty bodies have competence to develop their working methods within the framework of their</w:t>
      </w:r>
      <w:r w:rsidR="004D5100">
        <w:rPr>
          <w:rFonts w:asciiTheme="minorHAnsi" w:hAnsiTheme="minorHAnsi" w:cstheme="minorHAnsi"/>
          <w:color w:val="323E4F" w:themeColor="text2" w:themeShade="BF"/>
          <w:sz w:val="24"/>
          <w:szCs w:val="24"/>
        </w:rPr>
        <w:t xml:space="preserve"> respective mandates</w:t>
      </w:r>
      <w:r w:rsidR="00084BEA" w:rsidRPr="006E1AAF">
        <w:rPr>
          <w:rFonts w:asciiTheme="minorHAnsi" w:hAnsiTheme="minorHAnsi" w:cstheme="minorHAnsi"/>
          <w:color w:val="323E4F" w:themeColor="text2" w:themeShade="BF"/>
          <w:sz w:val="24"/>
          <w:szCs w:val="24"/>
        </w:rPr>
        <w:t xml:space="preserve">. In recent years, the most significant and successful changes have </w:t>
      </w:r>
      <w:r w:rsidR="00CD5E65" w:rsidRPr="006E1AAF">
        <w:rPr>
          <w:rFonts w:asciiTheme="minorHAnsi" w:hAnsiTheme="minorHAnsi" w:cstheme="minorHAnsi"/>
          <w:color w:val="323E4F" w:themeColor="text2" w:themeShade="BF"/>
          <w:sz w:val="24"/>
          <w:szCs w:val="24"/>
        </w:rPr>
        <w:t xml:space="preserve">been initiated by </w:t>
      </w:r>
      <w:r w:rsidR="00084BEA" w:rsidRPr="006E1AAF">
        <w:rPr>
          <w:rFonts w:asciiTheme="minorHAnsi" w:hAnsiTheme="minorHAnsi" w:cstheme="minorHAnsi"/>
          <w:color w:val="323E4F" w:themeColor="text2" w:themeShade="BF"/>
          <w:sz w:val="24"/>
          <w:szCs w:val="24"/>
        </w:rPr>
        <w:t>the Committees</w:t>
      </w:r>
      <w:r w:rsidR="00CD5E65" w:rsidRPr="006E1AAF">
        <w:rPr>
          <w:rFonts w:asciiTheme="minorHAnsi" w:hAnsiTheme="minorHAnsi" w:cstheme="minorHAnsi"/>
          <w:color w:val="323E4F" w:themeColor="text2" w:themeShade="BF"/>
          <w:sz w:val="24"/>
          <w:szCs w:val="24"/>
        </w:rPr>
        <w:t xml:space="preserve"> themselves</w:t>
      </w:r>
      <w:r w:rsidR="00084BEA" w:rsidRPr="006E1AAF">
        <w:rPr>
          <w:rFonts w:asciiTheme="minorHAnsi" w:hAnsiTheme="minorHAnsi" w:cstheme="minorHAnsi"/>
          <w:color w:val="323E4F" w:themeColor="text2" w:themeShade="BF"/>
          <w:sz w:val="24"/>
          <w:szCs w:val="24"/>
        </w:rPr>
        <w:t>.</w:t>
      </w:r>
      <w:r w:rsidR="00CD5E65" w:rsidRPr="006E1AAF">
        <w:rPr>
          <w:rFonts w:asciiTheme="minorHAnsi" w:hAnsiTheme="minorHAnsi" w:cstheme="minorHAnsi"/>
          <w:color w:val="323E4F" w:themeColor="text2" w:themeShade="BF"/>
          <w:sz w:val="24"/>
          <w:szCs w:val="24"/>
        </w:rPr>
        <w:t xml:space="preserve"> </w:t>
      </w:r>
      <w:r w:rsidRPr="006E1AAF">
        <w:rPr>
          <w:rFonts w:asciiTheme="minorHAnsi" w:hAnsiTheme="minorHAnsi" w:cstheme="minorHAnsi"/>
          <w:color w:val="323E4F" w:themeColor="text2" w:themeShade="BF"/>
          <w:sz w:val="24"/>
          <w:szCs w:val="24"/>
        </w:rPr>
        <w:t>Therefore, i</w:t>
      </w:r>
      <w:r w:rsidRPr="006E1AAF">
        <w:rPr>
          <w:rFonts w:asciiTheme="minorHAnsi" w:hAnsiTheme="minorHAnsi" w:cstheme="minorHAnsi"/>
          <w:color w:val="323E4F" w:themeColor="text2" w:themeShade="BF"/>
          <w:sz w:val="24"/>
          <w:szCs w:val="24"/>
          <w:lang w:val="en-GB"/>
        </w:rPr>
        <w:t xml:space="preserve">t is of utmost importance that the Committees </w:t>
      </w:r>
      <w:r w:rsidR="004D5100">
        <w:rPr>
          <w:rFonts w:asciiTheme="minorHAnsi" w:hAnsiTheme="minorHAnsi" w:cstheme="minorHAnsi"/>
          <w:color w:val="323E4F" w:themeColor="text2" w:themeShade="BF"/>
          <w:sz w:val="24"/>
          <w:szCs w:val="24"/>
          <w:lang w:val="en-GB"/>
        </w:rPr>
        <w:t>continue to decide their own R</w:t>
      </w:r>
      <w:r w:rsidRPr="006E1AAF">
        <w:rPr>
          <w:rFonts w:asciiTheme="minorHAnsi" w:hAnsiTheme="minorHAnsi" w:cstheme="minorHAnsi"/>
          <w:color w:val="323E4F" w:themeColor="text2" w:themeShade="BF"/>
          <w:sz w:val="24"/>
          <w:szCs w:val="24"/>
          <w:lang w:val="en-GB"/>
        </w:rPr>
        <w:t xml:space="preserve">ules of </w:t>
      </w:r>
      <w:r w:rsidR="004D5100">
        <w:rPr>
          <w:rFonts w:asciiTheme="minorHAnsi" w:hAnsiTheme="minorHAnsi" w:cstheme="minorHAnsi"/>
          <w:color w:val="323E4F" w:themeColor="text2" w:themeShade="BF"/>
          <w:sz w:val="24"/>
          <w:szCs w:val="24"/>
          <w:lang w:val="en-GB"/>
        </w:rPr>
        <w:t>P</w:t>
      </w:r>
      <w:r w:rsidRPr="006E1AAF">
        <w:rPr>
          <w:rFonts w:asciiTheme="minorHAnsi" w:hAnsiTheme="minorHAnsi" w:cstheme="minorHAnsi"/>
          <w:color w:val="323E4F" w:themeColor="text2" w:themeShade="BF"/>
          <w:sz w:val="24"/>
          <w:szCs w:val="24"/>
          <w:lang w:val="en-GB"/>
        </w:rPr>
        <w:t>rocedure and working methods</w:t>
      </w:r>
      <w:r w:rsidR="0099485A">
        <w:rPr>
          <w:rFonts w:asciiTheme="minorHAnsi" w:hAnsiTheme="minorHAnsi" w:cstheme="minorHAnsi"/>
          <w:color w:val="323E4F" w:themeColor="text2" w:themeShade="BF"/>
          <w:sz w:val="24"/>
          <w:szCs w:val="24"/>
          <w:lang w:val="en-GB"/>
        </w:rPr>
        <w:t>, naturally coordinating with each other</w:t>
      </w:r>
      <w:r w:rsidR="008A749C" w:rsidRPr="006E1AAF">
        <w:rPr>
          <w:rFonts w:asciiTheme="minorHAnsi" w:hAnsiTheme="minorHAnsi" w:cstheme="minorHAnsi"/>
          <w:color w:val="323E4F" w:themeColor="text2" w:themeShade="BF"/>
          <w:sz w:val="24"/>
          <w:szCs w:val="24"/>
        </w:rPr>
        <w:t>. The Committees’</w:t>
      </w:r>
      <w:r w:rsidRPr="006E1AAF">
        <w:rPr>
          <w:rFonts w:asciiTheme="minorHAnsi" w:hAnsiTheme="minorHAnsi" w:cstheme="minorHAnsi"/>
          <w:color w:val="323E4F" w:themeColor="text2" w:themeShade="BF"/>
          <w:sz w:val="24"/>
          <w:szCs w:val="24"/>
          <w:lang w:val="en-GB"/>
        </w:rPr>
        <w:t xml:space="preserve"> capacity to pursue initiatives to further harmoni</w:t>
      </w:r>
      <w:r w:rsidR="004D5100">
        <w:rPr>
          <w:rFonts w:asciiTheme="minorHAnsi" w:hAnsiTheme="minorHAnsi" w:cstheme="minorHAnsi"/>
          <w:color w:val="323E4F" w:themeColor="text2" w:themeShade="BF"/>
          <w:sz w:val="24"/>
          <w:szCs w:val="24"/>
          <w:lang w:val="en-GB"/>
        </w:rPr>
        <w:t>s</w:t>
      </w:r>
      <w:r w:rsidRPr="006E1AAF">
        <w:rPr>
          <w:rFonts w:asciiTheme="minorHAnsi" w:hAnsiTheme="minorHAnsi" w:cstheme="minorHAnsi"/>
          <w:color w:val="323E4F" w:themeColor="text2" w:themeShade="BF"/>
          <w:sz w:val="24"/>
          <w:szCs w:val="24"/>
          <w:lang w:val="en-GB"/>
        </w:rPr>
        <w:t xml:space="preserve">e their working methods and make the monitoring system more effective must be strengthened. </w:t>
      </w:r>
      <w:r w:rsidR="003A2F1E" w:rsidRPr="006E1AAF">
        <w:rPr>
          <w:rFonts w:asciiTheme="minorHAnsi" w:hAnsiTheme="minorHAnsi" w:cstheme="minorHAnsi"/>
          <w:color w:val="323E4F" w:themeColor="text2" w:themeShade="BF"/>
          <w:sz w:val="24"/>
          <w:szCs w:val="24"/>
          <w:lang w:val="en-GB"/>
        </w:rPr>
        <w:t>Regarding</w:t>
      </w:r>
      <w:r w:rsidR="004D5100">
        <w:rPr>
          <w:rFonts w:asciiTheme="minorHAnsi" w:hAnsiTheme="minorHAnsi" w:cstheme="minorHAnsi"/>
          <w:color w:val="323E4F" w:themeColor="text2" w:themeShade="BF"/>
          <w:sz w:val="24"/>
          <w:szCs w:val="24"/>
          <w:lang w:val="en-GB"/>
        </w:rPr>
        <w:t xml:space="preserve"> the harmonis</w:t>
      </w:r>
      <w:r w:rsidR="003A2F1E" w:rsidRPr="006E1AAF">
        <w:rPr>
          <w:rFonts w:asciiTheme="minorHAnsi" w:hAnsiTheme="minorHAnsi" w:cstheme="minorHAnsi"/>
          <w:color w:val="323E4F" w:themeColor="text2" w:themeShade="BF"/>
          <w:sz w:val="24"/>
          <w:szCs w:val="24"/>
          <w:lang w:val="en-GB"/>
        </w:rPr>
        <w:t>ation of working methods, it is essential that the Committees share their good practices and engage in regular dialogue.</w:t>
      </w:r>
    </w:p>
    <w:p w14:paraId="79D250B8" w14:textId="146F999C" w:rsidR="007B450F" w:rsidRPr="006E1AAF" w:rsidRDefault="007B450F" w:rsidP="006E1AAF">
      <w:pPr>
        <w:autoSpaceDE w:val="0"/>
        <w:autoSpaceDN w:val="0"/>
        <w:adjustRightInd w:val="0"/>
        <w:jc w:val="both"/>
        <w:rPr>
          <w:rFonts w:asciiTheme="minorHAnsi" w:hAnsiTheme="minorHAnsi" w:cstheme="minorHAnsi"/>
          <w:color w:val="323E4F" w:themeColor="text2" w:themeShade="BF"/>
          <w:sz w:val="24"/>
          <w:szCs w:val="24"/>
        </w:rPr>
      </w:pPr>
    </w:p>
    <w:p w14:paraId="0D5B4435" w14:textId="1A6EEB3B" w:rsidR="00C043A9" w:rsidRPr="006E1AAF" w:rsidRDefault="00C043A9" w:rsidP="006E1AAF">
      <w:pPr>
        <w:jc w:val="both"/>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Finland is</w:t>
      </w:r>
      <w:r w:rsidR="007B450F" w:rsidRPr="006E1AAF">
        <w:rPr>
          <w:rFonts w:asciiTheme="minorHAnsi" w:hAnsiTheme="minorHAnsi" w:cstheme="minorHAnsi"/>
          <w:color w:val="323E4F" w:themeColor="text2" w:themeShade="BF"/>
          <w:sz w:val="24"/>
          <w:szCs w:val="24"/>
        </w:rPr>
        <w:t xml:space="preserve"> proud to be</w:t>
      </w:r>
      <w:r w:rsidRPr="006E1AAF">
        <w:rPr>
          <w:rFonts w:asciiTheme="minorHAnsi" w:hAnsiTheme="minorHAnsi" w:cstheme="minorHAnsi"/>
          <w:color w:val="323E4F" w:themeColor="text2" w:themeShade="BF"/>
          <w:sz w:val="24"/>
          <w:szCs w:val="24"/>
        </w:rPr>
        <w:t xml:space="preserve"> the first </w:t>
      </w:r>
      <w:r w:rsidR="00E211B4" w:rsidRPr="006E1AAF">
        <w:rPr>
          <w:rFonts w:asciiTheme="minorHAnsi" w:hAnsiTheme="minorHAnsi" w:cstheme="minorHAnsi"/>
          <w:color w:val="323E4F" w:themeColor="text2" w:themeShade="BF"/>
          <w:sz w:val="24"/>
          <w:szCs w:val="24"/>
        </w:rPr>
        <w:t>State party which has received</w:t>
      </w:r>
      <w:r w:rsidRPr="006E1AAF">
        <w:rPr>
          <w:rFonts w:asciiTheme="minorHAnsi" w:hAnsiTheme="minorHAnsi" w:cstheme="minorHAnsi"/>
          <w:color w:val="323E4F" w:themeColor="text2" w:themeShade="BF"/>
          <w:sz w:val="24"/>
          <w:szCs w:val="24"/>
        </w:rPr>
        <w:t xml:space="preserve"> list</w:t>
      </w:r>
      <w:r w:rsidR="00E211B4" w:rsidRPr="006E1AAF">
        <w:rPr>
          <w:rFonts w:asciiTheme="minorHAnsi" w:hAnsiTheme="minorHAnsi" w:cstheme="minorHAnsi"/>
          <w:color w:val="323E4F" w:themeColor="text2" w:themeShade="BF"/>
          <w:sz w:val="24"/>
          <w:szCs w:val="24"/>
        </w:rPr>
        <w:t>s of issues prior to reporting coordinated by</w:t>
      </w:r>
      <w:r w:rsidR="007B450F" w:rsidRPr="006E1AAF">
        <w:rPr>
          <w:rFonts w:asciiTheme="minorHAnsi" w:hAnsiTheme="minorHAnsi" w:cstheme="minorHAnsi"/>
          <w:color w:val="323E4F" w:themeColor="text2" w:themeShade="BF"/>
          <w:sz w:val="24"/>
          <w:szCs w:val="24"/>
        </w:rPr>
        <w:t xml:space="preserve"> two Committees, namely</w:t>
      </w:r>
      <w:r w:rsidR="00E211B4" w:rsidRPr="006E1AAF">
        <w:rPr>
          <w:rFonts w:asciiTheme="minorHAnsi" w:hAnsiTheme="minorHAnsi" w:cstheme="minorHAnsi"/>
          <w:color w:val="323E4F" w:themeColor="text2" w:themeShade="BF"/>
          <w:sz w:val="24"/>
          <w:szCs w:val="24"/>
        </w:rPr>
        <w:t xml:space="preserve"> the Human Rights Committee and the </w:t>
      </w:r>
      <w:r w:rsidRPr="006E1AAF">
        <w:rPr>
          <w:rFonts w:asciiTheme="minorHAnsi" w:hAnsiTheme="minorHAnsi" w:cstheme="minorHAnsi"/>
          <w:color w:val="323E4F" w:themeColor="text2" w:themeShade="BF"/>
          <w:sz w:val="24"/>
          <w:szCs w:val="24"/>
        </w:rPr>
        <w:t>Committee</w:t>
      </w:r>
      <w:r w:rsidR="00E211B4" w:rsidRPr="006E1AAF">
        <w:rPr>
          <w:rFonts w:asciiTheme="minorHAnsi" w:hAnsiTheme="minorHAnsi" w:cstheme="minorHAnsi"/>
          <w:color w:val="323E4F" w:themeColor="text2" w:themeShade="BF"/>
          <w:sz w:val="24"/>
          <w:szCs w:val="24"/>
        </w:rPr>
        <w:t xml:space="preserve"> on Economic, Social and Cultural Rights</w:t>
      </w:r>
      <w:r w:rsidR="007B450F" w:rsidRPr="006E1AAF">
        <w:rPr>
          <w:rFonts w:asciiTheme="minorHAnsi" w:hAnsiTheme="minorHAnsi" w:cstheme="minorHAnsi"/>
          <w:color w:val="323E4F" w:themeColor="text2" w:themeShade="BF"/>
          <w:sz w:val="24"/>
          <w:szCs w:val="24"/>
        </w:rPr>
        <w:t>, in April 2019</w:t>
      </w:r>
      <w:r w:rsidRPr="006E1AAF">
        <w:rPr>
          <w:rFonts w:asciiTheme="minorHAnsi" w:hAnsiTheme="minorHAnsi" w:cstheme="minorHAnsi"/>
          <w:color w:val="323E4F" w:themeColor="text2" w:themeShade="BF"/>
          <w:sz w:val="24"/>
          <w:szCs w:val="24"/>
        </w:rPr>
        <w:t>.</w:t>
      </w:r>
      <w:r w:rsidR="00E211B4" w:rsidRPr="006E1AAF">
        <w:rPr>
          <w:rFonts w:asciiTheme="minorHAnsi" w:hAnsiTheme="minorHAnsi" w:cstheme="minorHAnsi"/>
          <w:color w:val="323E4F" w:themeColor="text2" w:themeShade="BF"/>
          <w:sz w:val="24"/>
          <w:szCs w:val="24"/>
        </w:rPr>
        <w:t xml:space="preserve"> These lists display the benefits of co-ordination: they cover many topical human rights issues and avoid unnecessary repetition.</w:t>
      </w:r>
      <w:r w:rsidR="00CD5E65" w:rsidRPr="006E1AAF">
        <w:rPr>
          <w:rFonts w:asciiTheme="minorHAnsi" w:hAnsiTheme="minorHAnsi" w:cstheme="minorHAnsi"/>
          <w:color w:val="323E4F" w:themeColor="text2" w:themeShade="BF"/>
          <w:sz w:val="24"/>
          <w:szCs w:val="24"/>
        </w:rPr>
        <w:t xml:space="preserve"> </w:t>
      </w:r>
      <w:r w:rsidR="00FC043D" w:rsidRPr="006E1AAF">
        <w:rPr>
          <w:rFonts w:asciiTheme="minorHAnsi" w:hAnsiTheme="minorHAnsi" w:cstheme="minorHAnsi"/>
          <w:color w:val="323E4F" w:themeColor="text2" w:themeShade="BF"/>
          <w:sz w:val="24"/>
          <w:szCs w:val="24"/>
        </w:rPr>
        <w:t>T</w:t>
      </w:r>
      <w:r w:rsidR="00035381" w:rsidRPr="006E1AAF">
        <w:rPr>
          <w:rFonts w:asciiTheme="minorHAnsi" w:hAnsiTheme="minorHAnsi" w:cstheme="minorHAnsi"/>
          <w:color w:val="323E4F" w:themeColor="text2" w:themeShade="BF"/>
          <w:sz w:val="24"/>
          <w:szCs w:val="24"/>
        </w:rPr>
        <w:t>he G</w:t>
      </w:r>
      <w:r w:rsidR="00FC043D" w:rsidRPr="006E1AAF">
        <w:rPr>
          <w:rFonts w:asciiTheme="minorHAnsi" w:hAnsiTheme="minorHAnsi" w:cstheme="minorHAnsi"/>
          <w:color w:val="323E4F" w:themeColor="text2" w:themeShade="BF"/>
          <w:sz w:val="24"/>
          <w:szCs w:val="24"/>
        </w:rPr>
        <w:t>overnment encourages the Committees to continue this practice and to step up coordination.</w:t>
      </w:r>
      <w:r w:rsidR="00035381" w:rsidRPr="006E1AAF">
        <w:rPr>
          <w:rFonts w:asciiTheme="minorHAnsi" w:hAnsiTheme="minorHAnsi" w:cstheme="minorHAnsi"/>
          <w:color w:val="323E4F" w:themeColor="text2" w:themeShade="BF"/>
          <w:sz w:val="24"/>
          <w:szCs w:val="24"/>
        </w:rPr>
        <w:t xml:space="preserve"> </w:t>
      </w:r>
    </w:p>
    <w:p w14:paraId="4532204C" w14:textId="2F0DDD13" w:rsidR="00CD5E65" w:rsidRPr="006E1AAF" w:rsidRDefault="00CD5E65" w:rsidP="006E1AAF">
      <w:pPr>
        <w:jc w:val="both"/>
        <w:rPr>
          <w:rFonts w:asciiTheme="minorHAnsi" w:hAnsiTheme="minorHAnsi" w:cstheme="minorHAnsi"/>
          <w:color w:val="323E4F" w:themeColor="text2" w:themeShade="BF"/>
          <w:sz w:val="24"/>
          <w:szCs w:val="24"/>
        </w:rPr>
      </w:pPr>
    </w:p>
    <w:p w14:paraId="7290B3DC" w14:textId="4EC4B9DE" w:rsidR="0035123B" w:rsidRPr="006E1AAF" w:rsidRDefault="004D5100" w:rsidP="00713E93">
      <w:pPr>
        <w:pStyle w:val="HTMLPreformatted"/>
        <w:shd w:val="clear" w:color="auto" w:fill="FFFFFF"/>
        <w:jc w:val="both"/>
        <w:rPr>
          <w:rFonts w:asciiTheme="minorHAnsi" w:hAnsiTheme="minorHAnsi" w:cstheme="minorHAnsi"/>
          <w:color w:val="323E4F" w:themeColor="text2" w:themeShade="BF"/>
          <w:sz w:val="24"/>
          <w:szCs w:val="24"/>
        </w:rPr>
      </w:pPr>
      <w:r>
        <w:rPr>
          <w:rFonts w:asciiTheme="minorHAnsi" w:hAnsiTheme="minorHAnsi" w:cstheme="minorHAnsi"/>
          <w:color w:val="323E4F" w:themeColor="text2" w:themeShade="BF"/>
          <w:sz w:val="24"/>
          <w:szCs w:val="24"/>
        </w:rPr>
        <w:t>Although the efforts to harmonis</w:t>
      </w:r>
      <w:r w:rsidR="00CD5E65" w:rsidRPr="006E1AAF">
        <w:rPr>
          <w:rFonts w:asciiTheme="minorHAnsi" w:hAnsiTheme="minorHAnsi" w:cstheme="minorHAnsi"/>
          <w:color w:val="323E4F" w:themeColor="text2" w:themeShade="BF"/>
          <w:sz w:val="24"/>
          <w:szCs w:val="24"/>
        </w:rPr>
        <w:t>e different practices have already produced</w:t>
      </w:r>
      <w:r>
        <w:rPr>
          <w:rFonts w:asciiTheme="minorHAnsi" w:hAnsiTheme="minorHAnsi" w:cstheme="minorHAnsi"/>
          <w:color w:val="323E4F" w:themeColor="text2" w:themeShade="BF"/>
          <w:sz w:val="24"/>
          <w:szCs w:val="24"/>
        </w:rPr>
        <w:t xml:space="preserve"> good results, e.g. the harmonis</w:t>
      </w:r>
      <w:r w:rsidR="00CD5E65" w:rsidRPr="006E1AAF">
        <w:rPr>
          <w:rFonts w:asciiTheme="minorHAnsi" w:hAnsiTheme="minorHAnsi" w:cstheme="minorHAnsi"/>
          <w:color w:val="323E4F" w:themeColor="text2" w:themeShade="BF"/>
          <w:sz w:val="24"/>
          <w:szCs w:val="24"/>
        </w:rPr>
        <w:t xml:space="preserve">ed guidelines on reporting, there are still </w:t>
      </w:r>
      <w:r>
        <w:rPr>
          <w:rFonts w:asciiTheme="minorHAnsi" w:hAnsiTheme="minorHAnsi" w:cstheme="minorHAnsi"/>
          <w:color w:val="323E4F" w:themeColor="text2" w:themeShade="BF"/>
          <w:sz w:val="24"/>
          <w:szCs w:val="24"/>
        </w:rPr>
        <w:t>room for developing and harmonis</w:t>
      </w:r>
      <w:r w:rsidR="00CD5E65" w:rsidRPr="006E1AAF">
        <w:rPr>
          <w:rFonts w:asciiTheme="minorHAnsi" w:hAnsiTheme="minorHAnsi" w:cstheme="minorHAnsi"/>
          <w:color w:val="323E4F" w:themeColor="text2" w:themeShade="BF"/>
          <w:sz w:val="24"/>
          <w:szCs w:val="24"/>
        </w:rPr>
        <w:t>ing some practices</w:t>
      </w:r>
      <w:r w:rsidR="001431C0">
        <w:rPr>
          <w:rFonts w:asciiTheme="minorHAnsi" w:hAnsiTheme="minorHAnsi" w:cstheme="minorHAnsi"/>
          <w:color w:val="323E4F" w:themeColor="text2" w:themeShade="BF"/>
          <w:sz w:val="24"/>
          <w:szCs w:val="24"/>
        </w:rPr>
        <w:t>, for example</w:t>
      </w:r>
      <w:r w:rsidR="008A749C" w:rsidRPr="006E1AAF">
        <w:rPr>
          <w:rFonts w:asciiTheme="minorHAnsi" w:hAnsiTheme="minorHAnsi" w:cstheme="minorHAnsi"/>
          <w:color w:val="323E4F" w:themeColor="text2" w:themeShade="BF"/>
          <w:sz w:val="24"/>
          <w:szCs w:val="24"/>
        </w:rPr>
        <w:t xml:space="preserve"> regarding the individual communications</w:t>
      </w:r>
      <w:r w:rsidR="001431C0">
        <w:rPr>
          <w:rFonts w:asciiTheme="minorHAnsi" w:hAnsiTheme="minorHAnsi" w:cstheme="minorHAnsi"/>
          <w:color w:val="323E4F" w:themeColor="text2" w:themeShade="BF"/>
          <w:sz w:val="24"/>
          <w:szCs w:val="24"/>
        </w:rPr>
        <w:t xml:space="preserve">, </w:t>
      </w:r>
      <w:r w:rsidR="00713E93" w:rsidRPr="00713E93">
        <w:rPr>
          <w:rFonts w:asciiTheme="minorHAnsi" w:hAnsiTheme="minorHAnsi" w:cstheme="minorHAnsi"/>
          <w:color w:val="323E4F" w:themeColor="text2" w:themeShade="BF"/>
          <w:sz w:val="24"/>
          <w:szCs w:val="24"/>
        </w:rPr>
        <w:t xml:space="preserve">dialogue with the </w:t>
      </w:r>
      <w:r w:rsidR="00713E93">
        <w:rPr>
          <w:rFonts w:asciiTheme="minorHAnsi" w:hAnsiTheme="minorHAnsi" w:cstheme="minorHAnsi"/>
          <w:color w:val="323E4F" w:themeColor="text2" w:themeShade="BF"/>
          <w:sz w:val="24"/>
          <w:szCs w:val="24"/>
        </w:rPr>
        <w:t xml:space="preserve">States </w:t>
      </w:r>
      <w:r w:rsidR="00713E93" w:rsidRPr="00713E93">
        <w:rPr>
          <w:rFonts w:asciiTheme="minorHAnsi" w:hAnsiTheme="minorHAnsi" w:cstheme="minorHAnsi"/>
          <w:color w:val="323E4F" w:themeColor="text2" w:themeShade="BF"/>
          <w:sz w:val="24"/>
          <w:szCs w:val="24"/>
        </w:rPr>
        <w:t>parties</w:t>
      </w:r>
      <w:r w:rsidR="00713E93">
        <w:rPr>
          <w:rFonts w:asciiTheme="minorHAnsi" w:hAnsiTheme="minorHAnsi" w:cstheme="minorHAnsi"/>
          <w:color w:val="323E4F" w:themeColor="text2" w:themeShade="BF"/>
          <w:sz w:val="24"/>
          <w:szCs w:val="24"/>
        </w:rPr>
        <w:t xml:space="preserve"> under review, consultation with civil society organisations</w:t>
      </w:r>
      <w:r w:rsidR="00713E93" w:rsidRPr="00713E93">
        <w:rPr>
          <w:rFonts w:asciiTheme="minorHAnsi" w:hAnsiTheme="minorHAnsi" w:cstheme="minorHAnsi"/>
          <w:color w:val="323E4F" w:themeColor="text2" w:themeShade="BF"/>
          <w:sz w:val="24"/>
          <w:szCs w:val="24"/>
        </w:rPr>
        <w:t xml:space="preserve">, </w:t>
      </w:r>
      <w:r w:rsidR="00713E93">
        <w:rPr>
          <w:rFonts w:asciiTheme="minorHAnsi" w:hAnsiTheme="minorHAnsi" w:cstheme="minorHAnsi"/>
          <w:color w:val="323E4F" w:themeColor="text2" w:themeShade="BF"/>
          <w:sz w:val="24"/>
          <w:szCs w:val="24"/>
        </w:rPr>
        <w:t xml:space="preserve">the </w:t>
      </w:r>
      <w:r w:rsidR="00713E93" w:rsidRPr="00713E93">
        <w:rPr>
          <w:rFonts w:asciiTheme="minorHAnsi" w:hAnsiTheme="minorHAnsi" w:cstheme="minorHAnsi"/>
          <w:color w:val="323E4F" w:themeColor="text2" w:themeShade="BF"/>
          <w:sz w:val="24"/>
          <w:szCs w:val="24"/>
        </w:rPr>
        <w:t xml:space="preserve">format of </w:t>
      </w:r>
      <w:r w:rsidR="00713E93">
        <w:rPr>
          <w:rFonts w:asciiTheme="minorHAnsi" w:hAnsiTheme="minorHAnsi" w:cstheme="minorHAnsi"/>
          <w:color w:val="323E4F" w:themeColor="text2" w:themeShade="BF"/>
          <w:sz w:val="24"/>
          <w:szCs w:val="24"/>
        </w:rPr>
        <w:t xml:space="preserve">the concluding observations </w:t>
      </w:r>
      <w:r w:rsidR="00713E93" w:rsidRPr="00713E93">
        <w:rPr>
          <w:rFonts w:asciiTheme="minorHAnsi" w:hAnsiTheme="minorHAnsi" w:cstheme="minorHAnsi"/>
          <w:color w:val="323E4F" w:themeColor="text2" w:themeShade="BF"/>
          <w:sz w:val="24"/>
          <w:szCs w:val="24"/>
        </w:rPr>
        <w:t>and follow-up to the implementation of the r</w:t>
      </w:r>
      <w:r w:rsidR="00713E93">
        <w:rPr>
          <w:rFonts w:asciiTheme="minorHAnsi" w:hAnsiTheme="minorHAnsi" w:cstheme="minorHAnsi"/>
          <w:color w:val="323E4F" w:themeColor="text2" w:themeShade="BF"/>
          <w:sz w:val="24"/>
          <w:szCs w:val="24"/>
        </w:rPr>
        <w:t>ecommendations</w:t>
      </w:r>
      <w:r w:rsidR="001431C0">
        <w:rPr>
          <w:rFonts w:asciiTheme="minorHAnsi" w:hAnsiTheme="minorHAnsi" w:cstheme="minorHAnsi"/>
          <w:color w:val="323E4F" w:themeColor="text2" w:themeShade="BF"/>
          <w:sz w:val="24"/>
          <w:szCs w:val="24"/>
        </w:rPr>
        <w:t>. These are just a few examples that</w:t>
      </w:r>
      <w:r w:rsidR="00713E93">
        <w:rPr>
          <w:rFonts w:asciiTheme="minorHAnsi" w:hAnsiTheme="minorHAnsi" w:cstheme="minorHAnsi"/>
          <w:color w:val="323E4F" w:themeColor="text2" w:themeShade="BF"/>
          <w:sz w:val="24"/>
          <w:szCs w:val="24"/>
        </w:rPr>
        <w:t xml:space="preserve"> differ from one C</w:t>
      </w:r>
      <w:r w:rsidR="00713E93" w:rsidRPr="00713E93">
        <w:rPr>
          <w:rFonts w:asciiTheme="minorHAnsi" w:hAnsiTheme="minorHAnsi" w:cstheme="minorHAnsi"/>
          <w:color w:val="323E4F" w:themeColor="text2" w:themeShade="BF"/>
          <w:sz w:val="24"/>
          <w:szCs w:val="24"/>
        </w:rPr>
        <w:t>ommittee to another.</w:t>
      </w:r>
      <w:r w:rsidR="00713E93">
        <w:rPr>
          <w:rFonts w:asciiTheme="minorHAnsi" w:hAnsiTheme="minorHAnsi" w:cstheme="minorHAnsi"/>
          <w:color w:val="323E4F" w:themeColor="text2" w:themeShade="BF"/>
          <w:sz w:val="24"/>
          <w:szCs w:val="24"/>
        </w:rPr>
        <w:t xml:space="preserve"> </w:t>
      </w:r>
      <w:r>
        <w:rPr>
          <w:rFonts w:asciiTheme="minorHAnsi" w:hAnsiTheme="minorHAnsi" w:cstheme="minorHAnsi"/>
          <w:color w:val="323E4F" w:themeColor="text2" w:themeShade="BF"/>
          <w:sz w:val="24"/>
          <w:szCs w:val="24"/>
        </w:rPr>
        <w:t>Harmonis</w:t>
      </w:r>
      <w:r w:rsidR="00CD5E65" w:rsidRPr="006E1AAF">
        <w:rPr>
          <w:rFonts w:asciiTheme="minorHAnsi" w:hAnsiTheme="minorHAnsi" w:cstheme="minorHAnsi"/>
          <w:color w:val="323E4F" w:themeColor="text2" w:themeShade="BF"/>
          <w:sz w:val="24"/>
          <w:szCs w:val="24"/>
        </w:rPr>
        <w:t>ed working methods would further strengthen the treaty body system and facilitate the cooperation between the States parties and the treaty bodies as well as with other stakeholders.</w:t>
      </w:r>
      <w:r w:rsidR="006E1734">
        <w:rPr>
          <w:rFonts w:asciiTheme="minorHAnsi" w:hAnsiTheme="minorHAnsi" w:cstheme="minorHAnsi"/>
          <w:color w:val="323E4F" w:themeColor="text2" w:themeShade="BF"/>
          <w:sz w:val="24"/>
          <w:szCs w:val="24"/>
        </w:rPr>
        <w:t xml:space="preserve"> </w:t>
      </w:r>
    </w:p>
    <w:p w14:paraId="1E560E9E" w14:textId="69FE2559" w:rsidR="0035123B" w:rsidRPr="006E1AAF" w:rsidRDefault="0035123B" w:rsidP="006E1AAF">
      <w:pPr>
        <w:jc w:val="both"/>
        <w:rPr>
          <w:rFonts w:asciiTheme="minorHAnsi" w:hAnsiTheme="minorHAnsi" w:cstheme="minorHAnsi"/>
          <w:color w:val="323E4F" w:themeColor="text2" w:themeShade="BF"/>
          <w:sz w:val="24"/>
          <w:szCs w:val="24"/>
        </w:rPr>
      </w:pPr>
    </w:p>
    <w:p w14:paraId="50640F2D" w14:textId="77777777" w:rsidR="00F8057B" w:rsidRPr="006E1AAF" w:rsidRDefault="00F8057B" w:rsidP="006E1AAF">
      <w:pPr>
        <w:autoSpaceDE w:val="0"/>
        <w:autoSpaceDN w:val="0"/>
        <w:adjustRightInd w:val="0"/>
        <w:jc w:val="both"/>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Developing the annual meetings of the Chairpersons would be one way of promoting dialogue between the Committees and thus developing working methods and coordination.</w:t>
      </w:r>
    </w:p>
    <w:p w14:paraId="55EBC150" w14:textId="77777777" w:rsidR="00F8057B" w:rsidRPr="006E1AAF" w:rsidRDefault="00F8057B" w:rsidP="006E1AAF">
      <w:pPr>
        <w:jc w:val="both"/>
        <w:rPr>
          <w:rFonts w:asciiTheme="minorHAnsi" w:hAnsiTheme="minorHAnsi" w:cstheme="minorHAnsi"/>
          <w:color w:val="323E4F" w:themeColor="text2" w:themeShade="BF"/>
          <w:sz w:val="24"/>
          <w:szCs w:val="24"/>
        </w:rPr>
      </w:pPr>
    </w:p>
    <w:p w14:paraId="205DCAF6" w14:textId="4037484E" w:rsidR="0035123B" w:rsidRPr="006E1AAF" w:rsidRDefault="00F8057B" w:rsidP="006E1AAF">
      <w:pPr>
        <w:jc w:val="both"/>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Furthermore, a</w:t>
      </w:r>
      <w:r w:rsidR="0035123B" w:rsidRPr="006E1AAF">
        <w:rPr>
          <w:rFonts w:asciiTheme="minorHAnsi" w:hAnsiTheme="minorHAnsi" w:cstheme="minorHAnsi"/>
          <w:color w:val="323E4F" w:themeColor="text2" w:themeShade="BF"/>
          <w:sz w:val="24"/>
          <w:szCs w:val="24"/>
        </w:rPr>
        <w:t xml:space="preserve"> joint working group of the Committees on the </w:t>
      </w:r>
      <w:r w:rsidR="004D5100">
        <w:rPr>
          <w:rFonts w:asciiTheme="minorHAnsi" w:hAnsiTheme="minorHAnsi" w:cstheme="minorHAnsi"/>
          <w:color w:val="323E4F" w:themeColor="text2" w:themeShade="BF"/>
          <w:sz w:val="24"/>
          <w:szCs w:val="24"/>
        </w:rPr>
        <w:t>R</w:t>
      </w:r>
      <w:r w:rsidR="0035123B" w:rsidRPr="006E1AAF">
        <w:rPr>
          <w:rFonts w:asciiTheme="minorHAnsi" w:hAnsiTheme="minorHAnsi" w:cstheme="minorHAnsi"/>
          <w:color w:val="323E4F" w:themeColor="text2" w:themeShade="BF"/>
          <w:sz w:val="24"/>
          <w:szCs w:val="24"/>
        </w:rPr>
        <w:t xml:space="preserve">ules of </w:t>
      </w:r>
      <w:r w:rsidR="004D5100">
        <w:rPr>
          <w:rFonts w:asciiTheme="minorHAnsi" w:hAnsiTheme="minorHAnsi" w:cstheme="minorHAnsi"/>
          <w:color w:val="323E4F" w:themeColor="text2" w:themeShade="BF"/>
          <w:sz w:val="24"/>
          <w:szCs w:val="24"/>
        </w:rPr>
        <w:t>Procedure</w:t>
      </w:r>
      <w:r w:rsidR="0035123B" w:rsidRPr="006E1AAF">
        <w:rPr>
          <w:rFonts w:asciiTheme="minorHAnsi" w:hAnsiTheme="minorHAnsi" w:cstheme="minorHAnsi"/>
          <w:color w:val="323E4F" w:themeColor="text2" w:themeShade="BF"/>
          <w:sz w:val="24"/>
          <w:szCs w:val="24"/>
        </w:rPr>
        <w:t xml:space="preserve"> and working methods could address the issue of duplication, lack of coherence and fragmentation. </w:t>
      </w:r>
    </w:p>
    <w:p w14:paraId="41E6F719" w14:textId="77777777" w:rsidR="00CD5E65" w:rsidRPr="006E1AAF" w:rsidRDefault="00CD5E65" w:rsidP="006E1AAF">
      <w:pPr>
        <w:jc w:val="both"/>
        <w:rPr>
          <w:rFonts w:asciiTheme="minorHAnsi" w:hAnsiTheme="minorHAnsi" w:cstheme="minorHAnsi"/>
          <w:color w:val="323E4F" w:themeColor="text2" w:themeShade="BF"/>
          <w:sz w:val="24"/>
          <w:szCs w:val="24"/>
        </w:rPr>
      </w:pPr>
    </w:p>
    <w:p w14:paraId="30AC79F2" w14:textId="77777777" w:rsidR="00947022" w:rsidRPr="006E1AAF" w:rsidRDefault="00947022" w:rsidP="00C043A9">
      <w:pPr>
        <w:overflowPunct w:val="0"/>
        <w:autoSpaceDE w:val="0"/>
        <w:autoSpaceDN w:val="0"/>
        <w:adjustRightInd w:val="0"/>
        <w:spacing w:after="120"/>
        <w:textAlignment w:val="baseline"/>
        <w:rPr>
          <w:rFonts w:asciiTheme="minorHAnsi" w:hAnsiTheme="minorHAnsi" w:cstheme="minorHAnsi"/>
          <w:b/>
          <w:i/>
          <w:color w:val="323E4F" w:themeColor="text2" w:themeShade="BF"/>
          <w:sz w:val="24"/>
          <w:szCs w:val="24"/>
        </w:rPr>
      </w:pPr>
      <w:r w:rsidRPr="006E1AAF">
        <w:rPr>
          <w:rFonts w:asciiTheme="minorHAnsi" w:hAnsiTheme="minorHAnsi" w:cstheme="minorHAnsi"/>
          <w:b/>
          <w:i/>
          <w:color w:val="323E4F" w:themeColor="text2" w:themeShade="BF"/>
          <w:sz w:val="24"/>
          <w:szCs w:val="24"/>
        </w:rPr>
        <w:t xml:space="preserve">Simplified </w:t>
      </w:r>
      <w:r w:rsidR="00C043A9" w:rsidRPr="006E1AAF">
        <w:rPr>
          <w:rFonts w:asciiTheme="minorHAnsi" w:hAnsiTheme="minorHAnsi" w:cstheme="minorHAnsi"/>
          <w:b/>
          <w:i/>
          <w:color w:val="323E4F" w:themeColor="text2" w:themeShade="BF"/>
          <w:sz w:val="24"/>
          <w:szCs w:val="24"/>
        </w:rPr>
        <w:t>reporting procedure</w:t>
      </w:r>
    </w:p>
    <w:p w14:paraId="1B4568AE" w14:textId="6F9CF282" w:rsidR="00035381" w:rsidRPr="006E1AAF" w:rsidRDefault="00035381" w:rsidP="00FA0BFA">
      <w:pPr>
        <w:jc w:val="both"/>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 xml:space="preserve">Finland strongly supports the use of the simplified reporting procedure. This procedure improves and speeds up reporting and saves resources at ground level. The Government </w:t>
      </w:r>
      <w:r w:rsidRPr="006E1AAF">
        <w:rPr>
          <w:rFonts w:asciiTheme="minorHAnsi" w:hAnsiTheme="minorHAnsi" w:cstheme="minorHAnsi"/>
          <w:color w:val="323E4F" w:themeColor="text2" w:themeShade="BF"/>
          <w:sz w:val="24"/>
          <w:szCs w:val="24"/>
          <w:lang w:val="en-US"/>
        </w:rPr>
        <w:t>invites all treaty bodies to consider changing over to the new practice with a list of issues prior to reporting and offe</w:t>
      </w:r>
      <w:r w:rsidR="00F8057B" w:rsidRPr="006E1AAF">
        <w:rPr>
          <w:rFonts w:asciiTheme="minorHAnsi" w:hAnsiTheme="minorHAnsi" w:cstheme="minorHAnsi"/>
          <w:color w:val="323E4F" w:themeColor="text2" w:themeShade="BF"/>
          <w:sz w:val="24"/>
          <w:szCs w:val="24"/>
          <w:lang w:val="en-US"/>
        </w:rPr>
        <w:t>r this voluntary practice to all</w:t>
      </w:r>
      <w:r w:rsidRPr="006E1AAF">
        <w:rPr>
          <w:rFonts w:asciiTheme="minorHAnsi" w:hAnsiTheme="minorHAnsi" w:cstheme="minorHAnsi"/>
          <w:color w:val="323E4F" w:themeColor="text2" w:themeShade="BF"/>
          <w:sz w:val="24"/>
          <w:szCs w:val="24"/>
          <w:lang w:val="en-US"/>
        </w:rPr>
        <w:t xml:space="preserve"> States parties.</w:t>
      </w:r>
    </w:p>
    <w:p w14:paraId="7ED6FCC7" w14:textId="59B7CD1A" w:rsidR="00035381" w:rsidRDefault="00035381" w:rsidP="00FA0BFA">
      <w:pPr>
        <w:overflowPunct w:val="0"/>
        <w:autoSpaceDE w:val="0"/>
        <w:autoSpaceDN w:val="0"/>
        <w:adjustRightInd w:val="0"/>
        <w:textAlignment w:val="baseline"/>
        <w:rPr>
          <w:rFonts w:asciiTheme="minorHAnsi" w:hAnsiTheme="minorHAnsi" w:cstheme="minorHAnsi"/>
          <w:color w:val="323E4F" w:themeColor="text2" w:themeShade="BF"/>
          <w:sz w:val="24"/>
          <w:szCs w:val="24"/>
          <w:lang w:val="en-US"/>
        </w:rPr>
      </w:pPr>
    </w:p>
    <w:p w14:paraId="7B44561A" w14:textId="1D8F424B" w:rsidR="00C21A02" w:rsidRDefault="00C21A02" w:rsidP="00FA0BFA">
      <w:pPr>
        <w:overflowPunct w:val="0"/>
        <w:autoSpaceDE w:val="0"/>
        <w:autoSpaceDN w:val="0"/>
        <w:adjustRightInd w:val="0"/>
        <w:textAlignment w:val="baseline"/>
        <w:rPr>
          <w:rFonts w:asciiTheme="minorHAnsi" w:hAnsiTheme="minorHAnsi" w:cstheme="minorHAnsi"/>
          <w:color w:val="323E4F" w:themeColor="text2" w:themeShade="BF"/>
          <w:sz w:val="24"/>
          <w:szCs w:val="24"/>
          <w:lang w:val="en-US"/>
        </w:rPr>
      </w:pPr>
    </w:p>
    <w:p w14:paraId="1BEF0968" w14:textId="3AEC68A5" w:rsidR="00C21A02" w:rsidRDefault="00C21A02" w:rsidP="00FA0BFA">
      <w:pPr>
        <w:overflowPunct w:val="0"/>
        <w:autoSpaceDE w:val="0"/>
        <w:autoSpaceDN w:val="0"/>
        <w:adjustRightInd w:val="0"/>
        <w:textAlignment w:val="baseline"/>
        <w:rPr>
          <w:rFonts w:asciiTheme="minorHAnsi" w:hAnsiTheme="minorHAnsi" w:cstheme="minorHAnsi"/>
          <w:color w:val="323E4F" w:themeColor="text2" w:themeShade="BF"/>
          <w:sz w:val="24"/>
          <w:szCs w:val="24"/>
          <w:lang w:val="en-US"/>
        </w:rPr>
      </w:pPr>
    </w:p>
    <w:p w14:paraId="1A7767D9" w14:textId="77777777" w:rsidR="00C21A02" w:rsidRPr="006E1AAF" w:rsidRDefault="00C21A02" w:rsidP="00FA0BFA">
      <w:pPr>
        <w:overflowPunct w:val="0"/>
        <w:autoSpaceDE w:val="0"/>
        <w:autoSpaceDN w:val="0"/>
        <w:adjustRightInd w:val="0"/>
        <w:textAlignment w:val="baseline"/>
        <w:rPr>
          <w:rFonts w:asciiTheme="minorHAnsi" w:hAnsiTheme="minorHAnsi" w:cstheme="minorHAnsi"/>
          <w:color w:val="323E4F" w:themeColor="text2" w:themeShade="BF"/>
          <w:sz w:val="24"/>
          <w:szCs w:val="24"/>
          <w:lang w:val="en-US"/>
        </w:rPr>
      </w:pPr>
    </w:p>
    <w:p w14:paraId="434F045E" w14:textId="0C7F61EA" w:rsidR="00AC2050" w:rsidRPr="006E1AAF" w:rsidRDefault="00AC2050" w:rsidP="00035381">
      <w:pPr>
        <w:overflowPunct w:val="0"/>
        <w:autoSpaceDE w:val="0"/>
        <w:autoSpaceDN w:val="0"/>
        <w:adjustRightInd w:val="0"/>
        <w:spacing w:after="120"/>
        <w:textAlignment w:val="baseline"/>
        <w:rPr>
          <w:rFonts w:asciiTheme="minorHAnsi" w:hAnsiTheme="minorHAnsi" w:cstheme="minorHAnsi"/>
          <w:b/>
          <w:i/>
          <w:color w:val="323E4F" w:themeColor="text2" w:themeShade="BF"/>
          <w:sz w:val="24"/>
          <w:szCs w:val="24"/>
        </w:rPr>
      </w:pPr>
      <w:r w:rsidRPr="006E1AAF">
        <w:rPr>
          <w:rFonts w:asciiTheme="minorHAnsi" w:hAnsiTheme="minorHAnsi" w:cstheme="minorHAnsi"/>
          <w:b/>
          <w:i/>
          <w:color w:val="323E4F" w:themeColor="text2" w:themeShade="BF"/>
          <w:sz w:val="24"/>
          <w:szCs w:val="24"/>
        </w:rPr>
        <w:t>Reporting calendar</w:t>
      </w:r>
    </w:p>
    <w:p w14:paraId="330E91C0" w14:textId="0CB7BAB9" w:rsidR="00AC2050" w:rsidRPr="00AC2050" w:rsidRDefault="00AC2050" w:rsidP="00FA0BFA">
      <w:pPr>
        <w:jc w:val="both"/>
        <w:rPr>
          <w:rFonts w:asciiTheme="minorHAnsi" w:hAnsiTheme="minorHAnsi" w:cstheme="minorHAnsi"/>
          <w:color w:val="323E4F" w:themeColor="text2" w:themeShade="BF"/>
          <w:sz w:val="24"/>
          <w:szCs w:val="24"/>
        </w:rPr>
      </w:pPr>
      <w:r w:rsidRPr="00AC2050">
        <w:rPr>
          <w:rFonts w:asciiTheme="minorHAnsi" w:hAnsiTheme="minorHAnsi" w:cstheme="minorHAnsi"/>
          <w:color w:val="323E4F" w:themeColor="text2" w:themeShade="BF"/>
          <w:sz w:val="24"/>
          <w:szCs w:val="24"/>
        </w:rPr>
        <w:t xml:space="preserve">A comprehensive reporting calendar for all </w:t>
      </w:r>
      <w:r w:rsidRPr="006E1AAF">
        <w:rPr>
          <w:rFonts w:asciiTheme="minorHAnsi" w:hAnsiTheme="minorHAnsi" w:cstheme="minorHAnsi"/>
          <w:color w:val="323E4F" w:themeColor="text2" w:themeShade="BF"/>
          <w:sz w:val="24"/>
          <w:szCs w:val="24"/>
        </w:rPr>
        <w:t xml:space="preserve">treaties </w:t>
      </w:r>
      <w:r w:rsidRPr="00AC2050">
        <w:rPr>
          <w:rFonts w:asciiTheme="minorHAnsi" w:hAnsiTheme="minorHAnsi" w:cstheme="minorHAnsi"/>
          <w:color w:val="323E4F" w:themeColor="text2" w:themeShade="BF"/>
          <w:sz w:val="24"/>
          <w:szCs w:val="24"/>
        </w:rPr>
        <w:t xml:space="preserve">would improve reporting, its planning, </w:t>
      </w:r>
      <w:r w:rsidRPr="006E1AAF">
        <w:rPr>
          <w:rFonts w:asciiTheme="minorHAnsi" w:hAnsiTheme="minorHAnsi" w:cstheme="minorHAnsi"/>
          <w:color w:val="323E4F" w:themeColor="text2" w:themeShade="BF"/>
          <w:sz w:val="24"/>
          <w:szCs w:val="24"/>
        </w:rPr>
        <w:t>coordination at the country level as well as help all stakeholders</w:t>
      </w:r>
      <w:r w:rsidRPr="00AC2050">
        <w:rPr>
          <w:rFonts w:asciiTheme="minorHAnsi" w:hAnsiTheme="minorHAnsi" w:cstheme="minorHAnsi"/>
          <w:color w:val="323E4F" w:themeColor="text2" w:themeShade="BF"/>
          <w:sz w:val="24"/>
          <w:szCs w:val="24"/>
        </w:rPr>
        <w:t xml:space="preserve"> participate in</w:t>
      </w:r>
      <w:r w:rsidRPr="006E1AAF">
        <w:rPr>
          <w:rFonts w:asciiTheme="minorHAnsi" w:hAnsiTheme="minorHAnsi" w:cstheme="minorHAnsi"/>
          <w:color w:val="323E4F" w:themeColor="text2" w:themeShade="BF"/>
          <w:sz w:val="24"/>
          <w:szCs w:val="24"/>
        </w:rPr>
        <w:t xml:space="preserve"> the monitoring process</w:t>
      </w:r>
      <w:r w:rsidRPr="00AC2050">
        <w:rPr>
          <w:rFonts w:asciiTheme="minorHAnsi" w:hAnsiTheme="minorHAnsi" w:cstheme="minorHAnsi"/>
          <w:color w:val="323E4F" w:themeColor="text2" w:themeShade="BF"/>
          <w:sz w:val="24"/>
          <w:szCs w:val="24"/>
        </w:rPr>
        <w:t>.</w:t>
      </w:r>
    </w:p>
    <w:p w14:paraId="67970711" w14:textId="1204091A" w:rsidR="007B450F" w:rsidRDefault="007B450F" w:rsidP="00FA0BFA">
      <w:pPr>
        <w:overflowPunct w:val="0"/>
        <w:autoSpaceDE w:val="0"/>
        <w:autoSpaceDN w:val="0"/>
        <w:adjustRightInd w:val="0"/>
        <w:textAlignment w:val="baseline"/>
        <w:rPr>
          <w:rFonts w:asciiTheme="minorHAnsi" w:hAnsiTheme="minorHAnsi" w:cstheme="minorHAnsi"/>
          <w:color w:val="323E4F" w:themeColor="text2" w:themeShade="BF"/>
          <w:sz w:val="24"/>
          <w:szCs w:val="24"/>
          <w:lang w:val="en-US"/>
        </w:rPr>
      </w:pPr>
    </w:p>
    <w:p w14:paraId="26C08AC0" w14:textId="457F9058" w:rsidR="00035381" w:rsidRPr="006E1AAF" w:rsidRDefault="00035381" w:rsidP="00035381">
      <w:pPr>
        <w:overflowPunct w:val="0"/>
        <w:autoSpaceDE w:val="0"/>
        <w:autoSpaceDN w:val="0"/>
        <w:adjustRightInd w:val="0"/>
        <w:spacing w:after="120"/>
        <w:textAlignment w:val="baseline"/>
        <w:rPr>
          <w:rFonts w:asciiTheme="minorHAnsi" w:hAnsiTheme="minorHAnsi" w:cstheme="minorHAnsi"/>
          <w:b/>
          <w:i/>
          <w:color w:val="323E4F" w:themeColor="text2" w:themeShade="BF"/>
          <w:sz w:val="24"/>
          <w:szCs w:val="24"/>
        </w:rPr>
      </w:pPr>
      <w:r w:rsidRPr="006E1AAF">
        <w:rPr>
          <w:rFonts w:asciiTheme="minorHAnsi" w:hAnsiTheme="minorHAnsi" w:cstheme="minorHAnsi"/>
          <w:b/>
          <w:i/>
          <w:color w:val="323E4F" w:themeColor="text2" w:themeShade="BF"/>
          <w:sz w:val="24"/>
          <w:szCs w:val="24"/>
        </w:rPr>
        <w:t>Review of the reports</w:t>
      </w:r>
    </w:p>
    <w:p w14:paraId="000F231B" w14:textId="7EF15C64" w:rsidR="00AC2050" w:rsidRPr="006E1AAF" w:rsidRDefault="00AC2050" w:rsidP="006E1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323E4F" w:themeColor="text2" w:themeShade="BF"/>
          <w:sz w:val="24"/>
          <w:szCs w:val="24"/>
        </w:rPr>
      </w:pPr>
      <w:r w:rsidRPr="00AC2050">
        <w:rPr>
          <w:rFonts w:asciiTheme="minorHAnsi" w:hAnsiTheme="minorHAnsi" w:cstheme="minorHAnsi"/>
          <w:color w:val="323E4F" w:themeColor="text2" w:themeShade="BF"/>
          <w:sz w:val="24"/>
          <w:szCs w:val="24"/>
        </w:rPr>
        <w:t xml:space="preserve">The long waiting time between the submission of the </w:t>
      </w:r>
      <w:r w:rsidRPr="006E1AAF">
        <w:rPr>
          <w:rFonts w:asciiTheme="minorHAnsi" w:hAnsiTheme="minorHAnsi" w:cstheme="minorHAnsi"/>
          <w:color w:val="323E4F" w:themeColor="text2" w:themeShade="BF"/>
          <w:sz w:val="24"/>
          <w:szCs w:val="24"/>
        </w:rPr>
        <w:t xml:space="preserve">periodic </w:t>
      </w:r>
      <w:r w:rsidRPr="00AC2050">
        <w:rPr>
          <w:rFonts w:asciiTheme="minorHAnsi" w:hAnsiTheme="minorHAnsi" w:cstheme="minorHAnsi"/>
          <w:color w:val="323E4F" w:themeColor="text2" w:themeShade="BF"/>
          <w:sz w:val="24"/>
          <w:szCs w:val="24"/>
        </w:rPr>
        <w:t xml:space="preserve">report and its </w:t>
      </w:r>
      <w:r w:rsidRPr="006E1AAF">
        <w:rPr>
          <w:rFonts w:asciiTheme="minorHAnsi" w:hAnsiTheme="minorHAnsi" w:cstheme="minorHAnsi"/>
          <w:color w:val="323E4F" w:themeColor="text2" w:themeShade="BF"/>
          <w:sz w:val="24"/>
          <w:szCs w:val="24"/>
        </w:rPr>
        <w:t xml:space="preserve">review at the Committee </w:t>
      </w:r>
      <w:r w:rsidRPr="00AC2050">
        <w:rPr>
          <w:rFonts w:asciiTheme="minorHAnsi" w:hAnsiTheme="minorHAnsi" w:cstheme="minorHAnsi"/>
          <w:color w:val="323E4F" w:themeColor="text2" w:themeShade="BF"/>
          <w:sz w:val="24"/>
          <w:szCs w:val="24"/>
        </w:rPr>
        <w:t>wastes the scarce resources of all parties</w:t>
      </w:r>
      <w:r w:rsidRPr="006E1AAF">
        <w:rPr>
          <w:rFonts w:asciiTheme="minorHAnsi" w:hAnsiTheme="minorHAnsi" w:cstheme="minorHAnsi"/>
          <w:color w:val="323E4F" w:themeColor="text2" w:themeShade="BF"/>
          <w:sz w:val="24"/>
          <w:szCs w:val="24"/>
        </w:rPr>
        <w:t xml:space="preserve">. </w:t>
      </w:r>
      <w:r w:rsidR="001431C0">
        <w:rPr>
          <w:rFonts w:asciiTheme="minorHAnsi" w:hAnsiTheme="minorHAnsi" w:cstheme="minorHAnsi"/>
          <w:color w:val="323E4F" w:themeColor="text2" w:themeShade="BF"/>
          <w:sz w:val="24"/>
          <w:szCs w:val="24"/>
        </w:rPr>
        <w:t>The periodic</w:t>
      </w:r>
      <w:r w:rsidR="00B24FC3" w:rsidRPr="006E1AAF">
        <w:rPr>
          <w:rFonts w:asciiTheme="minorHAnsi" w:hAnsiTheme="minorHAnsi" w:cstheme="minorHAnsi"/>
          <w:color w:val="323E4F" w:themeColor="text2" w:themeShade="BF"/>
          <w:sz w:val="24"/>
          <w:szCs w:val="24"/>
        </w:rPr>
        <w:t xml:space="preserve"> report</w:t>
      </w:r>
      <w:r w:rsidR="00035381" w:rsidRPr="006E1AAF">
        <w:rPr>
          <w:rFonts w:asciiTheme="minorHAnsi" w:hAnsiTheme="minorHAnsi" w:cstheme="minorHAnsi"/>
          <w:color w:val="323E4F" w:themeColor="text2" w:themeShade="BF"/>
          <w:sz w:val="24"/>
          <w:szCs w:val="24"/>
        </w:rPr>
        <w:t xml:space="preserve"> should be reviewed as soon as possible after </w:t>
      </w:r>
      <w:r w:rsidR="00B24FC3" w:rsidRPr="006E1AAF">
        <w:rPr>
          <w:rFonts w:asciiTheme="minorHAnsi" w:hAnsiTheme="minorHAnsi" w:cstheme="minorHAnsi"/>
          <w:color w:val="323E4F" w:themeColor="text2" w:themeShade="BF"/>
          <w:sz w:val="24"/>
          <w:szCs w:val="24"/>
        </w:rPr>
        <w:t xml:space="preserve">it </w:t>
      </w:r>
      <w:r w:rsidR="00035381" w:rsidRPr="006E1AAF">
        <w:rPr>
          <w:rFonts w:asciiTheme="minorHAnsi" w:hAnsiTheme="minorHAnsi" w:cstheme="minorHAnsi"/>
          <w:color w:val="323E4F" w:themeColor="text2" w:themeShade="BF"/>
          <w:sz w:val="24"/>
          <w:szCs w:val="24"/>
        </w:rPr>
        <w:t>is issued.</w:t>
      </w:r>
      <w:r w:rsidR="004C6180" w:rsidRPr="006E1AAF">
        <w:rPr>
          <w:rFonts w:asciiTheme="minorHAnsi" w:hAnsiTheme="minorHAnsi" w:cstheme="minorHAnsi"/>
          <w:color w:val="323E4F" w:themeColor="text2" w:themeShade="BF"/>
          <w:sz w:val="24"/>
          <w:szCs w:val="24"/>
        </w:rPr>
        <w:t xml:space="preserve"> </w:t>
      </w:r>
    </w:p>
    <w:p w14:paraId="2D6B14AC" w14:textId="77777777" w:rsidR="00AC2050" w:rsidRPr="006E1AAF" w:rsidRDefault="00AC2050" w:rsidP="006E1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323E4F" w:themeColor="text2" w:themeShade="BF"/>
          <w:sz w:val="24"/>
          <w:szCs w:val="24"/>
        </w:rPr>
      </w:pPr>
    </w:p>
    <w:p w14:paraId="613E3735" w14:textId="296E82D5" w:rsidR="00035381" w:rsidRPr="006E1AAF" w:rsidRDefault="004C6180" w:rsidP="006E1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 xml:space="preserve">Constructive dialogue with the Committee is a valuable and important part of </w:t>
      </w:r>
      <w:r w:rsidR="00A90067">
        <w:rPr>
          <w:rFonts w:asciiTheme="minorHAnsi" w:hAnsiTheme="minorHAnsi" w:cstheme="minorHAnsi"/>
          <w:color w:val="323E4F" w:themeColor="text2" w:themeShade="BF"/>
          <w:sz w:val="24"/>
          <w:szCs w:val="24"/>
        </w:rPr>
        <w:t xml:space="preserve">the </w:t>
      </w:r>
      <w:r w:rsidRPr="006E1AAF">
        <w:rPr>
          <w:rFonts w:asciiTheme="minorHAnsi" w:hAnsiTheme="minorHAnsi" w:cstheme="minorHAnsi"/>
          <w:color w:val="323E4F" w:themeColor="text2" w:themeShade="BF"/>
          <w:sz w:val="24"/>
          <w:szCs w:val="24"/>
        </w:rPr>
        <w:t>monitoring</w:t>
      </w:r>
      <w:r w:rsidR="00B24FC3" w:rsidRPr="006E1AAF">
        <w:rPr>
          <w:rFonts w:asciiTheme="minorHAnsi" w:hAnsiTheme="minorHAnsi" w:cstheme="minorHAnsi"/>
          <w:color w:val="323E4F" w:themeColor="text2" w:themeShade="BF"/>
          <w:sz w:val="24"/>
          <w:szCs w:val="24"/>
        </w:rPr>
        <w:t xml:space="preserve"> procedure</w:t>
      </w:r>
      <w:r w:rsidRPr="006E1AAF">
        <w:rPr>
          <w:rFonts w:asciiTheme="minorHAnsi" w:hAnsiTheme="minorHAnsi" w:cstheme="minorHAnsi"/>
          <w:color w:val="323E4F" w:themeColor="text2" w:themeShade="BF"/>
          <w:sz w:val="24"/>
          <w:szCs w:val="24"/>
        </w:rPr>
        <w:t>. It should</w:t>
      </w:r>
      <w:r w:rsidR="00B24FC3" w:rsidRPr="006E1AAF">
        <w:rPr>
          <w:rFonts w:asciiTheme="minorHAnsi" w:hAnsiTheme="minorHAnsi" w:cstheme="minorHAnsi"/>
          <w:color w:val="323E4F" w:themeColor="text2" w:themeShade="BF"/>
          <w:sz w:val="24"/>
          <w:szCs w:val="24"/>
        </w:rPr>
        <w:t xml:space="preserve"> definitely</w:t>
      </w:r>
      <w:r w:rsidRPr="006E1AAF">
        <w:rPr>
          <w:rFonts w:asciiTheme="minorHAnsi" w:hAnsiTheme="minorHAnsi" w:cstheme="minorHAnsi"/>
          <w:color w:val="323E4F" w:themeColor="text2" w:themeShade="BF"/>
          <w:sz w:val="24"/>
          <w:szCs w:val="24"/>
        </w:rPr>
        <w:t xml:space="preserve"> be preserved. </w:t>
      </w:r>
      <w:r w:rsidR="003A76B3" w:rsidRPr="006E1AAF">
        <w:rPr>
          <w:rFonts w:asciiTheme="minorHAnsi" w:hAnsiTheme="minorHAnsi" w:cstheme="minorHAnsi"/>
          <w:color w:val="323E4F" w:themeColor="text2" w:themeShade="BF"/>
          <w:sz w:val="24"/>
          <w:szCs w:val="24"/>
        </w:rPr>
        <w:t>In order to enhance the effectiveness and quality of the dialog</w:t>
      </w:r>
      <w:r w:rsidR="00B24FC3" w:rsidRPr="006E1AAF">
        <w:rPr>
          <w:rFonts w:asciiTheme="minorHAnsi" w:hAnsiTheme="minorHAnsi" w:cstheme="minorHAnsi"/>
          <w:color w:val="323E4F" w:themeColor="text2" w:themeShade="BF"/>
          <w:sz w:val="24"/>
          <w:szCs w:val="24"/>
        </w:rPr>
        <w:t>ue between the Committee and the</w:t>
      </w:r>
      <w:r w:rsidR="003A76B3" w:rsidRPr="006E1AAF">
        <w:rPr>
          <w:rFonts w:asciiTheme="minorHAnsi" w:hAnsiTheme="minorHAnsi" w:cstheme="minorHAnsi"/>
          <w:color w:val="323E4F" w:themeColor="text2" w:themeShade="BF"/>
          <w:sz w:val="24"/>
          <w:szCs w:val="24"/>
        </w:rPr>
        <w:t xml:space="preserve"> State party, the Government encourages </w:t>
      </w:r>
      <w:r w:rsidR="00B24FC3" w:rsidRPr="006E1AAF">
        <w:rPr>
          <w:rFonts w:asciiTheme="minorHAnsi" w:hAnsiTheme="minorHAnsi" w:cstheme="minorHAnsi"/>
          <w:color w:val="323E4F" w:themeColor="text2" w:themeShade="BF"/>
          <w:sz w:val="24"/>
          <w:szCs w:val="24"/>
        </w:rPr>
        <w:t>using a smaller and more flexible composition of the Committee.</w:t>
      </w:r>
      <w:r w:rsidR="003A76B3" w:rsidRPr="006E1AAF">
        <w:rPr>
          <w:rFonts w:asciiTheme="minorHAnsi" w:hAnsiTheme="minorHAnsi" w:cstheme="minorHAnsi"/>
          <w:color w:val="323E4F" w:themeColor="text2" w:themeShade="BF"/>
          <w:sz w:val="24"/>
          <w:szCs w:val="24"/>
        </w:rPr>
        <w:t xml:space="preserve"> </w:t>
      </w:r>
      <w:r w:rsidR="00B24FC3" w:rsidRPr="006E1AAF">
        <w:rPr>
          <w:rFonts w:asciiTheme="minorHAnsi" w:hAnsiTheme="minorHAnsi" w:cstheme="minorHAnsi"/>
          <w:color w:val="323E4F" w:themeColor="text2" w:themeShade="BF"/>
          <w:sz w:val="24"/>
          <w:szCs w:val="24"/>
        </w:rPr>
        <w:t>It is not</w:t>
      </w:r>
      <w:r w:rsidRPr="006E1AAF">
        <w:rPr>
          <w:rFonts w:asciiTheme="minorHAnsi" w:hAnsiTheme="minorHAnsi" w:cstheme="minorHAnsi"/>
          <w:color w:val="323E4F" w:themeColor="text2" w:themeShade="BF"/>
          <w:sz w:val="24"/>
          <w:szCs w:val="24"/>
        </w:rPr>
        <w:t xml:space="preserve"> necessary that all the members of the Committee</w:t>
      </w:r>
      <w:r w:rsidR="00AC2050" w:rsidRPr="006E1AAF">
        <w:rPr>
          <w:rFonts w:asciiTheme="minorHAnsi" w:hAnsiTheme="minorHAnsi" w:cstheme="minorHAnsi"/>
          <w:color w:val="323E4F" w:themeColor="text2" w:themeShade="BF"/>
          <w:sz w:val="24"/>
          <w:szCs w:val="24"/>
        </w:rPr>
        <w:t>, e.g. 23 or 18 members,</w:t>
      </w:r>
      <w:r w:rsidRPr="006E1AAF">
        <w:rPr>
          <w:rFonts w:asciiTheme="minorHAnsi" w:hAnsiTheme="minorHAnsi" w:cstheme="minorHAnsi"/>
          <w:color w:val="323E4F" w:themeColor="text2" w:themeShade="BF"/>
          <w:sz w:val="24"/>
          <w:szCs w:val="24"/>
        </w:rPr>
        <w:t xml:space="preserve"> participate in a dialogue with the State party</w:t>
      </w:r>
      <w:r w:rsidR="00B24FC3" w:rsidRPr="006E1AAF">
        <w:rPr>
          <w:rFonts w:asciiTheme="minorHAnsi" w:hAnsiTheme="minorHAnsi" w:cstheme="minorHAnsi"/>
          <w:color w:val="323E4F" w:themeColor="text2" w:themeShade="BF"/>
          <w:sz w:val="24"/>
          <w:szCs w:val="24"/>
        </w:rPr>
        <w:t>. By careful preparation, a smaller reporting group</w:t>
      </w:r>
      <w:r w:rsidR="002F4AD1" w:rsidRPr="006E1AAF">
        <w:rPr>
          <w:rFonts w:asciiTheme="minorHAnsi" w:hAnsiTheme="minorHAnsi" w:cstheme="minorHAnsi"/>
          <w:color w:val="323E4F" w:themeColor="text2" w:themeShade="BF"/>
          <w:sz w:val="24"/>
          <w:szCs w:val="24"/>
        </w:rPr>
        <w:t xml:space="preserve"> of the Committee, e.g. three or four members,</w:t>
      </w:r>
      <w:r w:rsidR="00B24FC3" w:rsidRPr="006E1AAF">
        <w:rPr>
          <w:rFonts w:asciiTheme="minorHAnsi" w:hAnsiTheme="minorHAnsi" w:cstheme="minorHAnsi"/>
          <w:color w:val="323E4F" w:themeColor="text2" w:themeShade="BF"/>
          <w:sz w:val="24"/>
          <w:szCs w:val="24"/>
        </w:rPr>
        <w:t xml:space="preserve"> could engage in dialogue. This would be a lighter model than the chamber model, which has already been tested by a few Committees. However, decision-making would still take place in the plenary of the Committee in the presence of all members.</w:t>
      </w:r>
    </w:p>
    <w:p w14:paraId="11E19121" w14:textId="77777777" w:rsidR="00F8057B" w:rsidRPr="006E1AAF" w:rsidRDefault="00F8057B" w:rsidP="006E1AAF">
      <w:pPr>
        <w:overflowPunct w:val="0"/>
        <w:autoSpaceDE w:val="0"/>
        <w:autoSpaceDN w:val="0"/>
        <w:adjustRightInd w:val="0"/>
        <w:jc w:val="both"/>
        <w:textAlignment w:val="baseline"/>
        <w:rPr>
          <w:rFonts w:asciiTheme="minorHAnsi" w:hAnsiTheme="minorHAnsi" w:cstheme="minorHAnsi"/>
          <w:color w:val="323E4F" w:themeColor="text2" w:themeShade="BF"/>
          <w:sz w:val="24"/>
          <w:szCs w:val="24"/>
          <w:lang w:val="en-US"/>
        </w:rPr>
      </w:pPr>
    </w:p>
    <w:p w14:paraId="509CF812" w14:textId="6A4FE9C8" w:rsidR="002F4AD1" w:rsidRPr="006E1AAF" w:rsidRDefault="00AC2050" w:rsidP="006E1AAF">
      <w:pPr>
        <w:overflowPunct w:val="0"/>
        <w:autoSpaceDE w:val="0"/>
        <w:autoSpaceDN w:val="0"/>
        <w:adjustRightInd w:val="0"/>
        <w:jc w:val="both"/>
        <w:textAlignment w:val="baseline"/>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Finland commends the Committee against Torture</w:t>
      </w:r>
      <w:r w:rsidR="002F4AD1" w:rsidRPr="006E1AAF">
        <w:rPr>
          <w:rFonts w:asciiTheme="minorHAnsi" w:hAnsiTheme="minorHAnsi" w:cstheme="minorHAnsi"/>
          <w:color w:val="323E4F" w:themeColor="text2" w:themeShade="BF"/>
          <w:sz w:val="24"/>
          <w:szCs w:val="24"/>
          <w:lang w:val="en-US"/>
        </w:rPr>
        <w:t xml:space="preserve"> for very effective time management during the dialogue. The progress of the dialogue and the timetable were clearly explained to the State party at the beginning of the review. This further enhanced the dialogue.</w:t>
      </w:r>
    </w:p>
    <w:p w14:paraId="5080CD27" w14:textId="77777777" w:rsidR="00F8057B" w:rsidRPr="006E1AAF" w:rsidRDefault="00F8057B" w:rsidP="006E1AAF">
      <w:pPr>
        <w:overflowPunct w:val="0"/>
        <w:autoSpaceDE w:val="0"/>
        <w:autoSpaceDN w:val="0"/>
        <w:adjustRightInd w:val="0"/>
        <w:jc w:val="both"/>
        <w:textAlignment w:val="baseline"/>
        <w:rPr>
          <w:rFonts w:asciiTheme="minorHAnsi" w:hAnsiTheme="minorHAnsi" w:cstheme="minorHAnsi"/>
          <w:color w:val="323E4F" w:themeColor="text2" w:themeShade="BF"/>
          <w:sz w:val="24"/>
          <w:szCs w:val="24"/>
        </w:rPr>
      </w:pPr>
    </w:p>
    <w:p w14:paraId="5EF78C6E" w14:textId="2E618EF0" w:rsidR="002F4AD1" w:rsidRPr="006E1AAF" w:rsidRDefault="00AC2050" w:rsidP="006E1AAF">
      <w:pPr>
        <w:overflowPunct w:val="0"/>
        <w:autoSpaceDE w:val="0"/>
        <w:autoSpaceDN w:val="0"/>
        <w:adjustRightInd w:val="0"/>
        <w:jc w:val="both"/>
        <w:textAlignment w:val="baseline"/>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Finland commends the Committee on the Elimination of Racial Discrimination</w:t>
      </w:r>
      <w:r w:rsidR="002F4AD1" w:rsidRPr="006E1AAF">
        <w:rPr>
          <w:rFonts w:asciiTheme="minorHAnsi" w:hAnsiTheme="minorHAnsi" w:cstheme="minorHAnsi"/>
          <w:color w:val="323E4F" w:themeColor="text2" w:themeShade="BF"/>
          <w:sz w:val="24"/>
          <w:szCs w:val="24"/>
        </w:rPr>
        <w:t xml:space="preserve"> for its good practice of giving voice to the national human rights institution during the dialogue with the State party. The same practice should a</w:t>
      </w:r>
      <w:r w:rsidR="001431C0">
        <w:rPr>
          <w:rFonts w:asciiTheme="minorHAnsi" w:hAnsiTheme="minorHAnsi" w:cstheme="minorHAnsi"/>
          <w:color w:val="323E4F" w:themeColor="text2" w:themeShade="BF"/>
          <w:sz w:val="24"/>
          <w:szCs w:val="24"/>
        </w:rPr>
        <w:t>lso be considered in all other C</w:t>
      </w:r>
      <w:r w:rsidR="002F4AD1" w:rsidRPr="006E1AAF">
        <w:rPr>
          <w:rFonts w:asciiTheme="minorHAnsi" w:hAnsiTheme="minorHAnsi" w:cstheme="minorHAnsi"/>
          <w:color w:val="323E4F" w:themeColor="text2" w:themeShade="BF"/>
          <w:sz w:val="24"/>
          <w:szCs w:val="24"/>
        </w:rPr>
        <w:t>ommittees.</w:t>
      </w:r>
    </w:p>
    <w:p w14:paraId="7602E5CD" w14:textId="77777777" w:rsidR="00F8057B" w:rsidRPr="006E1AAF" w:rsidRDefault="00F8057B" w:rsidP="006E1AAF">
      <w:pPr>
        <w:overflowPunct w:val="0"/>
        <w:autoSpaceDE w:val="0"/>
        <w:autoSpaceDN w:val="0"/>
        <w:adjustRightInd w:val="0"/>
        <w:jc w:val="both"/>
        <w:textAlignment w:val="baseline"/>
        <w:rPr>
          <w:rFonts w:asciiTheme="minorHAnsi" w:hAnsiTheme="minorHAnsi" w:cstheme="minorHAnsi"/>
          <w:color w:val="323E4F" w:themeColor="text2" w:themeShade="BF"/>
          <w:sz w:val="24"/>
          <w:szCs w:val="24"/>
        </w:rPr>
      </w:pPr>
    </w:p>
    <w:p w14:paraId="5B96875D" w14:textId="0D2EBF0C" w:rsidR="00D43E35" w:rsidRPr="006E1AAF" w:rsidRDefault="00D43E35" w:rsidP="002F4AD1">
      <w:pPr>
        <w:overflowPunct w:val="0"/>
        <w:autoSpaceDE w:val="0"/>
        <w:autoSpaceDN w:val="0"/>
        <w:adjustRightInd w:val="0"/>
        <w:spacing w:after="120"/>
        <w:jc w:val="both"/>
        <w:textAlignment w:val="baseline"/>
        <w:rPr>
          <w:rFonts w:asciiTheme="minorHAnsi" w:hAnsiTheme="minorHAnsi" w:cstheme="minorHAnsi"/>
          <w:b/>
          <w:i/>
          <w:color w:val="323E4F" w:themeColor="text2" w:themeShade="BF"/>
          <w:sz w:val="24"/>
          <w:szCs w:val="24"/>
        </w:rPr>
      </w:pPr>
      <w:r w:rsidRPr="006E1AAF">
        <w:rPr>
          <w:rFonts w:asciiTheme="minorHAnsi" w:hAnsiTheme="minorHAnsi" w:cstheme="minorHAnsi"/>
          <w:b/>
          <w:i/>
          <w:color w:val="323E4F" w:themeColor="text2" w:themeShade="BF"/>
          <w:sz w:val="24"/>
          <w:szCs w:val="24"/>
        </w:rPr>
        <w:t>Concluding observations</w:t>
      </w:r>
    </w:p>
    <w:p w14:paraId="2DD78290" w14:textId="158A10B9" w:rsidR="00D43E35" w:rsidRPr="006E1AAF" w:rsidRDefault="00D43E35" w:rsidP="006E1AAF">
      <w:pPr>
        <w:tabs>
          <w:tab w:val="left" w:pos="600"/>
          <w:tab w:val="num" w:pos="851"/>
        </w:tabs>
        <w:autoSpaceDE w:val="0"/>
        <w:autoSpaceDN w:val="0"/>
        <w:adjustRightInd w:val="0"/>
        <w:jc w:val="both"/>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 xml:space="preserve">In recent </w:t>
      </w:r>
      <w:r w:rsidR="00F8057B" w:rsidRPr="006E1AAF">
        <w:rPr>
          <w:rFonts w:asciiTheme="minorHAnsi" w:hAnsiTheme="minorHAnsi" w:cstheme="minorHAnsi"/>
          <w:color w:val="323E4F" w:themeColor="text2" w:themeShade="BF"/>
          <w:sz w:val="24"/>
          <w:szCs w:val="24"/>
        </w:rPr>
        <w:t>years,</w:t>
      </w:r>
      <w:r w:rsidRPr="006E1AAF">
        <w:rPr>
          <w:rFonts w:asciiTheme="minorHAnsi" w:hAnsiTheme="minorHAnsi" w:cstheme="minorHAnsi"/>
          <w:color w:val="323E4F" w:themeColor="text2" w:themeShade="BF"/>
          <w:sz w:val="24"/>
          <w:szCs w:val="24"/>
        </w:rPr>
        <w:t xml:space="preserve"> the number of the concluding observations adopted by </w:t>
      </w:r>
      <w:r w:rsidR="001431C0">
        <w:rPr>
          <w:rFonts w:asciiTheme="minorHAnsi" w:hAnsiTheme="minorHAnsi" w:cstheme="minorHAnsi"/>
          <w:color w:val="323E4F" w:themeColor="text2" w:themeShade="BF"/>
          <w:sz w:val="24"/>
          <w:szCs w:val="24"/>
        </w:rPr>
        <w:t xml:space="preserve">the </w:t>
      </w:r>
      <w:r w:rsidRPr="006E1AAF">
        <w:rPr>
          <w:rFonts w:asciiTheme="minorHAnsi" w:hAnsiTheme="minorHAnsi" w:cstheme="minorHAnsi"/>
          <w:color w:val="323E4F" w:themeColor="text2" w:themeShade="BF"/>
          <w:sz w:val="24"/>
          <w:szCs w:val="24"/>
        </w:rPr>
        <w:t xml:space="preserve">treaty bodies has increased, and they have become more detailed. However, Finland's experience is that this change has not been entirely positive. The number of treaty body recommendations is so high that the effective implementation of them is hampered. The uneven content and quality of the recommendations </w:t>
      </w:r>
      <w:r w:rsidR="00A90067">
        <w:rPr>
          <w:rFonts w:asciiTheme="minorHAnsi" w:hAnsiTheme="minorHAnsi" w:cstheme="minorHAnsi"/>
          <w:color w:val="323E4F" w:themeColor="text2" w:themeShade="BF"/>
          <w:sz w:val="24"/>
          <w:szCs w:val="24"/>
        </w:rPr>
        <w:t xml:space="preserve">is </w:t>
      </w:r>
      <w:r w:rsidRPr="006E1AAF">
        <w:rPr>
          <w:rFonts w:asciiTheme="minorHAnsi" w:hAnsiTheme="minorHAnsi" w:cstheme="minorHAnsi"/>
          <w:color w:val="323E4F" w:themeColor="text2" w:themeShade="BF"/>
          <w:sz w:val="24"/>
          <w:szCs w:val="24"/>
        </w:rPr>
        <w:t>also</w:t>
      </w:r>
      <w:r w:rsidR="00A90067">
        <w:rPr>
          <w:rFonts w:asciiTheme="minorHAnsi" w:hAnsiTheme="minorHAnsi" w:cstheme="minorHAnsi"/>
          <w:color w:val="323E4F" w:themeColor="text2" w:themeShade="BF"/>
          <w:sz w:val="24"/>
          <w:szCs w:val="24"/>
        </w:rPr>
        <w:t xml:space="preserve"> a challenge for </w:t>
      </w:r>
      <w:r w:rsidR="008A749C" w:rsidRPr="006E1AAF">
        <w:rPr>
          <w:rFonts w:asciiTheme="minorHAnsi" w:hAnsiTheme="minorHAnsi" w:cstheme="minorHAnsi"/>
          <w:color w:val="323E4F" w:themeColor="text2" w:themeShade="BF"/>
          <w:sz w:val="24"/>
          <w:szCs w:val="24"/>
        </w:rPr>
        <w:t xml:space="preserve">their </w:t>
      </w:r>
      <w:r w:rsidRPr="006E1AAF">
        <w:rPr>
          <w:rFonts w:asciiTheme="minorHAnsi" w:hAnsiTheme="minorHAnsi" w:cstheme="minorHAnsi"/>
          <w:color w:val="323E4F" w:themeColor="text2" w:themeShade="BF"/>
          <w:sz w:val="24"/>
          <w:szCs w:val="24"/>
        </w:rPr>
        <w:t>implementation. The observations and especially the recommendations made in them should be targeted more specifi</w:t>
      </w:r>
      <w:r w:rsidR="00092E06">
        <w:rPr>
          <w:rFonts w:asciiTheme="minorHAnsi" w:hAnsiTheme="minorHAnsi" w:cstheme="minorHAnsi"/>
          <w:color w:val="323E4F" w:themeColor="text2" w:themeShade="BF"/>
          <w:sz w:val="24"/>
          <w:szCs w:val="24"/>
        </w:rPr>
        <w:t>cally, and they should prioritis</w:t>
      </w:r>
      <w:r w:rsidRPr="006E1AAF">
        <w:rPr>
          <w:rFonts w:asciiTheme="minorHAnsi" w:hAnsiTheme="minorHAnsi" w:cstheme="minorHAnsi"/>
          <w:color w:val="323E4F" w:themeColor="text2" w:themeShade="BF"/>
          <w:sz w:val="24"/>
          <w:szCs w:val="24"/>
        </w:rPr>
        <w:t xml:space="preserve">e key issues in a realistic manner. </w:t>
      </w:r>
    </w:p>
    <w:p w14:paraId="3FB8ACCC" w14:textId="77777777" w:rsidR="00D43E35" w:rsidRPr="006E1AAF" w:rsidRDefault="00D43E35" w:rsidP="006E1AAF">
      <w:pPr>
        <w:tabs>
          <w:tab w:val="left" w:pos="600"/>
          <w:tab w:val="num" w:pos="851"/>
        </w:tabs>
        <w:autoSpaceDE w:val="0"/>
        <w:autoSpaceDN w:val="0"/>
        <w:adjustRightInd w:val="0"/>
        <w:jc w:val="both"/>
        <w:rPr>
          <w:rFonts w:asciiTheme="minorHAnsi" w:hAnsiTheme="minorHAnsi" w:cstheme="minorHAnsi"/>
          <w:color w:val="323E4F" w:themeColor="text2" w:themeShade="BF"/>
          <w:sz w:val="24"/>
          <w:szCs w:val="24"/>
        </w:rPr>
      </w:pPr>
    </w:p>
    <w:p w14:paraId="5563F3EB" w14:textId="62C47E26" w:rsidR="00D43E35" w:rsidRPr="006E1AAF" w:rsidRDefault="00D43E35" w:rsidP="006E1AAF">
      <w:pPr>
        <w:overflowPunct w:val="0"/>
        <w:autoSpaceDE w:val="0"/>
        <w:autoSpaceDN w:val="0"/>
        <w:adjustRightInd w:val="0"/>
        <w:jc w:val="both"/>
        <w:textAlignment w:val="baseline"/>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Finland proposes that the treaty bodies reform the current format of their co</w:t>
      </w:r>
      <w:r w:rsidR="001B1750" w:rsidRPr="006E1AAF">
        <w:rPr>
          <w:rFonts w:asciiTheme="minorHAnsi" w:hAnsiTheme="minorHAnsi" w:cstheme="minorHAnsi"/>
          <w:color w:val="323E4F" w:themeColor="text2" w:themeShade="BF"/>
          <w:sz w:val="24"/>
          <w:szCs w:val="24"/>
        </w:rPr>
        <w:t>ncluding observations by</w:t>
      </w:r>
      <w:r w:rsidRPr="006E1AAF">
        <w:rPr>
          <w:rFonts w:asciiTheme="minorHAnsi" w:hAnsiTheme="minorHAnsi" w:cstheme="minorHAnsi"/>
          <w:color w:val="323E4F" w:themeColor="text2" w:themeShade="BF"/>
          <w:sz w:val="24"/>
          <w:szCs w:val="24"/>
        </w:rPr>
        <w:t xml:space="preserve"> clearly </w:t>
      </w:r>
      <w:r w:rsidR="00A90067">
        <w:rPr>
          <w:rFonts w:asciiTheme="minorHAnsi" w:hAnsiTheme="minorHAnsi" w:cstheme="minorHAnsi"/>
          <w:color w:val="323E4F" w:themeColor="text2" w:themeShade="BF"/>
          <w:sz w:val="24"/>
          <w:szCs w:val="24"/>
        </w:rPr>
        <w:t xml:space="preserve">identifying </w:t>
      </w:r>
      <w:r w:rsidR="001431C0">
        <w:rPr>
          <w:rFonts w:asciiTheme="minorHAnsi" w:hAnsiTheme="minorHAnsi" w:cstheme="minorHAnsi"/>
          <w:color w:val="323E4F" w:themeColor="text2" w:themeShade="BF"/>
          <w:sz w:val="24"/>
          <w:szCs w:val="24"/>
        </w:rPr>
        <w:t>from three to five</w:t>
      </w:r>
      <w:r w:rsidRPr="006E1AAF">
        <w:rPr>
          <w:rFonts w:asciiTheme="minorHAnsi" w:hAnsiTheme="minorHAnsi" w:cstheme="minorHAnsi"/>
          <w:color w:val="323E4F" w:themeColor="text2" w:themeShade="BF"/>
          <w:sz w:val="24"/>
          <w:szCs w:val="24"/>
        </w:rPr>
        <w:t xml:space="preserve"> recommendations that require immediate measures, and</w:t>
      </w:r>
      <w:r w:rsidR="001431C0">
        <w:rPr>
          <w:rFonts w:asciiTheme="minorHAnsi" w:hAnsiTheme="minorHAnsi" w:cstheme="minorHAnsi"/>
          <w:color w:val="323E4F" w:themeColor="text2" w:themeShade="BF"/>
          <w:sz w:val="24"/>
          <w:szCs w:val="24"/>
        </w:rPr>
        <w:t>,</w:t>
      </w:r>
      <w:r w:rsidRPr="006E1AAF">
        <w:rPr>
          <w:rFonts w:asciiTheme="minorHAnsi" w:hAnsiTheme="minorHAnsi" w:cstheme="minorHAnsi"/>
          <w:color w:val="323E4F" w:themeColor="text2" w:themeShade="BF"/>
          <w:sz w:val="24"/>
          <w:szCs w:val="24"/>
        </w:rPr>
        <w:t xml:space="preserve"> if necessary</w:t>
      </w:r>
      <w:r w:rsidR="001431C0">
        <w:rPr>
          <w:rFonts w:asciiTheme="minorHAnsi" w:hAnsiTheme="minorHAnsi" w:cstheme="minorHAnsi"/>
          <w:color w:val="323E4F" w:themeColor="text2" w:themeShade="BF"/>
          <w:sz w:val="24"/>
          <w:szCs w:val="24"/>
        </w:rPr>
        <w:t>,</w:t>
      </w:r>
      <w:r w:rsidRPr="006E1AAF">
        <w:rPr>
          <w:rFonts w:asciiTheme="minorHAnsi" w:hAnsiTheme="minorHAnsi" w:cstheme="minorHAnsi"/>
          <w:color w:val="323E4F" w:themeColor="text2" w:themeShade="BF"/>
          <w:sz w:val="24"/>
          <w:szCs w:val="24"/>
        </w:rPr>
        <w:t xml:space="preserve"> </w:t>
      </w:r>
      <w:r w:rsidR="00A90067">
        <w:rPr>
          <w:rFonts w:asciiTheme="minorHAnsi" w:hAnsiTheme="minorHAnsi" w:cstheme="minorHAnsi"/>
          <w:color w:val="323E4F" w:themeColor="text2" w:themeShade="BF"/>
          <w:sz w:val="24"/>
          <w:szCs w:val="24"/>
        </w:rPr>
        <w:t xml:space="preserve">including </w:t>
      </w:r>
      <w:r w:rsidRPr="006E1AAF">
        <w:rPr>
          <w:rFonts w:asciiTheme="minorHAnsi" w:hAnsiTheme="minorHAnsi" w:cstheme="minorHAnsi"/>
          <w:color w:val="323E4F" w:themeColor="text2" w:themeShade="BF"/>
          <w:sz w:val="24"/>
          <w:szCs w:val="24"/>
        </w:rPr>
        <w:t>a reasonable number (max</w:t>
      </w:r>
      <w:r w:rsidR="001431C0">
        <w:rPr>
          <w:rFonts w:asciiTheme="minorHAnsi" w:hAnsiTheme="minorHAnsi" w:cstheme="minorHAnsi"/>
          <w:color w:val="323E4F" w:themeColor="text2" w:themeShade="BF"/>
          <w:sz w:val="24"/>
          <w:szCs w:val="24"/>
        </w:rPr>
        <w:t>.</w:t>
      </w:r>
      <w:r w:rsidRPr="006E1AAF">
        <w:rPr>
          <w:rFonts w:asciiTheme="minorHAnsi" w:hAnsiTheme="minorHAnsi" w:cstheme="minorHAnsi"/>
          <w:color w:val="323E4F" w:themeColor="text2" w:themeShade="BF"/>
          <w:sz w:val="24"/>
          <w:szCs w:val="24"/>
        </w:rPr>
        <w:t xml:space="preserve"> 10–15) of recommendations for a longer term.</w:t>
      </w:r>
    </w:p>
    <w:p w14:paraId="133F1B7E" w14:textId="2FD4A458" w:rsidR="006E1AAF" w:rsidRDefault="006E1AAF" w:rsidP="006E1AAF">
      <w:pPr>
        <w:overflowPunct w:val="0"/>
        <w:autoSpaceDE w:val="0"/>
        <w:autoSpaceDN w:val="0"/>
        <w:adjustRightInd w:val="0"/>
        <w:jc w:val="both"/>
        <w:textAlignment w:val="baseline"/>
        <w:rPr>
          <w:rFonts w:asciiTheme="minorHAnsi" w:hAnsiTheme="minorHAnsi" w:cstheme="minorHAnsi"/>
          <w:color w:val="323E4F" w:themeColor="text2" w:themeShade="BF"/>
          <w:sz w:val="24"/>
          <w:szCs w:val="24"/>
        </w:rPr>
      </w:pPr>
    </w:p>
    <w:p w14:paraId="0BB196C5" w14:textId="77777777" w:rsidR="00C21A02" w:rsidRPr="006E1AAF" w:rsidRDefault="00C21A02" w:rsidP="006E1AAF">
      <w:pPr>
        <w:overflowPunct w:val="0"/>
        <w:autoSpaceDE w:val="0"/>
        <w:autoSpaceDN w:val="0"/>
        <w:adjustRightInd w:val="0"/>
        <w:jc w:val="both"/>
        <w:textAlignment w:val="baseline"/>
        <w:rPr>
          <w:rFonts w:asciiTheme="minorHAnsi" w:hAnsiTheme="minorHAnsi" w:cstheme="minorHAnsi"/>
          <w:color w:val="323E4F" w:themeColor="text2" w:themeShade="BF"/>
          <w:sz w:val="24"/>
          <w:szCs w:val="24"/>
        </w:rPr>
      </w:pPr>
    </w:p>
    <w:p w14:paraId="7D1B3D26" w14:textId="14EAE2C5" w:rsidR="001B1750" w:rsidRPr="006E1AAF" w:rsidRDefault="001B1750" w:rsidP="00D43E35">
      <w:pPr>
        <w:overflowPunct w:val="0"/>
        <w:autoSpaceDE w:val="0"/>
        <w:autoSpaceDN w:val="0"/>
        <w:adjustRightInd w:val="0"/>
        <w:spacing w:after="120"/>
        <w:jc w:val="both"/>
        <w:textAlignment w:val="baseline"/>
        <w:rPr>
          <w:rFonts w:asciiTheme="minorHAnsi" w:hAnsiTheme="minorHAnsi" w:cstheme="minorHAnsi"/>
          <w:b/>
          <w:i/>
          <w:color w:val="323E4F" w:themeColor="text2" w:themeShade="BF"/>
          <w:sz w:val="24"/>
          <w:szCs w:val="24"/>
        </w:rPr>
      </w:pPr>
      <w:r w:rsidRPr="006E1AAF">
        <w:rPr>
          <w:rFonts w:asciiTheme="minorHAnsi" w:hAnsiTheme="minorHAnsi" w:cstheme="minorHAnsi"/>
          <w:b/>
          <w:i/>
          <w:color w:val="323E4F" w:themeColor="text2" w:themeShade="BF"/>
          <w:sz w:val="24"/>
          <w:szCs w:val="24"/>
        </w:rPr>
        <w:t>Follow-up</w:t>
      </w:r>
    </w:p>
    <w:p w14:paraId="5A2DA13E" w14:textId="77777777" w:rsidR="00425137" w:rsidRPr="006E1AAF" w:rsidRDefault="00425137" w:rsidP="00425137">
      <w:pPr>
        <w:tabs>
          <w:tab w:val="left" w:pos="600"/>
          <w:tab w:val="num" w:pos="851"/>
        </w:tabs>
        <w:autoSpaceDE w:val="0"/>
        <w:autoSpaceDN w:val="0"/>
        <w:adjustRightInd w:val="0"/>
        <w:jc w:val="both"/>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The treaty bodies should intensively follow up the recommendations calling for immediate measures, including by requesting the State party to provide its views on the adequate implementation measures.</w:t>
      </w:r>
    </w:p>
    <w:p w14:paraId="06FAAF8E" w14:textId="77777777" w:rsidR="00425137" w:rsidRPr="006E1AAF" w:rsidRDefault="00425137" w:rsidP="001B1750">
      <w:pPr>
        <w:autoSpaceDE w:val="0"/>
        <w:autoSpaceDN w:val="0"/>
        <w:adjustRightInd w:val="0"/>
        <w:jc w:val="both"/>
        <w:rPr>
          <w:rFonts w:asciiTheme="minorHAnsi" w:hAnsiTheme="minorHAnsi" w:cstheme="minorHAnsi"/>
          <w:color w:val="323E4F" w:themeColor="text2" w:themeShade="BF"/>
          <w:sz w:val="24"/>
          <w:szCs w:val="24"/>
        </w:rPr>
      </w:pPr>
    </w:p>
    <w:p w14:paraId="78A95E0D" w14:textId="2F9C1216" w:rsidR="001B1750" w:rsidRPr="006E1AAF" w:rsidRDefault="001B1750" w:rsidP="006E1AAF">
      <w:pPr>
        <w:autoSpaceDE w:val="0"/>
        <w:autoSpaceDN w:val="0"/>
        <w:adjustRightInd w:val="0"/>
        <w:jc w:val="both"/>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 xml:space="preserve">Finland has positive experience of the follow-up to the implementation of concluding observations on the initiative </w:t>
      </w:r>
      <w:r w:rsidR="00A90067">
        <w:rPr>
          <w:rFonts w:asciiTheme="minorHAnsi" w:hAnsiTheme="minorHAnsi" w:cstheme="minorHAnsi"/>
          <w:color w:val="323E4F" w:themeColor="text2" w:themeShade="BF"/>
          <w:sz w:val="24"/>
          <w:szCs w:val="24"/>
        </w:rPr>
        <w:t xml:space="preserve">of </w:t>
      </w:r>
      <w:r w:rsidRPr="006E1AAF">
        <w:rPr>
          <w:rFonts w:asciiTheme="minorHAnsi" w:hAnsiTheme="minorHAnsi" w:cstheme="minorHAnsi"/>
          <w:color w:val="323E4F" w:themeColor="text2" w:themeShade="BF"/>
          <w:sz w:val="24"/>
          <w:szCs w:val="24"/>
        </w:rPr>
        <w:t xml:space="preserve">the treaty bodies themselves. </w:t>
      </w:r>
      <w:r w:rsidR="001431C0">
        <w:rPr>
          <w:rFonts w:asciiTheme="minorHAnsi" w:hAnsiTheme="minorHAnsi" w:cstheme="minorHAnsi"/>
          <w:color w:val="323E4F" w:themeColor="text2" w:themeShade="BF"/>
          <w:sz w:val="24"/>
          <w:szCs w:val="24"/>
        </w:rPr>
        <w:t>However, t</w:t>
      </w:r>
      <w:r w:rsidRPr="006E1AAF">
        <w:rPr>
          <w:rFonts w:asciiTheme="minorHAnsi" w:hAnsiTheme="minorHAnsi" w:cstheme="minorHAnsi"/>
          <w:color w:val="323E4F" w:themeColor="text2" w:themeShade="BF"/>
          <w:sz w:val="24"/>
          <w:szCs w:val="24"/>
        </w:rPr>
        <w:t xml:space="preserve">he follow-up practices of the </w:t>
      </w:r>
      <w:r w:rsidR="004D5100">
        <w:rPr>
          <w:rFonts w:asciiTheme="minorHAnsi" w:hAnsiTheme="minorHAnsi" w:cstheme="minorHAnsi"/>
          <w:color w:val="323E4F" w:themeColor="text2" w:themeShade="BF"/>
          <w:sz w:val="24"/>
          <w:szCs w:val="24"/>
        </w:rPr>
        <w:t>treaty bodies should be harmonis</w:t>
      </w:r>
      <w:r w:rsidRPr="006E1AAF">
        <w:rPr>
          <w:rFonts w:asciiTheme="minorHAnsi" w:hAnsiTheme="minorHAnsi" w:cstheme="minorHAnsi"/>
          <w:color w:val="323E4F" w:themeColor="text2" w:themeShade="BF"/>
          <w:sz w:val="24"/>
          <w:szCs w:val="24"/>
        </w:rPr>
        <w:t>ed, and the information produced by the follow-up should be shared among all treaty bodies.</w:t>
      </w:r>
    </w:p>
    <w:p w14:paraId="11220F8F" w14:textId="62BB8F1A" w:rsidR="001B1750" w:rsidRPr="006E1AAF" w:rsidRDefault="001B1750" w:rsidP="006E1AAF">
      <w:pPr>
        <w:autoSpaceDE w:val="0"/>
        <w:autoSpaceDN w:val="0"/>
        <w:adjustRightInd w:val="0"/>
        <w:jc w:val="both"/>
        <w:rPr>
          <w:rFonts w:asciiTheme="minorHAnsi" w:hAnsiTheme="minorHAnsi" w:cstheme="minorHAnsi"/>
          <w:color w:val="323E4F" w:themeColor="text2" w:themeShade="BF"/>
          <w:sz w:val="24"/>
          <w:szCs w:val="24"/>
        </w:rPr>
      </w:pPr>
    </w:p>
    <w:p w14:paraId="506DD473" w14:textId="78997273" w:rsidR="001B1750" w:rsidRPr="006E1AAF" w:rsidRDefault="001B1750" w:rsidP="006E1AAF">
      <w:pPr>
        <w:autoSpaceDE w:val="0"/>
        <w:autoSpaceDN w:val="0"/>
        <w:adjustRightInd w:val="0"/>
        <w:jc w:val="both"/>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The State party should be requested to report one or two years after the adoption of the concluding observations on the implementation of recommendations requiring immediate action. The Committees should have a consistent assessment of the state of implementation.</w:t>
      </w:r>
    </w:p>
    <w:p w14:paraId="7BB6BF03" w14:textId="77777777" w:rsidR="006944CE" w:rsidRPr="006E1AAF" w:rsidRDefault="006944CE" w:rsidP="006E1AAF">
      <w:pPr>
        <w:overflowPunct w:val="0"/>
        <w:autoSpaceDE w:val="0"/>
        <w:autoSpaceDN w:val="0"/>
        <w:adjustRightInd w:val="0"/>
        <w:jc w:val="both"/>
        <w:textAlignment w:val="baseline"/>
        <w:rPr>
          <w:rFonts w:asciiTheme="minorHAnsi" w:hAnsiTheme="minorHAnsi" w:cstheme="minorHAnsi"/>
          <w:color w:val="323E4F" w:themeColor="text2" w:themeShade="BF"/>
          <w:sz w:val="24"/>
          <w:szCs w:val="24"/>
          <w:lang w:val="en-US"/>
        </w:rPr>
      </w:pPr>
    </w:p>
    <w:p w14:paraId="0FD29AE4" w14:textId="371D91DD" w:rsidR="001B1750" w:rsidRPr="006E1AAF" w:rsidRDefault="001B1750" w:rsidP="00D43E35">
      <w:pPr>
        <w:overflowPunct w:val="0"/>
        <w:autoSpaceDE w:val="0"/>
        <w:autoSpaceDN w:val="0"/>
        <w:adjustRightInd w:val="0"/>
        <w:spacing w:after="120"/>
        <w:jc w:val="both"/>
        <w:textAlignment w:val="baseline"/>
        <w:rPr>
          <w:rFonts w:asciiTheme="minorHAnsi" w:hAnsiTheme="minorHAnsi" w:cstheme="minorHAnsi"/>
          <w:b/>
          <w:i/>
          <w:color w:val="323E4F" w:themeColor="text2" w:themeShade="BF"/>
          <w:sz w:val="24"/>
          <w:szCs w:val="24"/>
          <w:lang w:val="en-US"/>
        </w:rPr>
      </w:pPr>
      <w:r w:rsidRPr="006E1AAF">
        <w:rPr>
          <w:rFonts w:asciiTheme="minorHAnsi" w:hAnsiTheme="minorHAnsi" w:cstheme="minorHAnsi"/>
          <w:b/>
          <w:i/>
          <w:color w:val="323E4F" w:themeColor="text2" w:themeShade="BF"/>
          <w:sz w:val="24"/>
          <w:szCs w:val="24"/>
          <w:lang w:val="en-US"/>
        </w:rPr>
        <w:t>Petitions</w:t>
      </w:r>
    </w:p>
    <w:p w14:paraId="3060C5D4" w14:textId="729766DC" w:rsidR="003A2F1E" w:rsidRPr="006E1AAF" w:rsidRDefault="00203B88" w:rsidP="006E1AAF">
      <w:pPr>
        <w:pStyle w:val="HTMLPreformatted"/>
        <w:shd w:val="clear" w:color="auto" w:fill="FFFFFF"/>
        <w:jc w:val="both"/>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 xml:space="preserve">Finland is concerned </w:t>
      </w:r>
      <w:r w:rsidR="00A90067">
        <w:rPr>
          <w:rFonts w:asciiTheme="minorHAnsi" w:hAnsiTheme="minorHAnsi" w:cstheme="minorHAnsi"/>
          <w:color w:val="323E4F" w:themeColor="text2" w:themeShade="BF"/>
          <w:sz w:val="24"/>
          <w:szCs w:val="24"/>
        </w:rPr>
        <w:t xml:space="preserve">about </w:t>
      </w:r>
      <w:r w:rsidRPr="006E1AAF">
        <w:rPr>
          <w:rFonts w:asciiTheme="minorHAnsi" w:hAnsiTheme="minorHAnsi" w:cstheme="minorHAnsi"/>
          <w:color w:val="323E4F" w:themeColor="text2" w:themeShade="BF"/>
          <w:sz w:val="24"/>
          <w:szCs w:val="24"/>
        </w:rPr>
        <w:t xml:space="preserve">the current handling of </w:t>
      </w:r>
      <w:r w:rsidR="003A2F1E" w:rsidRPr="006E1AAF">
        <w:rPr>
          <w:rFonts w:asciiTheme="minorHAnsi" w:hAnsiTheme="minorHAnsi" w:cstheme="minorHAnsi"/>
          <w:color w:val="323E4F" w:themeColor="text2" w:themeShade="BF"/>
          <w:sz w:val="24"/>
          <w:szCs w:val="24"/>
        </w:rPr>
        <w:t>individual communications</w:t>
      </w:r>
      <w:r w:rsidRPr="006E1AAF">
        <w:rPr>
          <w:rFonts w:asciiTheme="minorHAnsi" w:hAnsiTheme="minorHAnsi" w:cstheme="minorHAnsi"/>
          <w:color w:val="323E4F" w:themeColor="text2" w:themeShade="BF"/>
          <w:sz w:val="24"/>
          <w:szCs w:val="24"/>
        </w:rPr>
        <w:t>. The procedure is neither predictable nor certain</w:t>
      </w:r>
      <w:r w:rsidR="008A749C" w:rsidRPr="006E1AAF">
        <w:rPr>
          <w:rFonts w:asciiTheme="minorHAnsi" w:hAnsiTheme="minorHAnsi" w:cstheme="minorHAnsi"/>
          <w:color w:val="323E4F" w:themeColor="text2" w:themeShade="BF"/>
          <w:sz w:val="24"/>
          <w:szCs w:val="24"/>
        </w:rPr>
        <w:t xml:space="preserve"> and varies by the Committee</w:t>
      </w:r>
      <w:r w:rsidRPr="006E1AAF">
        <w:rPr>
          <w:rFonts w:asciiTheme="minorHAnsi" w:hAnsiTheme="minorHAnsi" w:cstheme="minorHAnsi"/>
          <w:color w:val="323E4F" w:themeColor="text2" w:themeShade="BF"/>
          <w:sz w:val="24"/>
          <w:szCs w:val="24"/>
        </w:rPr>
        <w:t xml:space="preserve">. </w:t>
      </w:r>
      <w:r w:rsidR="003A2F1E" w:rsidRPr="006E1AAF">
        <w:rPr>
          <w:rFonts w:asciiTheme="minorHAnsi" w:hAnsiTheme="minorHAnsi" w:cstheme="minorHAnsi"/>
          <w:color w:val="323E4F" w:themeColor="text2" w:themeShade="BF"/>
          <w:sz w:val="24"/>
          <w:szCs w:val="24"/>
        </w:rPr>
        <w:t>The Committees’ varying interpretations of rights and varying admissibility criteria lead to forum shopping.</w:t>
      </w:r>
    </w:p>
    <w:p w14:paraId="20014E76" w14:textId="141053EA" w:rsidR="00780BAD" w:rsidRPr="006E1AAF" w:rsidRDefault="00780BAD" w:rsidP="006E1AAF">
      <w:pPr>
        <w:overflowPunct w:val="0"/>
        <w:autoSpaceDE w:val="0"/>
        <w:autoSpaceDN w:val="0"/>
        <w:adjustRightInd w:val="0"/>
        <w:jc w:val="both"/>
        <w:textAlignment w:val="baseline"/>
        <w:rPr>
          <w:rFonts w:asciiTheme="minorHAnsi" w:hAnsiTheme="minorHAnsi" w:cstheme="minorHAnsi"/>
          <w:color w:val="323E4F" w:themeColor="text2" w:themeShade="BF"/>
          <w:sz w:val="24"/>
          <w:szCs w:val="24"/>
          <w:lang w:val="en-US"/>
        </w:rPr>
      </w:pPr>
    </w:p>
    <w:p w14:paraId="70A2CE77" w14:textId="3F0D3E91" w:rsidR="00203B88" w:rsidRPr="006E1AAF" w:rsidRDefault="00941F7A" w:rsidP="006E1AAF">
      <w:pPr>
        <w:pStyle w:val="HTMLPreformatted"/>
        <w:shd w:val="clear" w:color="auto" w:fill="FFFFFF"/>
        <w:jc w:val="both"/>
        <w:rPr>
          <w:rFonts w:asciiTheme="minorHAnsi" w:hAnsiTheme="minorHAnsi" w:cstheme="minorHAnsi"/>
          <w:color w:val="323E4F" w:themeColor="text2" w:themeShade="BF"/>
          <w:sz w:val="24"/>
          <w:szCs w:val="24"/>
        </w:rPr>
      </w:pPr>
      <w:r w:rsidRPr="006E1AAF">
        <w:rPr>
          <w:rFonts w:asciiTheme="minorHAnsi" w:hAnsiTheme="minorHAnsi" w:cstheme="minorHAnsi"/>
          <w:color w:val="323E4F" w:themeColor="text2" w:themeShade="BF"/>
          <w:sz w:val="24"/>
          <w:szCs w:val="24"/>
        </w:rPr>
        <w:t>The Go</w:t>
      </w:r>
      <w:r w:rsidR="003A2F1E" w:rsidRPr="006E1AAF">
        <w:rPr>
          <w:rFonts w:asciiTheme="minorHAnsi" w:hAnsiTheme="minorHAnsi" w:cstheme="minorHAnsi"/>
          <w:color w:val="323E4F" w:themeColor="text2" w:themeShade="BF"/>
          <w:sz w:val="24"/>
          <w:szCs w:val="24"/>
        </w:rPr>
        <w:t>vernment acknowledges that the Office</w:t>
      </w:r>
      <w:r w:rsidRPr="006E1AAF">
        <w:rPr>
          <w:rFonts w:asciiTheme="minorHAnsi" w:hAnsiTheme="minorHAnsi" w:cstheme="minorHAnsi"/>
          <w:color w:val="323E4F" w:themeColor="text2" w:themeShade="BF"/>
          <w:sz w:val="24"/>
          <w:szCs w:val="24"/>
        </w:rPr>
        <w:t xml:space="preserve"> has very limited resources for handling communications that have </w:t>
      </w:r>
      <w:r w:rsidR="00F8057B" w:rsidRPr="006E1AAF">
        <w:rPr>
          <w:rFonts w:asciiTheme="minorHAnsi" w:hAnsiTheme="minorHAnsi" w:cstheme="minorHAnsi"/>
          <w:color w:val="323E4F" w:themeColor="text2" w:themeShade="BF"/>
          <w:sz w:val="24"/>
          <w:szCs w:val="24"/>
        </w:rPr>
        <w:t xml:space="preserve">increased </w:t>
      </w:r>
      <w:r w:rsidRPr="006E1AAF">
        <w:rPr>
          <w:rFonts w:asciiTheme="minorHAnsi" w:hAnsiTheme="minorHAnsi" w:cstheme="minorHAnsi"/>
          <w:color w:val="323E4F" w:themeColor="text2" w:themeShade="BF"/>
          <w:sz w:val="24"/>
          <w:szCs w:val="24"/>
        </w:rPr>
        <w:t xml:space="preserve">rapidly. </w:t>
      </w:r>
      <w:r w:rsidR="00203B88" w:rsidRPr="006E1AAF">
        <w:rPr>
          <w:rFonts w:asciiTheme="minorHAnsi" w:hAnsiTheme="minorHAnsi" w:cstheme="minorHAnsi"/>
          <w:color w:val="323E4F" w:themeColor="text2" w:themeShade="BF"/>
          <w:sz w:val="24"/>
          <w:szCs w:val="24"/>
        </w:rPr>
        <w:t>The processing of communications should be urgently developed further in respect of processing delays and documentation and reasoning for the decisions.</w:t>
      </w:r>
      <w:r w:rsidR="00D07C34" w:rsidRPr="006E1AAF">
        <w:rPr>
          <w:rFonts w:asciiTheme="minorHAnsi" w:hAnsiTheme="minorHAnsi" w:cstheme="minorHAnsi"/>
          <w:color w:val="323E4F" w:themeColor="text2" w:themeShade="BF"/>
          <w:sz w:val="24"/>
          <w:szCs w:val="24"/>
        </w:rPr>
        <w:t xml:space="preserve"> </w:t>
      </w:r>
      <w:r w:rsidR="003A2F1E" w:rsidRPr="006E1AAF">
        <w:rPr>
          <w:rFonts w:asciiTheme="minorHAnsi" w:hAnsiTheme="minorHAnsi" w:cstheme="minorHAnsi"/>
          <w:color w:val="323E4F" w:themeColor="text2" w:themeShade="BF"/>
          <w:sz w:val="24"/>
          <w:szCs w:val="24"/>
        </w:rPr>
        <w:t xml:space="preserve">As the number of communications increases and content becomes more complex, more in-depth legal expertise and efficient process management are needed. </w:t>
      </w:r>
      <w:r w:rsidR="00560EEE" w:rsidRPr="006E1AAF">
        <w:rPr>
          <w:rFonts w:asciiTheme="minorHAnsi" w:hAnsiTheme="minorHAnsi" w:cstheme="minorHAnsi"/>
          <w:color w:val="323E4F" w:themeColor="text2" w:themeShade="BF"/>
          <w:sz w:val="24"/>
          <w:szCs w:val="24"/>
        </w:rPr>
        <w:t xml:space="preserve">Consistent and coherent jurisprudence of the Committees is a prerequisite for the credibility of the entire communications procedure. </w:t>
      </w:r>
      <w:r w:rsidR="00D07C34" w:rsidRPr="006E1AAF">
        <w:rPr>
          <w:rFonts w:asciiTheme="minorHAnsi" w:hAnsiTheme="minorHAnsi" w:cstheme="minorHAnsi"/>
          <w:color w:val="323E4F" w:themeColor="text2" w:themeShade="BF"/>
          <w:sz w:val="24"/>
          <w:szCs w:val="24"/>
        </w:rPr>
        <w:t>However, we note with particular concern that the resources at the Petitions Unit have not been adapted to meet the increase in the number of individual complaints.</w:t>
      </w:r>
      <w:r w:rsidR="003A2F1E" w:rsidRPr="006E1AAF">
        <w:rPr>
          <w:rFonts w:asciiTheme="minorHAnsi" w:hAnsiTheme="minorHAnsi" w:cstheme="minorHAnsi"/>
          <w:color w:val="323E4F" w:themeColor="text2" w:themeShade="BF"/>
          <w:sz w:val="24"/>
          <w:szCs w:val="24"/>
        </w:rPr>
        <w:t xml:space="preserve"> </w:t>
      </w:r>
    </w:p>
    <w:p w14:paraId="1ECE192C" w14:textId="77777777" w:rsidR="003A2F1E" w:rsidRPr="006E1AAF" w:rsidRDefault="003A2F1E" w:rsidP="006E1AAF">
      <w:pPr>
        <w:pStyle w:val="HTMLPreformatted"/>
        <w:shd w:val="clear" w:color="auto" w:fill="FFFFFF"/>
        <w:jc w:val="both"/>
        <w:rPr>
          <w:rFonts w:asciiTheme="minorHAnsi" w:hAnsiTheme="minorHAnsi" w:cstheme="minorHAnsi"/>
          <w:color w:val="323E4F" w:themeColor="text2" w:themeShade="BF"/>
          <w:sz w:val="24"/>
          <w:szCs w:val="24"/>
        </w:rPr>
      </w:pPr>
    </w:p>
    <w:p w14:paraId="17758E1F" w14:textId="4D74B638" w:rsidR="00780BAD" w:rsidRPr="006E1AAF" w:rsidRDefault="00E93320" w:rsidP="006E1AAF">
      <w:pPr>
        <w:pStyle w:val="HTMLPreformatted"/>
        <w:shd w:val="clear" w:color="auto" w:fill="FFFFFF"/>
        <w:jc w:val="both"/>
        <w:rPr>
          <w:rFonts w:asciiTheme="minorHAnsi" w:hAnsiTheme="minorHAnsi" w:cstheme="minorHAnsi"/>
          <w:color w:val="323E4F" w:themeColor="text2" w:themeShade="BF"/>
          <w:sz w:val="24"/>
          <w:szCs w:val="24"/>
        </w:rPr>
      </w:pPr>
      <w:r>
        <w:rPr>
          <w:rFonts w:asciiTheme="minorHAnsi" w:hAnsiTheme="minorHAnsi" w:cstheme="minorHAnsi"/>
          <w:color w:val="323E4F" w:themeColor="text2" w:themeShade="BF"/>
          <w:sz w:val="24"/>
          <w:szCs w:val="24"/>
        </w:rPr>
        <w:t>One of the challenges is</w:t>
      </w:r>
      <w:r w:rsidR="00780BAD" w:rsidRPr="006E1AAF">
        <w:rPr>
          <w:rFonts w:asciiTheme="minorHAnsi" w:hAnsiTheme="minorHAnsi" w:cstheme="minorHAnsi"/>
          <w:color w:val="323E4F" w:themeColor="text2" w:themeShade="BF"/>
          <w:sz w:val="24"/>
          <w:szCs w:val="24"/>
        </w:rPr>
        <w:t xml:space="preserve"> that no one leads the process and that unlimited written observation</w:t>
      </w:r>
      <w:r>
        <w:rPr>
          <w:rFonts w:asciiTheme="minorHAnsi" w:hAnsiTheme="minorHAnsi" w:cstheme="minorHAnsi"/>
          <w:color w:val="323E4F" w:themeColor="text2" w:themeShade="BF"/>
          <w:sz w:val="24"/>
          <w:szCs w:val="24"/>
        </w:rPr>
        <w:t>s</w:t>
      </w:r>
      <w:r w:rsidR="00780BAD" w:rsidRPr="006E1AAF">
        <w:rPr>
          <w:rFonts w:asciiTheme="minorHAnsi" w:hAnsiTheme="minorHAnsi" w:cstheme="minorHAnsi"/>
          <w:color w:val="323E4F" w:themeColor="text2" w:themeShade="BF"/>
          <w:sz w:val="24"/>
          <w:szCs w:val="24"/>
        </w:rPr>
        <w:t xml:space="preserve"> can be submitted. </w:t>
      </w:r>
      <w:r w:rsidR="001D1995" w:rsidRPr="006E1AAF">
        <w:rPr>
          <w:rFonts w:asciiTheme="minorHAnsi" w:hAnsiTheme="minorHAnsi" w:cstheme="minorHAnsi"/>
          <w:color w:val="323E4F" w:themeColor="text2" w:themeShade="BF"/>
          <w:sz w:val="24"/>
          <w:szCs w:val="24"/>
          <w:lang w:val="en"/>
        </w:rPr>
        <w:t xml:space="preserve">The observations and comments are often communicated with an unreasonably long delay, e.g. one year. </w:t>
      </w:r>
      <w:r w:rsidR="004D5100">
        <w:rPr>
          <w:rFonts w:asciiTheme="minorHAnsi" w:hAnsiTheme="minorHAnsi" w:cstheme="minorHAnsi"/>
          <w:color w:val="323E4F" w:themeColor="text2" w:themeShade="BF"/>
          <w:sz w:val="24"/>
          <w:szCs w:val="24"/>
          <w:lang w:val="en"/>
        </w:rPr>
        <w:t>Clearer and stricter Rules of P</w:t>
      </w:r>
      <w:r w:rsidR="00560EEE" w:rsidRPr="006E1AAF">
        <w:rPr>
          <w:rFonts w:asciiTheme="minorHAnsi" w:hAnsiTheme="minorHAnsi" w:cstheme="minorHAnsi"/>
          <w:color w:val="323E4F" w:themeColor="text2" w:themeShade="BF"/>
          <w:sz w:val="24"/>
          <w:szCs w:val="24"/>
          <w:lang w:val="en"/>
        </w:rPr>
        <w:t xml:space="preserve">rocedure, among other things, would solve this problem. </w:t>
      </w:r>
      <w:r w:rsidR="00780BAD" w:rsidRPr="006E1AAF">
        <w:rPr>
          <w:rFonts w:asciiTheme="minorHAnsi" w:hAnsiTheme="minorHAnsi" w:cstheme="minorHAnsi"/>
          <w:color w:val="323E4F" w:themeColor="text2" w:themeShade="BF"/>
          <w:sz w:val="24"/>
          <w:szCs w:val="24"/>
        </w:rPr>
        <w:t xml:space="preserve">Finland commends the Human Rights Committee for amending the </w:t>
      </w:r>
      <w:r w:rsidR="004D5100">
        <w:rPr>
          <w:rFonts w:asciiTheme="minorHAnsi" w:hAnsiTheme="minorHAnsi" w:cstheme="minorHAnsi"/>
          <w:color w:val="323E4F" w:themeColor="text2" w:themeShade="BF"/>
          <w:sz w:val="24"/>
          <w:szCs w:val="24"/>
        </w:rPr>
        <w:t>R</w:t>
      </w:r>
      <w:r w:rsidR="00780BAD" w:rsidRPr="006E1AAF">
        <w:rPr>
          <w:rFonts w:asciiTheme="minorHAnsi" w:hAnsiTheme="minorHAnsi" w:cstheme="minorHAnsi"/>
          <w:color w:val="323E4F" w:themeColor="text2" w:themeShade="BF"/>
          <w:sz w:val="24"/>
          <w:szCs w:val="24"/>
        </w:rPr>
        <w:t xml:space="preserve">ules of </w:t>
      </w:r>
      <w:r w:rsidR="004D5100">
        <w:rPr>
          <w:rFonts w:asciiTheme="minorHAnsi" w:hAnsiTheme="minorHAnsi" w:cstheme="minorHAnsi"/>
          <w:color w:val="323E4F" w:themeColor="text2" w:themeShade="BF"/>
          <w:sz w:val="24"/>
          <w:szCs w:val="24"/>
        </w:rPr>
        <w:t>P</w:t>
      </w:r>
      <w:r w:rsidR="00780BAD" w:rsidRPr="006E1AAF">
        <w:rPr>
          <w:rFonts w:asciiTheme="minorHAnsi" w:hAnsiTheme="minorHAnsi" w:cstheme="minorHAnsi"/>
          <w:color w:val="323E4F" w:themeColor="text2" w:themeShade="BF"/>
          <w:sz w:val="24"/>
          <w:szCs w:val="24"/>
        </w:rPr>
        <w:t xml:space="preserve">rocedure on individual communications. The </w:t>
      </w:r>
      <w:r w:rsidR="004D5100">
        <w:rPr>
          <w:rFonts w:asciiTheme="minorHAnsi" w:hAnsiTheme="minorHAnsi" w:cstheme="minorHAnsi"/>
          <w:color w:val="323E4F" w:themeColor="text2" w:themeShade="BF"/>
          <w:sz w:val="24"/>
          <w:szCs w:val="24"/>
        </w:rPr>
        <w:t>amended R</w:t>
      </w:r>
      <w:r w:rsidR="00780BAD" w:rsidRPr="006E1AAF">
        <w:rPr>
          <w:rFonts w:asciiTheme="minorHAnsi" w:hAnsiTheme="minorHAnsi" w:cstheme="minorHAnsi"/>
          <w:color w:val="323E4F" w:themeColor="text2" w:themeShade="BF"/>
          <w:sz w:val="24"/>
          <w:szCs w:val="24"/>
        </w:rPr>
        <w:t xml:space="preserve">ules aim at setting limits to the number of written observations. </w:t>
      </w:r>
    </w:p>
    <w:p w14:paraId="3C821FC5" w14:textId="6687BF63" w:rsidR="003A2F1E" w:rsidRPr="006E1AAF" w:rsidRDefault="003A2F1E" w:rsidP="006E1AAF">
      <w:pPr>
        <w:pStyle w:val="HTMLPreformatted"/>
        <w:shd w:val="clear" w:color="auto" w:fill="FFFFFF"/>
        <w:jc w:val="both"/>
        <w:rPr>
          <w:rFonts w:asciiTheme="minorHAnsi" w:hAnsiTheme="minorHAnsi" w:cstheme="minorHAnsi"/>
          <w:color w:val="323E4F" w:themeColor="text2" w:themeShade="BF"/>
          <w:sz w:val="24"/>
          <w:szCs w:val="24"/>
        </w:rPr>
      </w:pPr>
    </w:p>
    <w:p w14:paraId="65C9AEF6" w14:textId="2F239996" w:rsidR="00F32457" w:rsidRPr="006E1AAF" w:rsidRDefault="00901F20" w:rsidP="006E1AAF">
      <w:pPr>
        <w:autoSpaceDE w:val="0"/>
        <w:autoSpaceDN w:val="0"/>
        <w:adjustRightInd w:val="0"/>
        <w:spacing w:after="120"/>
        <w:jc w:val="both"/>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Finland proposes the following measures for consideration:</w:t>
      </w:r>
    </w:p>
    <w:p w14:paraId="71D539AE" w14:textId="62AAED36" w:rsidR="000B7B1F" w:rsidRDefault="00203B88" w:rsidP="000B7B1F">
      <w:pPr>
        <w:pStyle w:val="ListParagraph"/>
        <w:numPr>
          <w:ilvl w:val="0"/>
          <w:numId w:val="7"/>
        </w:numPr>
        <w:autoSpaceDE w:val="0"/>
        <w:autoSpaceDN w:val="0"/>
        <w:adjustRightInd w:val="0"/>
        <w:spacing w:after="60"/>
        <w:contextualSpacing w:val="0"/>
        <w:jc w:val="both"/>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 xml:space="preserve">Creation of </w:t>
      </w:r>
      <w:r w:rsidR="00A90067">
        <w:rPr>
          <w:rFonts w:asciiTheme="minorHAnsi" w:hAnsiTheme="minorHAnsi" w:cstheme="minorHAnsi"/>
          <w:color w:val="323E4F" w:themeColor="text2" w:themeShade="BF"/>
          <w:sz w:val="24"/>
          <w:szCs w:val="24"/>
          <w:lang w:val="en-US"/>
        </w:rPr>
        <w:t>a</w:t>
      </w:r>
      <w:r w:rsidR="000B7B1F" w:rsidRPr="006E1AAF">
        <w:rPr>
          <w:rFonts w:asciiTheme="minorHAnsi" w:hAnsiTheme="minorHAnsi" w:cstheme="minorHAnsi"/>
          <w:color w:val="323E4F" w:themeColor="text2" w:themeShade="BF"/>
          <w:sz w:val="24"/>
          <w:szCs w:val="24"/>
          <w:lang w:val="en-US"/>
        </w:rPr>
        <w:t xml:space="preserve"> user-friendly website for applicants providing information on how to make a valid communication and how to lodge it</w:t>
      </w:r>
      <w:r w:rsidRPr="006E1AAF">
        <w:rPr>
          <w:rFonts w:asciiTheme="minorHAnsi" w:hAnsiTheme="minorHAnsi" w:cstheme="minorHAnsi"/>
          <w:color w:val="323E4F" w:themeColor="text2" w:themeShade="BF"/>
          <w:sz w:val="24"/>
          <w:szCs w:val="24"/>
          <w:lang w:val="en-US"/>
        </w:rPr>
        <w:t>, including all relevant documentation on the communications procedure;</w:t>
      </w:r>
    </w:p>
    <w:p w14:paraId="736289DC" w14:textId="77777777" w:rsidR="00E3527A" w:rsidRPr="006E1AAF" w:rsidRDefault="00E3527A" w:rsidP="00E3527A">
      <w:pPr>
        <w:pStyle w:val="ListParagraph"/>
        <w:numPr>
          <w:ilvl w:val="0"/>
          <w:numId w:val="7"/>
        </w:numPr>
        <w:autoSpaceDE w:val="0"/>
        <w:autoSpaceDN w:val="0"/>
        <w:adjustRightInd w:val="0"/>
        <w:spacing w:after="60"/>
        <w:ind w:left="714" w:hanging="357"/>
        <w:contextualSpacing w:val="0"/>
        <w:jc w:val="both"/>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As proposed by Sweden, introduction of an obligatory complaint form for individual complaints;</w:t>
      </w:r>
    </w:p>
    <w:p w14:paraId="47AE4CAA" w14:textId="77777777" w:rsidR="00AC2050" w:rsidRPr="006E1AAF" w:rsidRDefault="00901F20" w:rsidP="000B7B1F">
      <w:pPr>
        <w:pStyle w:val="ListParagraph"/>
        <w:numPr>
          <w:ilvl w:val="0"/>
          <w:numId w:val="7"/>
        </w:numPr>
        <w:autoSpaceDE w:val="0"/>
        <w:autoSpaceDN w:val="0"/>
        <w:adjustRightInd w:val="0"/>
        <w:spacing w:after="60"/>
        <w:ind w:left="714" w:hanging="357"/>
        <w:contextualSpacing w:val="0"/>
        <w:jc w:val="both"/>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E</w:t>
      </w:r>
      <w:r w:rsidR="00203B88" w:rsidRPr="006E1AAF">
        <w:rPr>
          <w:rFonts w:asciiTheme="minorHAnsi" w:hAnsiTheme="minorHAnsi" w:cstheme="minorHAnsi"/>
          <w:color w:val="323E4F" w:themeColor="text2" w:themeShade="BF"/>
          <w:sz w:val="24"/>
          <w:szCs w:val="24"/>
          <w:lang w:val="en-US"/>
        </w:rPr>
        <w:t xml:space="preserve">stablishment of </w:t>
      </w:r>
      <w:r w:rsidRPr="006E1AAF">
        <w:rPr>
          <w:rFonts w:asciiTheme="minorHAnsi" w:hAnsiTheme="minorHAnsi" w:cstheme="minorHAnsi"/>
          <w:color w:val="323E4F" w:themeColor="text2" w:themeShade="BF"/>
          <w:sz w:val="24"/>
          <w:szCs w:val="24"/>
          <w:lang w:val="en-US"/>
        </w:rPr>
        <w:t>an electronic communication system to allow</w:t>
      </w:r>
      <w:r w:rsidR="00F32457" w:rsidRPr="006E1AAF">
        <w:rPr>
          <w:rFonts w:asciiTheme="minorHAnsi" w:hAnsiTheme="minorHAnsi" w:cstheme="minorHAnsi"/>
          <w:color w:val="323E4F" w:themeColor="text2" w:themeShade="BF"/>
          <w:sz w:val="24"/>
          <w:szCs w:val="24"/>
          <w:lang w:val="en-US"/>
        </w:rPr>
        <w:t xml:space="preserve"> the </w:t>
      </w:r>
      <w:r w:rsidRPr="006E1AAF">
        <w:rPr>
          <w:rFonts w:asciiTheme="minorHAnsi" w:hAnsiTheme="minorHAnsi" w:cstheme="minorHAnsi"/>
          <w:color w:val="323E4F" w:themeColor="text2" w:themeShade="BF"/>
          <w:sz w:val="24"/>
          <w:szCs w:val="24"/>
          <w:lang w:val="en-US"/>
        </w:rPr>
        <w:t xml:space="preserve">State party </w:t>
      </w:r>
      <w:r w:rsidR="00F32457" w:rsidRPr="006E1AAF">
        <w:rPr>
          <w:rFonts w:asciiTheme="minorHAnsi" w:hAnsiTheme="minorHAnsi" w:cstheme="minorHAnsi"/>
          <w:color w:val="323E4F" w:themeColor="text2" w:themeShade="BF"/>
          <w:sz w:val="24"/>
          <w:szCs w:val="24"/>
          <w:lang w:val="en-US"/>
        </w:rPr>
        <w:t xml:space="preserve">to </w:t>
      </w:r>
      <w:r w:rsidR="00F32457" w:rsidRPr="006E1AAF">
        <w:rPr>
          <w:rFonts w:asciiTheme="minorHAnsi" w:hAnsiTheme="minorHAnsi" w:cstheme="minorHAnsi"/>
          <w:color w:val="323E4F" w:themeColor="text2" w:themeShade="BF"/>
          <w:sz w:val="24"/>
          <w:szCs w:val="24"/>
          <w:u w:val="single"/>
          <w:lang w:val="en-US"/>
        </w:rPr>
        <w:t>securely</w:t>
      </w:r>
      <w:r w:rsidR="00F32457" w:rsidRPr="006E1AAF">
        <w:rPr>
          <w:rFonts w:asciiTheme="minorHAnsi" w:hAnsiTheme="minorHAnsi" w:cstheme="minorHAnsi"/>
          <w:color w:val="323E4F" w:themeColor="text2" w:themeShade="BF"/>
          <w:sz w:val="24"/>
          <w:szCs w:val="24"/>
          <w:lang w:val="en-US"/>
        </w:rPr>
        <w:t xml:space="preserve"> send documents to, and receive documents from, the </w:t>
      </w:r>
      <w:r w:rsidRPr="006E1AAF">
        <w:rPr>
          <w:rFonts w:asciiTheme="minorHAnsi" w:hAnsiTheme="minorHAnsi" w:cstheme="minorHAnsi"/>
          <w:color w:val="323E4F" w:themeColor="text2" w:themeShade="BF"/>
          <w:sz w:val="24"/>
          <w:szCs w:val="24"/>
          <w:lang w:val="en-US"/>
        </w:rPr>
        <w:t>Petitions Unit;</w:t>
      </w:r>
    </w:p>
    <w:p w14:paraId="494C68EB" w14:textId="3CE20993" w:rsidR="00F32457" w:rsidRPr="006E1AAF" w:rsidRDefault="00780BAD" w:rsidP="000B7B1F">
      <w:pPr>
        <w:pStyle w:val="ListParagraph"/>
        <w:numPr>
          <w:ilvl w:val="0"/>
          <w:numId w:val="7"/>
        </w:numPr>
        <w:autoSpaceDE w:val="0"/>
        <w:autoSpaceDN w:val="0"/>
        <w:adjustRightInd w:val="0"/>
        <w:spacing w:after="60"/>
        <w:ind w:left="714" w:hanging="357"/>
        <w:contextualSpacing w:val="0"/>
        <w:jc w:val="both"/>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Development of new tools and solutions f</w:t>
      </w:r>
      <w:r w:rsidR="00AC2050" w:rsidRPr="006E1AAF">
        <w:rPr>
          <w:rFonts w:asciiTheme="minorHAnsi" w:hAnsiTheme="minorHAnsi" w:cstheme="minorHAnsi"/>
          <w:color w:val="323E4F" w:themeColor="text2" w:themeShade="BF"/>
          <w:sz w:val="24"/>
          <w:szCs w:val="24"/>
          <w:lang w:val="en-US"/>
        </w:rPr>
        <w:t xml:space="preserve">or the effective </w:t>
      </w:r>
      <w:r w:rsidRPr="006E1AAF">
        <w:rPr>
          <w:rFonts w:asciiTheme="minorHAnsi" w:hAnsiTheme="minorHAnsi" w:cstheme="minorHAnsi"/>
          <w:color w:val="323E4F" w:themeColor="text2" w:themeShade="BF"/>
          <w:sz w:val="24"/>
          <w:szCs w:val="24"/>
          <w:lang w:val="en-US"/>
        </w:rPr>
        <w:t xml:space="preserve">case </w:t>
      </w:r>
      <w:r w:rsidR="00AC2050" w:rsidRPr="006E1AAF">
        <w:rPr>
          <w:rFonts w:asciiTheme="minorHAnsi" w:hAnsiTheme="minorHAnsi" w:cstheme="minorHAnsi"/>
          <w:color w:val="323E4F" w:themeColor="text2" w:themeShade="BF"/>
          <w:sz w:val="24"/>
          <w:szCs w:val="24"/>
          <w:lang w:val="en-US"/>
        </w:rPr>
        <w:t>management</w:t>
      </w:r>
      <w:r w:rsidR="001D1995" w:rsidRPr="006E1AAF">
        <w:rPr>
          <w:rFonts w:asciiTheme="minorHAnsi" w:hAnsiTheme="minorHAnsi" w:cstheme="minorHAnsi"/>
          <w:color w:val="323E4F" w:themeColor="text2" w:themeShade="BF"/>
          <w:sz w:val="24"/>
          <w:szCs w:val="24"/>
          <w:lang w:val="en-US"/>
        </w:rPr>
        <w:t xml:space="preserve"> at the Petitions Unit</w:t>
      </w:r>
      <w:r w:rsidRPr="006E1AAF">
        <w:rPr>
          <w:rFonts w:asciiTheme="minorHAnsi" w:hAnsiTheme="minorHAnsi" w:cstheme="minorHAnsi"/>
          <w:color w:val="323E4F" w:themeColor="text2" w:themeShade="BF"/>
          <w:sz w:val="24"/>
          <w:szCs w:val="24"/>
          <w:lang w:val="en-US"/>
        </w:rPr>
        <w:t>;</w:t>
      </w:r>
      <w:r w:rsidR="00AC2050" w:rsidRPr="006E1AAF">
        <w:rPr>
          <w:rFonts w:asciiTheme="minorHAnsi" w:hAnsiTheme="minorHAnsi" w:cstheme="minorHAnsi"/>
          <w:color w:val="323E4F" w:themeColor="text2" w:themeShade="BF"/>
          <w:sz w:val="24"/>
          <w:szCs w:val="24"/>
          <w:lang w:val="en-US"/>
        </w:rPr>
        <w:t xml:space="preserve"> </w:t>
      </w:r>
      <w:r w:rsidR="00901F20" w:rsidRPr="006E1AAF">
        <w:rPr>
          <w:rFonts w:asciiTheme="minorHAnsi" w:hAnsiTheme="minorHAnsi" w:cstheme="minorHAnsi"/>
          <w:color w:val="323E4F" w:themeColor="text2" w:themeShade="BF"/>
          <w:sz w:val="24"/>
          <w:szCs w:val="24"/>
          <w:lang w:val="en-US"/>
        </w:rPr>
        <w:t xml:space="preserve"> </w:t>
      </w:r>
    </w:p>
    <w:p w14:paraId="704110C7" w14:textId="3677432E" w:rsidR="00901F20" w:rsidRPr="006E1AAF" w:rsidRDefault="00203B88" w:rsidP="000B7B1F">
      <w:pPr>
        <w:pStyle w:val="ListParagraph"/>
        <w:numPr>
          <w:ilvl w:val="0"/>
          <w:numId w:val="7"/>
        </w:numPr>
        <w:autoSpaceDE w:val="0"/>
        <w:autoSpaceDN w:val="0"/>
        <w:adjustRightInd w:val="0"/>
        <w:spacing w:after="60"/>
        <w:ind w:left="714" w:hanging="357"/>
        <w:contextualSpacing w:val="0"/>
        <w:jc w:val="both"/>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Provision of a u</w:t>
      </w:r>
      <w:r w:rsidR="00901F20" w:rsidRPr="006E1AAF">
        <w:rPr>
          <w:rFonts w:asciiTheme="minorHAnsi" w:hAnsiTheme="minorHAnsi" w:cstheme="minorHAnsi"/>
          <w:color w:val="323E4F" w:themeColor="text2" w:themeShade="BF"/>
          <w:sz w:val="24"/>
          <w:szCs w:val="24"/>
          <w:lang w:val="en-US"/>
        </w:rPr>
        <w:t xml:space="preserve">niform acknowledgment of receipt of </w:t>
      </w:r>
      <w:r w:rsidRPr="006E1AAF">
        <w:rPr>
          <w:rFonts w:asciiTheme="minorHAnsi" w:hAnsiTheme="minorHAnsi" w:cstheme="minorHAnsi"/>
          <w:color w:val="323E4F" w:themeColor="text2" w:themeShade="BF"/>
          <w:sz w:val="24"/>
          <w:szCs w:val="24"/>
          <w:lang w:val="en-US"/>
        </w:rPr>
        <w:t xml:space="preserve">all </w:t>
      </w:r>
      <w:r w:rsidR="00901F20" w:rsidRPr="006E1AAF">
        <w:rPr>
          <w:rFonts w:asciiTheme="minorHAnsi" w:hAnsiTheme="minorHAnsi" w:cstheme="minorHAnsi"/>
          <w:color w:val="323E4F" w:themeColor="text2" w:themeShade="BF"/>
          <w:sz w:val="24"/>
          <w:szCs w:val="24"/>
          <w:lang w:val="en-US"/>
        </w:rPr>
        <w:t>documents</w:t>
      </w:r>
      <w:r w:rsidRPr="006E1AAF">
        <w:rPr>
          <w:rFonts w:asciiTheme="minorHAnsi" w:hAnsiTheme="minorHAnsi" w:cstheme="minorHAnsi"/>
          <w:color w:val="323E4F" w:themeColor="text2" w:themeShade="BF"/>
          <w:sz w:val="24"/>
          <w:szCs w:val="24"/>
          <w:lang w:val="en-US"/>
        </w:rPr>
        <w:t xml:space="preserve"> submitted by the parties</w:t>
      </w:r>
      <w:r w:rsidR="00A90067">
        <w:rPr>
          <w:rFonts w:asciiTheme="minorHAnsi" w:hAnsiTheme="minorHAnsi" w:cstheme="minorHAnsi"/>
          <w:color w:val="323E4F" w:themeColor="text2" w:themeShade="BF"/>
          <w:sz w:val="24"/>
          <w:szCs w:val="24"/>
          <w:lang w:val="en-US"/>
        </w:rPr>
        <w:t xml:space="preserve"> within a specific time-frame</w:t>
      </w:r>
      <w:r w:rsidRPr="006E1AAF">
        <w:rPr>
          <w:rFonts w:asciiTheme="minorHAnsi" w:hAnsiTheme="minorHAnsi" w:cstheme="minorHAnsi"/>
          <w:color w:val="323E4F" w:themeColor="text2" w:themeShade="BF"/>
          <w:sz w:val="24"/>
          <w:szCs w:val="24"/>
          <w:lang w:val="en-US"/>
        </w:rPr>
        <w:t xml:space="preserve">; </w:t>
      </w:r>
    </w:p>
    <w:p w14:paraId="57E3D5AD" w14:textId="5C5551BE" w:rsidR="000B7B1F" w:rsidRPr="006E1AAF" w:rsidRDefault="00092E06" w:rsidP="000B7B1F">
      <w:pPr>
        <w:pStyle w:val="ListParagraph"/>
        <w:numPr>
          <w:ilvl w:val="0"/>
          <w:numId w:val="7"/>
        </w:numPr>
        <w:autoSpaceDE w:val="0"/>
        <w:autoSpaceDN w:val="0"/>
        <w:adjustRightInd w:val="0"/>
        <w:spacing w:after="60"/>
        <w:ind w:left="714" w:hanging="357"/>
        <w:contextualSpacing w:val="0"/>
        <w:jc w:val="both"/>
        <w:rPr>
          <w:rFonts w:asciiTheme="minorHAnsi" w:hAnsiTheme="minorHAnsi" w:cstheme="minorHAnsi"/>
          <w:color w:val="323E4F" w:themeColor="text2" w:themeShade="BF"/>
          <w:sz w:val="24"/>
          <w:szCs w:val="24"/>
          <w:lang w:val="en-US"/>
        </w:rPr>
      </w:pPr>
      <w:r>
        <w:rPr>
          <w:rFonts w:asciiTheme="minorHAnsi" w:hAnsiTheme="minorHAnsi" w:cstheme="minorHAnsi"/>
          <w:color w:val="323E4F" w:themeColor="text2" w:themeShade="BF"/>
          <w:sz w:val="24"/>
          <w:szCs w:val="24"/>
          <w:lang w:val="en-US"/>
        </w:rPr>
        <w:t>Prioritis</w:t>
      </w:r>
      <w:r w:rsidR="00203B88" w:rsidRPr="006E1AAF">
        <w:rPr>
          <w:rFonts w:asciiTheme="minorHAnsi" w:hAnsiTheme="minorHAnsi" w:cstheme="minorHAnsi"/>
          <w:color w:val="323E4F" w:themeColor="text2" w:themeShade="BF"/>
          <w:sz w:val="24"/>
          <w:szCs w:val="24"/>
          <w:lang w:val="en-US"/>
        </w:rPr>
        <w:t xml:space="preserve">ation of </w:t>
      </w:r>
      <w:r w:rsidR="00F32457" w:rsidRPr="006E1AAF">
        <w:rPr>
          <w:rFonts w:asciiTheme="minorHAnsi" w:hAnsiTheme="minorHAnsi" w:cstheme="minorHAnsi"/>
          <w:color w:val="323E4F" w:themeColor="text2" w:themeShade="BF"/>
          <w:sz w:val="24"/>
          <w:szCs w:val="24"/>
          <w:lang w:val="en-US"/>
        </w:rPr>
        <w:t>urgent cases and process</w:t>
      </w:r>
      <w:r w:rsidR="00901F20" w:rsidRPr="006E1AAF">
        <w:rPr>
          <w:rFonts w:asciiTheme="minorHAnsi" w:hAnsiTheme="minorHAnsi" w:cstheme="minorHAnsi"/>
          <w:color w:val="323E4F" w:themeColor="text2" w:themeShade="BF"/>
          <w:sz w:val="24"/>
          <w:szCs w:val="24"/>
          <w:lang w:val="en-US"/>
        </w:rPr>
        <w:t>ing</w:t>
      </w:r>
      <w:r w:rsidR="00F32457" w:rsidRPr="006E1AAF">
        <w:rPr>
          <w:rFonts w:asciiTheme="minorHAnsi" w:hAnsiTheme="minorHAnsi" w:cstheme="minorHAnsi"/>
          <w:color w:val="323E4F" w:themeColor="text2" w:themeShade="BF"/>
          <w:sz w:val="24"/>
          <w:szCs w:val="24"/>
          <w:lang w:val="en-US"/>
        </w:rPr>
        <w:t xml:space="preserve"> them in an accelerated proce</w:t>
      </w:r>
      <w:r w:rsidR="00901F20" w:rsidRPr="006E1AAF">
        <w:rPr>
          <w:rFonts w:asciiTheme="minorHAnsi" w:hAnsiTheme="minorHAnsi" w:cstheme="minorHAnsi"/>
          <w:color w:val="323E4F" w:themeColor="text2" w:themeShade="BF"/>
          <w:sz w:val="24"/>
          <w:szCs w:val="24"/>
          <w:lang w:val="en-US"/>
        </w:rPr>
        <w:t>dure;</w:t>
      </w:r>
    </w:p>
    <w:p w14:paraId="7068988A" w14:textId="160479C0" w:rsidR="00713E93" w:rsidRDefault="007D6F17" w:rsidP="00713E93">
      <w:pPr>
        <w:pStyle w:val="ListParagraph"/>
        <w:numPr>
          <w:ilvl w:val="0"/>
          <w:numId w:val="7"/>
        </w:numPr>
        <w:autoSpaceDE w:val="0"/>
        <w:autoSpaceDN w:val="0"/>
        <w:adjustRightInd w:val="0"/>
        <w:spacing w:after="60"/>
        <w:ind w:left="714" w:hanging="357"/>
        <w:contextualSpacing w:val="0"/>
        <w:jc w:val="both"/>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 xml:space="preserve">Provision of a </w:t>
      </w:r>
      <w:r w:rsidR="00203B88" w:rsidRPr="006E1AAF">
        <w:rPr>
          <w:rFonts w:asciiTheme="minorHAnsi" w:hAnsiTheme="minorHAnsi" w:cstheme="minorHAnsi"/>
          <w:color w:val="323E4F" w:themeColor="text2" w:themeShade="BF"/>
          <w:sz w:val="24"/>
          <w:szCs w:val="24"/>
          <w:lang w:val="en-US"/>
        </w:rPr>
        <w:t>practical guide</w:t>
      </w:r>
      <w:r w:rsidR="00A90067">
        <w:rPr>
          <w:rFonts w:asciiTheme="minorHAnsi" w:hAnsiTheme="minorHAnsi" w:cstheme="minorHAnsi"/>
          <w:color w:val="323E4F" w:themeColor="text2" w:themeShade="BF"/>
          <w:sz w:val="24"/>
          <w:szCs w:val="24"/>
          <w:lang w:val="en-US"/>
        </w:rPr>
        <w:t>/guides</w:t>
      </w:r>
      <w:r w:rsidR="00713E93">
        <w:rPr>
          <w:rFonts w:asciiTheme="minorHAnsi" w:hAnsiTheme="minorHAnsi" w:cstheme="minorHAnsi"/>
          <w:color w:val="323E4F" w:themeColor="text2" w:themeShade="BF"/>
          <w:sz w:val="24"/>
          <w:szCs w:val="24"/>
          <w:lang w:val="en-US"/>
        </w:rPr>
        <w:t xml:space="preserve"> on admissibility criteria;</w:t>
      </w:r>
    </w:p>
    <w:p w14:paraId="316B4198" w14:textId="42C753E0" w:rsidR="00713E93" w:rsidRPr="00713E93" w:rsidRDefault="007D6F17" w:rsidP="00713E93">
      <w:pPr>
        <w:pStyle w:val="ListParagraph"/>
        <w:numPr>
          <w:ilvl w:val="0"/>
          <w:numId w:val="7"/>
        </w:numPr>
        <w:autoSpaceDE w:val="0"/>
        <w:autoSpaceDN w:val="0"/>
        <w:adjustRightInd w:val="0"/>
        <w:spacing w:after="60"/>
        <w:ind w:left="714" w:hanging="357"/>
        <w:contextualSpacing w:val="0"/>
        <w:jc w:val="both"/>
        <w:rPr>
          <w:rFonts w:asciiTheme="minorHAnsi" w:hAnsiTheme="minorHAnsi" w:cstheme="minorHAnsi"/>
          <w:color w:val="323E4F" w:themeColor="text2" w:themeShade="BF"/>
          <w:sz w:val="24"/>
          <w:szCs w:val="24"/>
          <w:lang w:val="en-US"/>
        </w:rPr>
      </w:pPr>
      <w:r w:rsidRPr="00713E93">
        <w:rPr>
          <w:rFonts w:asciiTheme="minorHAnsi" w:hAnsiTheme="minorHAnsi" w:cstheme="minorHAnsi"/>
          <w:color w:val="323E4F" w:themeColor="text2" w:themeShade="BF"/>
          <w:sz w:val="24"/>
          <w:szCs w:val="24"/>
          <w:lang w:val="en-US"/>
        </w:rPr>
        <w:t>Establishment of</w:t>
      </w:r>
      <w:r w:rsidR="00822007" w:rsidRPr="00713E93">
        <w:rPr>
          <w:rFonts w:asciiTheme="minorHAnsi" w:hAnsiTheme="minorHAnsi" w:cstheme="minorHAnsi"/>
          <w:color w:val="323E4F" w:themeColor="text2" w:themeShade="BF"/>
          <w:sz w:val="24"/>
          <w:szCs w:val="24"/>
          <w:lang w:val="en-US"/>
        </w:rPr>
        <w:t xml:space="preserve"> a new, permanent mechanism</w:t>
      </w:r>
      <w:r w:rsidR="00941F7A" w:rsidRPr="00713E93">
        <w:rPr>
          <w:rFonts w:asciiTheme="minorHAnsi" w:hAnsiTheme="minorHAnsi" w:cstheme="minorHAnsi"/>
          <w:color w:val="323E4F" w:themeColor="text2" w:themeShade="BF"/>
          <w:sz w:val="24"/>
          <w:szCs w:val="24"/>
          <w:lang w:val="en-US"/>
        </w:rPr>
        <w:t xml:space="preserve"> for the assessment of the admissibility of communications</w:t>
      </w:r>
      <w:r w:rsidR="00713E93">
        <w:rPr>
          <w:rFonts w:asciiTheme="minorHAnsi" w:hAnsiTheme="minorHAnsi" w:cstheme="minorHAnsi"/>
          <w:color w:val="323E4F" w:themeColor="text2" w:themeShade="BF"/>
          <w:sz w:val="24"/>
          <w:szCs w:val="24"/>
          <w:lang w:val="en-US"/>
        </w:rPr>
        <w:t xml:space="preserve"> to ensure that communications</w:t>
      </w:r>
      <w:r w:rsidR="00713E93" w:rsidRPr="00713E93">
        <w:rPr>
          <w:rFonts w:asciiTheme="minorHAnsi" w:hAnsiTheme="minorHAnsi" w:cstheme="minorHAnsi"/>
          <w:color w:val="323E4F" w:themeColor="text2" w:themeShade="BF"/>
          <w:sz w:val="24"/>
          <w:szCs w:val="24"/>
          <w:lang w:val="en-US"/>
        </w:rPr>
        <w:t xml:space="preserve"> that clearly do not meet the criteria for admissibility would not be communicated to the State</w:t>
      </w:r>
      <w:r w:rsidR="00713E93">
        <w:rPr>
          <w:rFonts w:asciiTheme="minorHAnsi" w:hAnsiTheme="minorHAnsi" w:cstheme="minorHAnsi"/>
          <w:color w:val="323E4F" w:themeColor="text2" w:themeShade="BF"/>
          <w:sz w:val="24"/>
          <w:szCs w:val="24"/>
          <w:lang w:val="en-US"/>
        </w:rPr>
        <w:t xml:space="preserve"> party for its observations</w:t>
      </w:r>
      <w:r w:rsidR="00713E93" w:rsidRPr="00713E93">
        <w:rPr>
          <w:rFonts w:asciiTheme="minorHAnsi" w:hAnsiTheme="minorHAnsi" w:cstheme="minorHAnsi"/>
          <w:color w:val="323E4F" w:themeColor="text2" w:themeShade="BF"/>
          <w:sz w:val="24"/>
          <w:szCs w:val="24"/>
          <w:lang w:val="en-US"/>
        </w:rPr>
        <w:t>.</w:t>
      </w:r>
    </w:p>
    <w:p w14:paraId="193423C4" w14:textId="61428D4B" w:rsidR="00B306FF" w:rsidRPr="006E1AAF" w:rsidRDefault="00126233" w:rsidP="005D0A70">
      <w:pPr>
        <w:pStyle w:val="ListParagraph"/>
        <w:numPr>
          <w:ilvl w:val="0"/>
          <w:numId w:val="7"/>
        </w:numPr>
        <w:autoSpaceDE w:val="0"/>
        <w:autoSpaceDN w:val="0"/>
        <w:adjustRightInd w:val="0"/>
        <w:spacing w:after="60"/>
        <w:ind w:left="714" w:hanging="357"/>
        <w:contextualSpacing w:val="0"/>
        <w:jc w:val="both"/>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As</w:t>
      </w:r>
      <w:r w:rsidR="00560EEE" w:rsidRPr="006E1AAF">
        <w:rPr>
          <w:rFonts w:asciiTheme="minorHAnsi" w:hAnsiTheme="minorHAnsi" w:cstheme="minorHAnsi"/>
          <w:color w:val="323E4F" w:themeColor="text2" w:themeShade="BF"/>
          <w:sz w:val="24"/>
          <w:szCs w:val="24"/>
          <w:lang w:val="en-US"/>
        </w:rPr>
        <w:t xml:space="preserve"> regards the admissibility of </w:t>
      </w:r>
      <w:r w:rsidRPr="006E1AAF">
        <w:rPr>
          <w:rFonts w:asciiTheme="minorHAnsi" w:hAnsiTheme="minorHAnsi" w:cstheme="minorHAnsi"/>
          <w:color w:val="323E4F" w:themeColor="text2" w:themeShade="BF"/>
          <w:sz w:val="24"/>
          <w:szCs w:val="24"/>
          <w:lang w:val="en-US"/>
        </w:rPr>
        <w:t>communication</w:t>
      </w:r>
      <w:r w:rsidR="00560EEE" w:rsidRPr="006E1AAF">
        <w:rPr>
          <w:rFonts w:asciiTheme="minorHAnsi" w:hAnsiTheme="minorHAnsi" w:cstheme="minorHAnsi"/>
          <w:color w:val="323E4F" w:themeColor="text2" w:themeShade="BF"/>
          <w:sz w:val="24"/>
          <w:szCs w:val="24"/>
          <w:lang w:val="en-US"/>
        </w:rPr>
        <w:t>s</w:t>
      </w:r>
      <w:r w:rsidRPr="006E1AAF">
        <w:rPr>
          <w:rFonts w:asciiTheme="minorHAnsi" w:hAnsiTheme="minorHAnsi" w:cstheme="minorHAnsi"/>
          <w:color w:val="323E4F" w:themeColor="text2" w:themeShade="BF"/>
          <w:sz w:val="24"/>
          <w:szCs w:val="24"/>
          <w:lang w:val="en-US"/>
        </w:rPr>
        <w:t>, c</w:t>
      </w:r>
      <w:r w:rsidR="001D1995" w:rsidRPr="006E1AAF">
        <w:rPr>
          <w:rFonts w:asciiTheme="minorHAnsi" w:hAnsiTheme="minorHAnsi" w:cstheme="minorHAnsi"/>
          <w:color w:val="323E4F" w:themeColor="text2" w:themeShade="BF"/>
          <w:sz w:val="24"/>
          <w:szCs w:val="24"/>
          <w:lang w:val="en-US"/>
        </w:rPr>
        <w:t>onsideration of “</w:t>
      </w:r>
      <w:r w:rsidRPr="006E1AAF">
        <w:rPr>
          <w:rFonts w:asciiTheme="minorHAnsi" w:hAnsiTheme="minorHAnsi" w:cstheme="minorHAnsi"/>
          <w:color w:val="323E4F" w:themeColor="text2" w:themeShade="BF"/>
          <w:sz w:val="24"/>
          <w:szCs w:val="24"/>
          <w:lang w:val="en-US"/>
        </w:rPr>
        <w:t>split request</w:t>
      </w:r>
      <w:r w:rsidR="00560EEE" w:rsidRPr="006E1AAF">
        <w:rPr>
          <w:rFonts w:asciiTheme="minorHAnsi" w:hAnsiTheme="minorHAnsi" w:cstheme="minorHAnsi"/>
          <w:color w:val="323E4F" w:themeColor="text2" w:themeShade="BF"/>
          <w:sz w:val="24"/>
          <w:szCs w:val="24"/>
          <w:lang w:val="en-US"/>
        </w:rPr>
        <w:t>s</w:t>
      </w:r>
      <w:r w:rsidRPr="006E1AAF">
        <w:rPr>
          <w:rFonts w:asciiTheme="minorHAnsi" w:hAnsiTheme="minorHAnsi" w:cstheme="minorHAnsi"/>
          <w:color w:val="323E4F" w:themeColor="text2" w:themeShade="BF"/>
          <w:sz w:val="24"/>
          <w:szCs w:val="24"/>
          <w:lang w:val="en-US"/>
        </w:rPr>
        <w:t>”</w:t>
      </w:r>
      <w:r w:rsidR="00E3527A">
        <w:rPr>
          <w:rFonts w:asciiTheme="minorHAnsi" w:hAnsiTheme="minorHAnsi" w:cstheme="minorHAnsi"/>
          <w:color w:val="323E4F" w:themeColor="text2" w:themeShade="BF"/>
          <w:sz w:val="24"/>
          <w:szCs w:val="24"/>
          <w:lang w:val="en-US"/>
        </w:rPr>
        <w:t xml:space="preserve"> </w:t>
      </w:r>
      <w:r w:rsidR="00E3527A" w:rsidRPr="006E1AAF">
        <w:rPr>
          <w:rFonts w:asciiTheme="minorHAnsi" w:hAnsiTheme="minorHAnsi" w:cstheme="minorHAnsi"/>
          <w:color w:val="323E4F" w:themeColor="text2" w:themeShade="BF"/>
          <w:sz w:val="24"/>
          <w:szCs w:val="24"/>
          <w:lang w:val="en-US"/>
        </w:rPr>
        <w:t xml:space="preserve">(admissibility and merits) </w:t>
      </w:r>
      <w:r w:rsidR="00560EEE" w:rsidRPr="006E1AAF">
        <w:rPr>
          <w:rFonts w:asciiTheme="minorHAnsi" w:hAnsiTheme="minorHAnsi" w:cstheme="minorHAnsi"/>
          <w:color w:val="323E4F" w:themeColor="text2" w:themeShade="BF"/>
          <w:sz w:val="24"/>
          <w:szCs w:val="24"/>
          <w:lang w:val="en-US"/>
        </w:rPr>
        <w:t>and s</w:t>
      </w:r>
      <w:r w:rsidR="00092E06">
        <w:rPr>
          <w:rFonts w:asciiTheme="minorHAnsi" w:hAnsiTheme="minorHAnsi" w:cstheme="minorHAnsi"/>
          <w:color w:val="323E4F" w:themeColor="text2" w:themeShade="BF"/>
          <w:sz w:val="24"/>
          <w:szCs w:val="24"/>
          <w:lang w:val="en-US"/>
        </w:rPr>
        <w:t>tandardis</w:t>
      </w:r>
      <w:r w:rsidR="00652549" w:rsidRPr="006E1AAF">
        <w:rPr>
          <w:rFonts w:asciiTheme="minorHAnsi" w:hAnsiTheme="minorHAnsi" w:cstheme="minorHAnsi"/>
          <w:color w:val="323E4F" w:themeColor="text2" w:themeShade="BF"/>
          <w:sz w:val="24"/>
          <w:szCs w:val="24"/>
          <w:lang w:val="en-US"/>
        </w:rPr>
        <w:t xml:space="preserve">ation of working methods regarding </w:t>
      </w:r>
      <w:r w:rsidR="00153F10">
        <w:rPr>
          <w:rFonts w:asciiTheme="minorHAnsi" w:hAnsiTheme="minorHAnsi" w:cstheme="minorHAnsi"/>
          <w:color w:val="323E4F" w:themeColor="text2" w:themeShade="BF"/>
          <w:sz w:val="24"/>
          <w:szCs w:val="24"/>
          <w:lang w:val="en-US"/>
        </w:rPr>
        <w:t>“</w:t>
      </w:r>
      <w:r w:rsidR="00652549" w:rsidRPr="006E1AAF">
        <w:rPr>
          <w:rFonts w:asciiTheme="minorHAnsi" w:hAnsiTheme="minorHAnsi" w:cstheme="minorHAnsi"/>
          <w:color w:val="323E4F" w:themeColor="text2" w:themeShade="BF"/>
          <w:sz w:val="24"/>
          <w:szCs w:val="24"/>
          <w:lang w:val="en-US"/>
        </w:rPr>
        <w:t>split requests</w:t>
      </w:r>
      <w:r w:rsidR="00153F10">
        <w:rPr>
          <w:rFonts w:asciiTheme="minorHAnsi" w:hAnsiTheme="minorHAnsi" w:cstheme="minorHAnsi"/>
          <w:color w:val="323E4F" w:themeColor="text2" w:themeShade="BF"/>
          <w:sz w:val="24"/>
          <w:szCs w:val="24"/>
          <w:lang w:val="en-US"/>
        </w:rPr>
        <w:t>”</w:t>
      </w:r>
      <w:r w:rsidR="00652549" w:rsidRPr="006E1AAF">
        <w:rPr>
          <w:rFonts w:asciiTheme="minorHAnsi" w:hAnsiTheme="minorHAnsi" w:cstheme="minorHAnsi"/>
          <w:color w:val="323E4F" w:themeColor="text2" w:themeShade="BF"/>
          <w:sz w:val="24"/>
          <w:szCs w:val="24"/>
          <w:lang w:val="en-US"/>
        </w:rPr>
        <w:t xml:space="preserve"> for the sake of legal certainty; </w:t>
      </w:r>
    </w:p>
    <w:p w14:paraId="3C45F9F3" w14:textId="54326651" w:rsidR="00652549" w:rsidRPr="006E1AAF" w:rsidRDefault="00652549" w:rsidP="00652549">
      <w:pPr>
        <w:pStyle w:val="ListParagraph"/>
        <w:numPr>
          <w:ilvl w:val="0"/>
          <w:numId w:val="7"/>
        </w:numPr>
        <w:autoSpaceDE w:val="0"/>
        <w:autoSpaceDN w:val="0"/>
        <w:adjustRightInd w:val="0"/>
        <w:spacing w:after="60"/>
        <w:ind w:left="714" w:hanging="357"/>
        <w:contextualSpacing w:val="0"/>
        <w:jc w:val="both"/>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Feasibility of introducing hearings into</w:t>
      </w:r>
      <w:r w:rsidR="00A90067">
        <w:rPr>
          <w:rFonts w:asciiTheme="minorHAnsi" w:hAnsiTheme="minorHAnsi" w:cstheme="minorHAnsi"/>
          <w:color w:val="323E4F" w:themeColor="text2" w:themeShade="BF"/>
          <w:sz w:val="24"/>
          <w:szCs w:val="24"/>
          <w:lang w:val="en-US"/>
        </w:rPr>
        <w:t xml:space="preserve"> the</w:t>
      </w:r>
      <w:r w:rsidRPr="006E1AAF">
        <w:rPr>
          <w:rFonts w:asciiTheme="minorHAnsi" w:hAnsiTheme="minorHAnsi" w:cstheme="minorHAnsi"/>
          <w:color w:val="323E4F" w:themeColor="text2" w:themeShade="BF"/>
          <w:sz w:val="24"/>
          <w:szCs w:val="24"/>
          <w:lang w:val="en-US"/>
        </w:rPr>
        <w:t xml:space="preserve"> individual complaint procedure;</w:t>
      </w:r>
    </w:p>
    <w:p w14:paraId="538A4FD1" w14:textId="3ABD07AB" w:rsidR="000B7B1F" w:rsidRDefault="0034306F" w:rsidP="0034306F">
      <w:pPr>
        <w:pStyle w:val="ListParagraph"/>
        <w:numPr>
          <w:ilvl w:val="0"/>
          <w:numId w:val="7"/>
        </w:numPr>
        <w:autoSpaceDE w:val="0"/>
        <w:autoSpaceDN w:val="0"/>
        <w:adjustRightInd w:val="0"/>
        <w:spacing w:after="60"/>
        <w:ind w:left="714" w:hanging="357"/>
        <w:contextualSpacing w:val="0"/>
        <w:jc w:val="both"/>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 xml:space="preserve">Establishment of a joint treaty body working group on communications to address the consistency of jurisprudence and the quality of legal analysis; </w:t>
      </w:r>
      <w:r w:rsidR="000B7B1F" w:rsidRPr="006E1AAF">
        <w:rPr>
          <w:rFonts w:asciiTheme="minorHAnsi" w:hAnsiTheme="minorHAnsi" w:cstheme="minorHAnsi"/>
          <w:color w:val="323E4F" w:themeColor="text2" w:themeShade="BF"/>
          <w:sz w:val="24"/>
          <w:szCs w:val="24"/>
          <w:lang w:val="en-US"/>
        </w:rPr>
        <w:t>t</w:t>
      </w:r>
      <w:r w:rsidR="00F32457" w:rsidRPr="006E1AAF">
        <w:rPr>
          <w:rFonts w:asciiTheme="minorHAnsi" w:hAnsiTheme="minorHAnsi" w:cstheme="minorHAnsi"/>
          <w:color w:val="323E4F" w:themeColor="text2" w:themeShade="BF"/>
          <w:sz w:val="24"/>
          <w:szCs w:val="24"/>
          <w:lang w:val="en-US"/>
        </w:rPr>
        <w:t xml:space="preserve">o the extent possible, the </w:t>
      </w:r>
      <w:r w:rsidR="00560EEE" w:rsidRPr="006E1AAF">
        <w:rPr>
          <w:rFonts w:asciiTheme="minorHAnsi" w:hAnsiTheme="minorHAnsi" w:cstheme="minorHAnsi"/>
          <w:color w:val="323E4F" w:themeColor="text2" w:themeShade="BF"/>
          <w:sz w:val="24"/>
          <w:szCs w:val="24"/>
          <w:lang w:val="en-US"/>
        </w:rPr>
        <w:t xml:space="preserve">thoroughly substantiated </w:t>
      </w:r>
      <w:r w:rsidR="00F32457" w:rsidRPr="006E1AAF">
        <w:rPr>
          <w:rFonts w:asciiTheme="minorHAnsi" w:hAnsiTheme="minorHAnsi" w:cstheme="minorHAnsi"/>
          <w:color w:val="323E4F" w:themeColor="text2" w:themeShade="BF"/>
          <w:sz w:val="24"/>
          <w:szCs w:val="24"/>
          <w:lang w:val="en-US"/>
        </w:rPr>
        <w:t>reasoning should also contain cross-references to corresponding case-law of other treaty bodies</w:t>
      </w:r>
      <w:r w:rsidR="000B7B1F" w:rsidRPr="006E1AAF">
        <w:rPr>
          <w:rFonts w:asciiTheme="minorHAnsi" w:hAnsiTheme="minorHAnsi" w:cstheme="minorHAnsi"/>
          <w:color w:val="323E4F" w:themeColor="text2" w:themeShade="BF"/>
          <w:sz w:val="24"/>
          <w:szCs w:val="24"/>
          <w:lang w:val="en-US"/>
        </w:rPr>
        <w:t xml:space="preserve">; </w:t>
      </w:r>
    </w:p>
    <w:p w14:paraId="00DBF887" w14:textId="4A25473E" w:rsidR="00A90067" w:rsidRPr="006E1AAF" w:rsidRDefault="00153F10" w:rsidP="0034306F">
      <w:pPr>
        <w:pStyle w:val="ListParagraph"/>
        <w:numPr>
          <w:ilvl w:val="0"/>
          <w:numId w:val="7"/>
        </w:numPr>
        <w:autoSpaceDE w:val="0"/>
        <w:autoSpaceDN w:val="0"/>
        <w:adjustRightInd w:val="0"/>
        <w:spacing w:after="60"/>
        <w:ind w:left="714" w:hanging="357"/>
        <w:contextualSpacing w:val="0"/>
        <w:jc w:val="both"/>
        <w:rPr>
          <w:rFonts w:asciiTheme="minorHAnsi" w:hAnsiTheme="minorHAnsi" w:cstheme="minorHAnsi"/>
          <w:color w:val="323E4F" w:themeColor="text2" w:themeShade="BF"/>
          <w:sz w:val="24"/>
          <w:szCs w:val="24"/>
          <w:lang w:val="en-US"/>
        </w:rPr>
      </w:pPr>
      <w:r>
        <w:rPr>
          <w:rFonts w:asciiTheme="minorHAnsi" w:hAnsiTheme="minorHAnsi" w:cstheme="minorHAnsi"/>
          <w:color w:val="323E4F" w:themeColor="text2" w:themeShade="BF"/>
          <w:sz w:val="24"/>
          <w:szCs w:val="24"/>
          <w:lang w:val="en-US"/>
        </w:rPr>
        <w:t>F</w:t>
      </w:r>
      <w:r w:rsidR="00A90067">
        <w:rPr>
          <w:rFonts w:asciiTheme="minorHAnsi" w:hAnsiTheme="minorHAnsi" w:cstheme="minorHAnsi"/>
          <w:color w:val="323E4F" w:themeColor="text2" w:themeShade="BF"/>
          <w:sz w:val="24"/>
          <w:szCs w:val="24"/>
          <w:lang w:val="en-US"/>
        </w:rPr>
        <w:t>act sheets on the jurisprudence/case-law guides;</w:t>
      </w:r>
    </w:p>
    <w:p w14:paraId="251B1D4E" w14:textId="61683416" w:rsidR="00F32457" w:rsidRPr="006E1AAF" w:rsidRDefault="00B870DC" w:rsidP="000B7B1F">
      <w:pPr>
        <w:pStyle w:val="ListParagraph"/>
        <w:numPr>
          <w:ilvl w:val="0"/>
          <w:numId w:val="7"/>
        </w:numPr>
        <w:autoSpaceDE w:val="0"/>
        <w:autoSpaceDN w:val="0"/>
        <w:adjustRightInd w:val="0"/>
        <w:spacing w:after="60"/>
        <w:ind w:left="714" w:hanging="357"/>
        <w:contextualSpacing w:val="0"/>
        <w:jc w:val="both"/>
        <w:rPr>
          <w:rFonts w:asciiTheme="minorHAnsi" w:hAnsiTheme="minorHAnsi" w:cstheme="minorHAnsi"/>
          <w:color w:val="323E4F" w:themeColor="text2" w:themeShade="BF"/>
          <w:sz w:val="24"/>
          <w:szCs w:val="24"/>
          <w:lang w:val="en-US"/>
        </w:rPr>
      </w:pPr>
      <w:r>
        <w:rPr>
          <w:rFonts w:asciiTheme="minorHAnsi" w:hAnsiTheme="minorHAnsi" w:cstheme="minorHAnsi"/>
          <w:color w:val="323E4F" w:themeColor="text2" w:themeShade="BF"/>
          <w:sz w:val="24"/>
          <w:szCs w:val="24"/>
          <w:lang w:val="en-US"/>
        </w:rPr>
        <w:t>A</w:t>
      </w:r>
      <w:r w:rsidR="000B7B1F" w:rsidRPr="006E1AAF">
        <w:rPr>
          <w:rFonts w:asciiTheme="minorHAnsi" w:hAnsiTheme="minorHAnsi" w:cstheme="minorHAnsi"/>
          <w:color w:val="323E4F" w:themeColor="text2" w:themeShade="BF"/>
          <w:sz w:val="24"/>
          <w:szCs w:val="24"/>
          <w:lang w:val="en-US"/>
        </w:rPr>
        <w:t xml:space="preserve"> user-friendly </w:t>
      </w:r>
      <w:r w:rsidR="00F32457" w:rsidRPr="006E1AAF">
        <w:rPr>
          <w:rFonts w:asciiTheme="minorHAnsi" w:hAnsiTheme="minorHAnsi" w:cstheme="minorHAnsi"/>
          <w:color w:val="323E4F" w:themeColor="text2" w:themeShade="BF"/>
          <w:sz w:val="24"/>
          <w:szCs w:val="24"/>
          <w:lang w:val="en-US"/>
        </w:rPr>
        <w:t>database of decisions and case-law should be introduced in order to permit searches for both up-to-date and historical informati</w:t>
      </w:r>
      <w:r w:rsidR="00A25661" w:rsidRPr="006E1AAF">
        <w:rPr>
          <w:rFonts w:asciiTheme="minorHAnsi" w:hAnsiTheme="minorHAnsi" w:cstheme="minorHAnsi"/>
          <w:color w:val="323E4F" w:themeColor="text2" w:themeShade="BF"/>
          <w:sz w:val="24"/>
          <w:szCs w:val="24"/>
          <w:lang w:val="en-US"/>
        </w:rPr>
        <w:t>on by different search criteria; and</w:t>
      </w:r>
    </w:p>
    <w:p w14:paraId="558895F4" w14:textId="7BB4B874" w:rsidR="00A25661" w:rsidRPr="006E1AAF" w:rsidRDefault="00A25661" w:rsidP="000B7B1F">
      <w:pPr>
        <w:pStyle w:val="ListParagraph"/>
        <w:numPr>
          <w:ilvl w:val="0"/>
          <w:numId w:val="7"/>
        </w:numPr>
        <w:autoSpaceDE w:val="0"/>
        <w:autoSpaceDN w:val="0"/>
        <w:adjustRightInd w:val="0"/>
        <w:spacing w:after="60"/>
        <w:ind w:left="714" w:hanging="357"/>
        <w:contextualSpacing w:val="0"/>
        <w:jc w:val="both"/>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 xml:space="preserve">Allocation of </w:t>
      </w:r>
      <w:r w:rsidR="006117C4" w:rsidRPr="006E1AAF">
        <w:rPr>
          <w:rFonts w:asciiTheme="minorHAnsi" w:hAnsiTheme="minorHAnsi" w:cstheme="minorHAnsi"/>
          <w:color w:val="323E4F" w:themeColor="text2" w:themeShade="BF"/>
          <w:sz w:val="24"/>
          <w:szCs w:val="24"/>
          <w:lang w:val="en-US"/>
        </w:rPr>
        <w:t xml:space="preserve">adequate </w:t>
      </w:r>
      <w:r w:rsidRPr="006E1AAF">
        <w:rPr>
          <w:rFonts w:asciiTheme="minorHAnsi" w:hAnsiTheme="minorHAnsi" w:cstheme="minorHAnsi"/>
          <w:color w:val="323E4F" w:themeColor="text2" w:themeShade="BF"/>
          <w:sz w:val="24"/>
          <w:szCs w:val="24"/>
          <w:lang w:val="en-US"/>
        </w:rPr>
        <w:t>resources to the Petitions Unit.</w:t>
      </w:r>
    </w:p>
    <w:p w14:paraId="1C40114E" w14:textId="091F91C9" w:rsidR="00F32457" w:rsidRPr="006E1AAF" w:rsidRDefault="00F32457" w:rsidP="006E1AAF">
      <w:pPr>
        <w:autoSpaceDE w:val="0"/>
        <w:autoSpaceDN w:val="0"/>
        <w:adjustRightInd w:val="0"/>
        <w:jc w:val="both"/>
        <w:rPr>
          <w:rFonts w:asciiTheme="minorHAnsi" w:hAnsiTheme="minorHAnsi" w:cstheme="minorHAnsi"/>
          <w:color w:val="323E4F" w:themeColor="text2" w:themeShade="BF"/>
          <w:sz w:val="24"/>
          <w:szCs w:val="24"/>
          <w:lang w:val="en-US"/>
        </w:rPr>
      </w:pPr>
    </w:p>
    <w:p w14:paraId="1B289141" w14:textId="24838CE5" w:rsidR="006117C4" w:rsidRPr="006E1AAF" w:rsidRDefault="006117C4" w:rsidP="006E1AAF">
      <w:pPr>
        <w:autoSpaceDE w:val="0"/>
        <w:autoSpaceDN w:val="0"/>
        <w:adjustRightInd w:val="0"/>
        <w:jc w:val="both"/>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 xml:space="preserve">Finland encourages the treaty bodies to seek interaction with the regional </w:t>
      </w:r>
      <w:r w:rsidR="00B870DC">
        <w:rPr>
          <w:rFonts w:asciiTheme="minorHAnsi" w:hAnsiTheme="minorHAnsi" w:cstheme="minorHAnsi"/>
          <w:color w:val="323E4F" w:themeColor="text2" w:themeShade="BF"/>
          <w:sz w:val="24"/>
          <w:szCs w:val="24"/>
          <w:lang w:val="en-US"/>
        </w:rPr>
        <w:t>human rights mechanisms, including</w:t>
      </w:r>
      <w:r w:rsidRPr="006E1AAF">
        <w:rPr>
          <w:rFonts w:asciiTheme="minorHAnsi" w:hAnsiTheme="minorHAnsi" w:cstheme="minorHAnsi"/>
          <w:color w:val="323E4F" w:themeColor="text2" w:themeShade="BF"/>
          <w:sz w:val="24"/>
          <w:szCs w:val="24"/>
          <w:lang w:val="en-US"/>
        </w:rPr>
        <w:t xml:space="preserve"> the European Court of Human Rights. Judicial dialogue would contribute to the mutual transfer of knowledge concerning relevant jurisprudence and may thereby foster greater understanding for the other institutions’ approa</w:t>
      </w:r>
      <w:r w:rsidR="00E3527A">
        <w:rPr>
          <w:rFonts w:asciiTheme="minorHAnsi" w:hAnsiTheme="minorHAnsi" w:cstheme="minorHAnsi"/>
          <w:color w:val="323E4F" w:themeColor="text2" w:themeShade="BF"/>
          <w:sz w:val="24"/>
          <w:szCs w:val="24"/>
          <w:lang w:val="en-US"/>
        </w:rPr>
        <w:t>ch to certain common problems. Judicial dialogue</w:t>
      </w:r>
      <w:r w:rsidRPr="006E1AAF">
        <w:rPr>
          <w:rFonts w:asciiTheme="minorHAnsi" w:hAnsiTheme="minorHAnsi" w:cstheme="minorHAnsi"/>
          <w:color w:val="323E4F" w:themeColor="text2" w:themeShade="BF"/>
          <w:sz w:val="24"/>
          <w:szCs w:val="24"/>
          <w:lang w:val="en-US"/>
        </w:rPr>
        <w:t xml:space="preserve"> is a useful tool for avoiding the fragmentation of international law.</w:t>
      </w:r>
    </w:p>
    <w:p w14:paraId="768A185C" w14:textId="77777777" w:rsidR="006117C4" w:rsidRPr="006E1AAF" w:rsidRDefault="006117C4" w:rsidP="006E1AAF">
      <w:pPr>
        <w:autoSpaceDE w:val="0"/>
        <w:autoSpaceDN w:val="0"/>
        <w:adjustRightInd w:val="0"/>
        <w:jc w:val="both"/>
        <w:rPr>
          <w:rFonts w:asciiTheme="minorHAnsi" w:hAnsiTheme="minorHAnsi" w:cstheme="minorHAnsi"/>
          <w:color w:val="323E4F" w:themeColor="text2" w:themeShade="BF"/>
          <w:sz w:val="24"/>
          <w:szCs w:val="24"/>
          <w:lang w:val="en-US"/>
        </w:rPr>
      </w:pPr>
    </w:p>
    <w:p w14:paraId="09C9A6F5" w14:textId="6CEE37C6" w:rsidR="00026DAE" w:rsidRPr="006E1AAF" w:rsidRDefault="00026DAE" w:rsidP="00026DAE">
      <w:pPr>
        <w:overflowPunct w:val="0"/>
        <w:autoSpaceDE w:val="0"/>
        <w:autoSpaceDN w:val="0"/>
        <w:adjustRightInd w:val="0"/>
        <w:spacing w:after="120"/>
        <w:jc w:val="both"/>
        <w:textAlignment w:val="baseline"/>
        <w:rPr>
          <w:rFonts w:asciiTheme="minorHAnsi" w:hAnsiTheme="minorHAnsi" w:cstheme="minorHAnsi"/>
          <w:b/>
          <w:i/>
          <w:color w:val="323E4F" w:themeColor="text2" w:themeShade="BF"/>
          <w:sz w:val="24"/>
          <w:szCs w:val="24"/>
          <w:lang w:val="en-US"/>
        </w:rPr>
      </w:pPr>
      <w:r w:rsidRPr="006E1AAF">
        <w:rPr>
          <w:rFonts w:asciiTheme="minorHAnsi" w:hAnsiTheme="minorHAnsi" w:cstheme="minorHAnsi"/>
          <w:b/>
          <w:i/>
          <w:color w:val="323E4F" w:themeColor="text2" w:themeShade="BF"/>
          <w:sz w:val="24"/>
          <w:szCs w:val="24"/>
          <w:lang w:val="en-US"/>
        </w:rPr>
        <w:t>Resources</w:t>
      </w:r>
    </w:p>
    <w:p w14:paraId="458CC11D" w14:textId="4AD03A48" w:rsidR="00F8057B" w:rsidRPr="006E1AAF" w:rsidRDefault="00026DAE" w:rsidP="006E1AAF">
      <w:pPr>
        <w:autoSpaceDE w:val="0"/>
        <w:autoSpaceDN w:val="0"/>
        <w:adjustRightInd w:val="0"/>
        <w:jc w:val="both"/>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rPr>
        <w:t xml:space="preserve">The treaty bodies must be provided with sufficient regular funding and resources to carry out their functions. </w:t>
      </w:r>
      <w:r w:rsidR="00F8057B" w:rsidRPr="006E1AAF">
        <w:rPr>
          <w:rFonts w:asciiTheme="minorHAnsi" w:hAnsiTheme="minorHAnsi" w:cstheme="minorHAnsi"/>
          <w:color w:val="323E4F" w:themeColor="text2" w:themeShade="BF"/>
          <w:sz w:val="24"/>
          <w:szCs w:val="24"/>
          <w:lang w:val="en-US"/>
        </w:rPr>
        <w:t xml:space="preserve">Finland invites the Office to </w:t>
      </w:r>
      <w:r w:rsidR="00092E06">
        <w:rPr>
          <w:rFonts w:asciiTheme="minorHAnsi" w:hAnsiTheme="minorHAnsi" w:cstheme="minorHAnsi"/>
          <w:color w:val="323E4F" w:themeColor="text2" w:themeShade="BF"/>
          <w:sz w:val="24"/>
          <w:szCs w:val="24"/>
          <w:lang w:val="en-US"/>
        </w:rPr>
        <w:t>consider the prioritis</w:t>
      </w:r>
      <w:r w:rsidR="00F8057B" w:rsidRPr="006E1AAF">
        <w:rPr>
          <w:rFonts w:asciiTheme="minorHAnsi" w:hAnsiTheme="minorHAnsi" w:cstheme="minorHAnsi"/>
          <w:color w:val="323E4F" w:themeColor="text2" w:themeShade="BF"/>
          <w:sz w:val="24"/>
          <w:szCs w:val="24"/>
          <w:lang w:val="en-US"/>
        </w:rPr>
        <w:t>ation of the treaty bodies in the internal allocation of its resources.</w:t>
      </w:r>
    </w:p>
    <w:p w14:paraId="270966B5" w14:textId="7011E2C7" w:rsidR="00026DAE" w:rsidRDefault="00026DAE" w:rsidP="006E1AAF">
      <w:pPr>
        <w:autoSpaceDE w:val="0"/>
        <w:autoSpaceDN w:val="0"/>
        <w:adjustRightInd w:val="0"/>
        <w:jc w:val="both"/>
        <w:rPr>
          <w:rFonts w:asciiTheme="minorHAnsi" w:hAnsiTheme="minorHAnsi" w:cstheme="minorHAnsi"/>
          <w:color w:val="323E4F" w:themeColor="text2" w:themeShade="BF"/>
          <w:sz w:val="24"/>
          <w:szCs w:val="24"/>
          <w:lang w:val="en-US"/>
        </w:rPr>
      </w:pPr>
    </w:p>
    <w:p w14:paraId="7935F27D" w14:textId="3007FE29" w:rsidR="00C21A02" w:rsidRDefault="00C21A02" w:rsidP="006E1AAF">
      <w:pPr>
        <w:autoSpaceDE w:val="0"/>
        <w:autoSpaceDN w:val="0"/>
        <w:adjustRightInd w:val="0"/>
        <w:jc w:val="both"/>
        <w:rPr>
          <w:rFonts w:asciiTheme="minorHAnsi" w:hAnsiTheme="minorHAnsi" w:cstheme="minorHAnsi"/>
          <w:color w:val="323E4F" w:themeColor="text2" w:themeShade="BF"/>
          <w:sz w:val="24"/>
          <w:szCs w:val="24"/>
          <w:lang w:val="en-US"/>
        </w:rPr>
      </w:pPr>
    </w:p>
    <w:p w14:paraId="3DAE3C91" w14:textId="0D8E81BA" w:rsidR="00C21A02" w:rsidRDefault="00C21A02" w:rsidP="006E1AAF">
      <w:pPr>
        <w:autoSpaceDE w:val="0"/>
        <w:autoSpaceDN w:val="0"/>
        <w:adjustRightInd w:val="0"/>
        <w:jc w:val="both"/>
        <w:rPr>
          <w:rFonts w:asciiTheme="minorHAnsi" w:hAnsiTheme="minorHAnsi" w:cstheme="minorHAnsi"/>
          <w:color w:val="323E4F" w:themeColor="text2" w:themeShade="BF"/>
          <w:sz w:val="24"/>
          <w:szCs w:val="24"/>
          <w:lang w:val="en-US"/>
        </w:rPr>
      </w:pPr>
    </w:p>
    <w:p w14:paraId="2F136A5A" w14:textId="2BC44082" w:rsidR="00C21A02" w:rsidRDefault="00C21A02" w:rsidP="006E1AAF">
      <w:pPr>
        <w:autoSpaceDE w:val="0"/>
        <w:autoSpaceDN w:val="0"/>
        <w:adjustRightInd w:val="0"/>
        <w:jc w:val="both"/>
        <w:rPr>
          <w:rFonts w:asciiTheme="minorHAnsi" w:hAnsiTheme="minorHAnsi" w:cstheme="minorHAnsi"/>
          <w:color w:val="323E4F" w:themeColor="text2" w:themeShade="BF"/>
          <w:sz w:val="24"/>
          <w:szCs w:val="24"/>
          <w:lang w:val="en-US"/>
        </w:rPr>
      </w:pPr>
    </w:p>
    <w:p w14:paraId="22EB894E" w14:textId="77777777" w:rsidR="00C21A02" w:rsidRPr="006E1AAF" w:rsidRDefault="00C21A02" w:rsidP="006E1AAF">
      <w:pPr>
        <w:autoSpaceDE w:val="0"/>
        <w:autoSpaceDN w:val="0"/>
        <w:adjustRightInd w:val="0"/>
        <w:jc w:val="both"/>
        <w:rPr>
          <w:rFonts w:asciiTheme="minorHAnsi" w:hAnsiTheme="minorHAnsi" w:cstheme="minorHAnsi"/>
          <w:color w:val="323E4F" w:themeColor="text2" w:themeShade="BF"/>
          <w:sz w:val="24"/>
          <w:szCs w:val="24"/>
          <w:lang w:val="en-US"/>
        </w:rPr>
      </w:pPr>
    </w:p>
    <w:p w14:paraId="65D30636" w14:textId="50E24C05" w:rsidR="00026DAE" w:rsidRPr="006E1AAF" w:rsidRDefault="00026DAE" w:rsidP="00026DAE">
      <w:pPr>
        <w:overflowPunct w:val="0"/>
        <w:autoSpaceDE w:val="0"/>
        <w:autoSpaceDN w:val="0"/>
        <w:adjustRightInd w:val="0"/>
        <w:spacing w:after="120"/>
        <w:jc w:val="both"/>
        <w:textAlignment w:val="baseline"/>
        <w:rPr>
          <w:rFonts w:asciiTheme="minorHAnsi" w:hAnsiTheme="minorHAnsi" w:cstheme="minorHAnsi"/>
          <w:b/>
          <w:i/>
          <w:color w:val="323E4F" w:themeColor="text2" w:themeShade="BF"/>
          <w:sz w:val="24"/>
          <w:szCs w:val="24"/>
          <w:lang w:val="en-US"/>
        </w:rPr>
      </w:pPr>
      <w:r w:rsidRPr="006E1AAF">
        <w:rPr>
          <w:rFonts w:asciiTheme="minorHAnsi" w:hAnsiTheme="minorHAnsi" w:cstheme="minorHAnsi"/>
          <w:b/>
          <w:i/>
          <w:color w:val="323E4F" w:themeColor="text2" w:themeShade="BF"/>
          <w:sz w:val="24"/>
          <w:szCs w:val="24"/>
          <w:lang w:val="en-US"/>
        </w:rPr>
        <w:t>Accessibility</w:t>
      </w:r>
    </w:p>
    <w:p w14:paraId="78586543" w14:textId="0F0A56B3" w:rsidR="00026DAE" w:rsidRPr="006E1AAF" w:rsidRDefault="00026DAE" w:rsidP="00115A98">
      <w:pPr>
        <w:pStyle w:val="Default"/>
        <w:jc w:val="both"/>
        <w:rPr>
          <w:rFonts w:asciiTheme="minorHAnsi" w:hAnsiTheme="minorHAnsi" w:cstheme="minorHAnsi"/>
          <w:color w:val="323E4F" w:themeColor="text2" w:themeShade="BF"/>
          <w:lang w:val="en-GB"/>
        </w:rPr>
      </w:pPr>
      <w:r w:rsidRPr="006E1AAF">
        <w:rPr>
          <w:rFonts w:asciiTheme="minorHAnsi" w:hAnsiTheme="minorHAnsi" w:cstheme="minorHAnsi"/>
          <w:color w:val="323E4F" w:themeColor="text2" w:themeShade="BF"/>
          <w:lang w:val="en-GB"/>
        </w:rPr>
        <w:t xml:space="preserve">Given the importance of monitoring the implementation of human rights obligations, </w:t>
      </w:r>
      <w:r w:rsidR="005920C7">
        <w:rPr>
          <w:rFonts w:asciiTheme="minorHAnsi" w:hAnsiTheme="minorHAnsi" w:cstheme="minorHAnsi"/>
          <w:color w:val="323E4F" w:themeColor="text2" w:themeShade="BF"/>
          <w:lang w:val="en-GB"/>
        </w:rPr>
        <w:t>the</w:t>
      </w:r>
      <w:r w:rsidRPr="006E1AAF">
        <w:rPr>
          <w:rFonts w:asciiTheme="minorHAnsi" w:hAnsiTheme="minorHAnsi" w:cstheme="minorHAnsi"/>
          <w:color w:val="323E4F" w:themeColor="text2" w:themeShade="BF"/>
          <w:lang w:val="en-GB"/>
        </w:rPr>
        <w:t xml:space="preserve"> work and contributions</w:t>
      </w:r>
      <w:r w:rsidR="005920C7">
        <w:rPr>
          <w:rFonts w:asciiTheme="minorHAnsi" w:hAnsiTheme="minorHAnsi" w:cstheme="minorHAnsi"/>
          <w:color w:val="323E4F" w:themeColor="text2" w:themeShade="BF"/>
          <w:lang w:val="en-GB"/>
        </w:rPr>
        <w:t xml:space="preserve"> of the treaty bodies</w:t>
      </w:r>
      <w:r w:rsidRPr="006E1AAF">
        <w:rPr>
          <w:rFonts w:asciiTheme="minorHAnsi" w:hAnsiTheme="minorHAnsi" w:cstheme="minorHAnsi"/>
          <w:color w:val="323E4F" w:themeColor="text2" w:themeShade="BF"/>
          <w:lang w:val="en-GB"/>
        </w:rPr>
        <w:t xml:space="preserve"> to human rights protection are little known. </w:t>
      </w:r>
      <w:r w:rsidR="00115A98" w:rsidRPr="006E1AAF">
        <w:rPr>
          <w:rFonts w:asciiTheme="minorHAnsi" w:hAnsiTheme="minorHAnsi" w:cstheme="minorHAnsi"/>
          <w:color w:val="323E4F" w:themeColor="text2" w:themeShade="BF"/>
          <w:lang w:val="en-GB"/>
        </w:rPr>
        <w:t xml:space="preserve">All treaty bodies must be fully accessible for rights-holders, including persons with disabilities. </w:t>
      </w:r>
      <w:r w:rsidRPr="006E1AAF">
        <w:rPr>
          <w:rFonts w:asciiTheme="minorHAnsi" w:hAnsiTheme="minorHAnsi" w:cstheme="minorHAnsi"/>
          <w:color w:val="323E4F" w:themeColor="text2" w:themeShade="BF"/>
          <w:lang w:val="en-GB"/>
        </w:rPr>
        <w:t>The accessibility of the treaty bodies, including through the use of new technologies, webcasting</w:t>
      </w:r>
      <w:r w:rsidR="00115A98" w:rsidRPr="006E1AAF">
        <w:rPr>
          <w:rFonts w:asciiTheme="minorHAnsi" w:hAnsiTheme="minorHAnsi" w:cstheme="minorHAnsi"/>
          <w:color w:val="323E4F" w:themeColor="text2" w:themeShade="BF"/>
          <w:lang w:val="en-GB"/>
        </w:rPr>
        <w:t xml:space="preserve"> and databases, should be enhanced.</w:t>
      </w:r>
    </w:p>
    <w:p w14:paraId="148B300A" w14:textId="07DE678E" w:rsidR="00026DAE" w:rsidRPr="006E1AAF" w:rsidRDefault="00026DAE" w:rsidP="00026DAE">
      <w:pPr>
        <w:autoSpaceDE w:val="0"/>
        <w:autoSpaceDN w:val="0"/>
        <w:adjustRightInd w:val="0"/>
        <w:jc w:val="both"/>
        <w:rPr>
          <w:rFonts w:asciiTheme="minorHAnsi" w:hAnsiTheme="minorHAnsi" w:cstheme="minorHAnsi"/>
          <w:color w:val="323E4F" w:themeColor="text2" w:themeShade="BF"/>
          <w:sz w:val="24"/>
          <w:szCs w:val="24"/>
          <w:lang w:val="en-US"/>
        </w:rPr>
      </w:pPr>
    </w:p>
    <w:p w14:paraId="7A377A10" w14:textId="77777777" w:rsidR="00026DAE" w:rsidRPr="006E1AAF" w:rsidRDefault="00026DAE" w:rsidP="00026DAE">
      <w:pPr>
        <w:autoSpaceDE w:val="0"/>
        <w:autoSpaceDN w:val="0"/>
        <w:adjustRightInd w:val="0"/>
        <w:jc w:val="both"/>
        <w:rPr>
          <w:rFonts w:asciiTheme="minorHAnsi" w:hAnsiTheme="minorHAnsi" w:cstheme="minorHAnsi"/>
          <w:color w:val="323E4F" w:themeColor="text2" w:themeShade="BF"/>
          <w:sz w:val="24"/>
          <w:szCs w:val="24"/>
          <w:lang w:val="en-US"/>
        </w:rPr>
      </w:pPr>
    </w:p>
    <w:p w14:paraId="5DB70148" w14:textId="7174780D" w:rsidR="00C03D26" w:rsidRPr="006E1AAF" w:rsidRDefault="006944CE" w:rsidP="006944CE">
      <w:pPr>
        <w:jc w:val="center"/>
        <w:rPr>
          <w:rFonts w:asciiTheme="minorHAnsi" w:hAnsiTheme="minorHAnsi" w:cstheme="minorHAnsi"/>
          <w:color w:val="323E4F" w:themeColor="text2" w:themeShade="BF"/>
          <w:sz w:val="24"/>
          <w:szCs w:val="24"/>
          <w:lang w:val="en-US"/>
        </w:rPr>
      </w:pPr>
      <w:r w:rsidRPr="006E1AAF">
        <w:rPr>
          <w:rFonts w:asciiTheme="minorHAnsi" w:hAnsiTheme="minorHAnsi" w:cstheme="minorHAnsi"/>
          <w:color w:val="323E4F" w:themeColor="text2" w:themeShade="BF"/>
          <w:sz w:val="24"/>
          <w:szCs w:val="24"/>
          <w:lang w:val="en-US"/>
        </w:rPr>
        <w:t>= = =</w:t>
      </w:r>
    </w:p>
    <w:p w14:paraId="1C2E7D71" w14:textId="5B486AA0" w:rsidR="00026DAE" w:rsidRPr="006E1AAF" w:rsidRDefault="00026DAE" w:rsidP="006944CE">
      <w:pPr>
        <w:jc w:val="center"/>
        <w:rPr>
          <w:rFonts w:asciiTheme="minorHAnsi" w:hAnsiTheme="minorHAnsi" w:cstheme="minorHAnsi"/>
          <w:color w:val="323E4F" w:themeColor="text2" w:themeShade="BF"/>
          <w:sz w:val="24"/>
          <w:szCs w:val="24"/>
          <w:lang w:val="en-US"/>
        </w:rPr>
      </w:pPr>
    </w:p>
    <w:p w14:paraId="042F5080" w14:textId="628FDA9E" w:rsidR="00026DAE" w:rsidRPr="006E1AAF" w:rsidRDefault="00026DAE" w:rsidP="00E3527A">
      <w:pPr>
        <w:rPr>
          <w:rFonts w:asciiTheme="minorHAnsi" w:hAnsiTheme="minorHAnsi" w:cstheme="minorHAnsi"/>
          <w:color w:val="323E4F" w:themeColor="text2" w:themeShade="BF"/>
          <w:sz w:val="24"/>
          <w:szCs w:val="24"/>
          <w:lang w:val="en-US"/>
        </w:rPr>
      </w:pPr>
    </w:p>
    <w:sectPr w:rsidR="00026DAE" w:rsidRPr="006E1AAF" w:rsidSect="006944CE">
      <w:headerReference w:type="default" r:id="rId10"/>
      <w:footerReference w:type="default" r:id="rId11"/>
      <w:pgSz w:w="12240" w:h="15840"/>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40F60" w14:textId="77777777" w:rsidR="00014C79" w:rsidRDefault="00014C79" w:rsidP="00937BDB">
      <w:r>
        <w:separator/>
      </w:r>
    </w:p>
  </w:endnote>
  <w:endnote w:type="continuationSeparator" w:id="0">
    <w:p w14:paraId="1E441DE3" w14:textId="77777777" w:rsidR="00014C79" w:rsidRDefault="00014C79" w:rsidP="0093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837419"/>
      <w:docPartObj>
        <w:docPartGallery w:val="Page Numbers (Bottom of Page)"/>
        <w:docPartUnique/>
      </w:docPartObj>
    </w:sdtPr>
    <w:sdtEndPr>
      <w:rPr>
        <w:rFonts w:asciiTheme="minorHAnsi" w:hAnsiTheme="minorHAnsi" w:cstheme="minorHAnsi"/>
        <w:noProof/>
        <w:color w:val="323E4F" w:themeColor="text2" w:themeShade="BF"/>
      </w:rPr>
    </w:sdtEndPr>
    <w:sdtContent>
      <w:p w14:paraId="092D1894" w14:textId="47A23B10" w:rsidR="006944CE" w:rsidRPr="00FA0BFA" w:rsidRDefault="006944CE" w:rsidP="00FA0BFA">
        <w:pPr>
          <w:pStyle w:val="Footer"/>
          <w:jc w:val="right"/>
          <w:rPr>
            <w:rFonts w:asciiTheme="minorHAnsi" w:hAnsiTheme="minorHAnsi" w:cstheme="minorHAnsi"/>
            <w:color w:val="323E4F" w:themeColor="text2" w:themeShade="BF"/>
          </w:rPr>
        </w:pPr>
        <w:r w:rsidRPr="00FA0BFA">
          <w:rPr>
            <w:rFonts w:asciiTheme="minorHAnsi" w:hAnsiTheme="minorHAnsi" w:cstheme="minorHAnsi"/>
            <w:color w:val="323E4F" w:themeColor="text2" w:themeShade="BF"/>
          </w:rPr>
          <w:fldChar w:fldCharType="begin"/>
        </w:r>
        <w:r w:rsidRPr="00FA0BFA">
          <w:rPr>
            <w:rFonts w:asciiTheme="minorHAnsi" w:hAnsiTheme="minorHAnsi" w:cstheme="minorHAnsi"/>
            <w:color w:val="323E4F" w:themeColor="text2" w:themeShade="BF"/>
          </w:rPr>
          <w:instrText xml:space="preserve"> PAGE   \* MERGEFORMAT </w:instrText>
        </w:r>
        <w:r w:rsidRPr="00FA0BFA">
          <w:rPr>
            <w:rFonts w:asciiTheme="minorHAnsi" w:hAnsiTheme="minorHAnsi" w:cstheme="minorHAnsi"/>
            <w:color w:val="323E4F" w:themeColor="text2" w:themeShade="BF"/>
          </w:rPr>
          <w:fldChar w:fldCharType="separate"/>
        </w:r>
        <w:r w:rsidR="00F0089E">
          <w:rPr>
            <w:rFonts w:asciiTheme="minorHAnsi" w:hAnsiTheme="minorHAnsi" w:cstheme="minorHAnsi"/>
            <w:noProof/>
            <w:color w:val="323E4F" w:themeColor="text2" w:themeShade="BF"/>
          </w:rPr>
          <w:t>1</w:t>
        </w:r>
        <w:r w:rsidRPr="00FA0BFA">
          <w:rPr>
            <w:rFonts w:asciiTheme="minorHAnsi" w:hAnsiTheme="minorHAnsi" w:cstheme="minorHAnsi"/>
            <w:noProof/>
            <w:color w:val="323E4F" w:themeColor="text2" w:themeShade="BF"/>
          </w:rPr>
          <w:fldChar w:fldCharType="end"/>
        </w:r>
      </w:p>
    </w:sdtContent>
  </w:sdt>
  <w:p w14:paraId="412AE26E" w14:textId="77777777" w:rsidR="006944CE" w:rsidRDefault="0069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AC813" w14:textId="77777777" w:rsidR="00014C79" w:rsidRDefault="00014C79" w:rsidP="00937BDB">
      <w:r>
        <w:separator/>
      </w:r>
    </w:p>
  </w:footnote>
  <w:footnote w:type="continuationSeparator" w:id="0">
    <w:p w14:paraId="305AAAE8" w14:textId="77777777" w:rsidR="00014C79" w:rsidRDefault="00014C79" w:rsidP="00937BDB">
      <w:r>
        <w:continuationSeparator/>
      </w:r>
    </w:p>
  </w:footnote>
  <w:footnote w:id="1">
    <w:p w14:paraId="1637EB20" w14:textId="1B81A0D4" w:rsidR="00614C6E" w:rsidRDefault="00614C6E" w:rsidP="00614C6E">
      <w:pPr>
        <w:pStyle w:val="FootnoteText"/>
        <w:tabs>
          <w:tab w:val="clear" w:pos="3600"/>
          <w:tab w:val="clear" w:pos="5387"/>
          <w:tab w:val="left" w:pos="2970"/>
        </w:tabs>
        <w:rPr>
          <w:rFonts w:asciiTheme="minorHAnsi" w:hAnsiTheme="minorHAnsi"/>
          <w:lang w:val="en-US"/>
        </w:rPr>
      </w:pPr>
      <w:r>
        <w:rPr>
          <w:rStyle w:val="FootnoteReference"/>
          <w:rFonts w:asciiTheme="minorHAnsi" w:hAnsiTheme="minorHAnsi"/>
          <w:lang w:val="en-US"/>
        </w:rPr>
        <w:footnoteRef/>
      </w:r>
      <w:r>
        <w:rPr>
          <w:rFonts w:asciiTheme="minorHAnsi" w:hAnsiTheme="minorHAnsi"/>
          <w:lang w:val="en-US"/>
        </w:rPr>
        <w:t xml:space="preserve"> Together with Denmark, Iceland, Norway, Slovenia</w:t>
      </w:r>
      <w:r w:rsidR="00FE2ABB">
        <w:rPr>
          <w:rFonts w:asciiTheme="minorHAnsi" w:hAnsiTheme="minorHAnsi"/>
          <w:lang w:val="en-US"/>
        </w:rPr>
        <w:t>, Sweden</w:t>
      </w:r>
      <w:r>
        <w:rPr>
          <w:rFonts w:asciiTheme="minorHAnsi" w:hAnsiTheme="minorHAnsi"/>
          <w:lang w:val="en-US"/>
        </w:rPr>
        <w:t xml:space="preserve"> and Belgium.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2F44" w14:textId="626ED560" w:rsidR="006944CE" w:rsidRDefault="006944CE">
    <w:pPr>
      <w:pStyle w:val="Header"/>
    </w:pPr>
    <w:r>
      <w:rPr>
        <w:rFonts w:asciiTheme="minorHAnsi" w:eastAsia="Calibri" w:hAnsiTheme="minorHAnsi" w:cstheme="minorHAnsi"/>
        <w:b/>
        <w:i/>
        <w:noProof/>
        <w:szCs w:val="22"/>
        <w:lang w:eastAsia="en-GB"/>
      </w:rPr>
      <w:drawing>
        <wp:anchor distT="0" distB="0" distL="114300" distR="114300" simplePos="0" relativeHeight="251659264" behindDoc="0" locked="0" layoutInCell="1" allowOverlap="1" wp14:anchorId="50FCA79B" wp14:editId="60325F08">
          <wp:simplePos x="0" y="0"/>
          <wp:positionH relativeFrom="margin">
            <wp:align>center</wp:align>
          </wp:positionH>
          <wp:positionV relativeFrom="paragraph">
            <wp:posOffset>-375285</wp:posOffset>
          </wp:positionV>
          <wp:extent cx="1580083" cy="830187"/>
          <wp:effectExtent l="0" t="0" r="1270" b="8255"/>
          <wp:wrapSquare wrapText="bothSides"/>
          <wp:docPr id="1" name="Picture 1" descr="D-FORMIN-00045419_Formin_Logo_Hor3Lang_BLU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RMIN-00045419_Formin_Logo_Hor3Lang_BLUE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0083" cy="8301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3984"/>
    <w:multiLevelType w:val="hybridMultilevel"/>
    <w:tmpl w:val="1216129A"/>
    <w:lvl w:ilvl="0" w:tplc="19843F76">
      <w:numFmt w:val="bullet"/>
      <w:lvlText w:val="•"/>
      <w:lvlJc w:val="left"/>
      <w:pPr>
        <w:ind w:left="1090" w:hanging="370"/>
      </w:pPr>
      <w:rPr>
        <w:rFonts w:ascii="Calibri" w:eastAsia="Calibri" w:hAnsi="Calibri" w:cs="Calibri" w:hint="default"/>
      </w:rPr>
    </w:lvl>
    <w:lvl w:ilvl="1" w:tplc="04130003">
      <w:start w:val="1"/>
      <w:numFmt w:val="bullet"/>
      <w:lvlText w:val="o"/>
      <w:lvlJc w:val="left"/>
      <w:pPr>
        <w:ind w:left="886" w:hanging="360"/>
      </w:pPr>
      <w:rPr>
        <w:rFonts w:ascii="Courier New" w:hAnsi="Courier New" w:cs="Courier New" w:hint="default"/>
      </w:rPr>
    </w:lvl>
    <w:lvl w:ilvl="2" w:tplc="04130005">
      <w:start w:val="1"/>
      <w:numFmt w:val="bullet"/>
      <w:lvlText w:val=""/>
      <w:lvlJc w:val="left"/>
      <w:pPr>
        <w:ind w:left="1606" w:hanging="360"/>
      </w:pPr>
      <w:rPr>
        <w:rFonts w:ascii="Wingdings" w:hAnsi="Wingdings" w:hint="default"/>
      </w:rPr>
    </w:lvl>
    <w:lvl w:ilvl="3" w:tplc="04130001">
      <w:start w:val="1"/>
      <w:numFmt w:val="bullet"/>
      <w:lvlText w:val=""/>
      <w:lvlJc w:val="left"/>
      <w:pPr>
        <w:ind w:left="2326" w:hanging="360"/>
      </w:pPr>
      <w:rPr>
        <w:rFonts w:ascii="Symbol" w:hAnsi="Symbol" w:hint="default"/>
      </w:rPr>
    </w:lvl>
    <w:lvl w:ilvl="4" w:tplc="04130003">
      <w:start w:val="1"/>
      <w:numFmt w:val="bullet"/>
      <w:lvlText w:val="o"/>
      <w:lvlJc w:val="left"/>
      <w:pPr>
        <w:ind w:left="3046" w:hanging="360"/>
      </w:pPr>
      <w:rPr>
        <w:rFonts w:ascii="Courier New" w:hAnsi="Courier New" w:cs="Courier New" w:hint="default"/>
      </w:rPr>
    </w:lvl>
    <w:lvl w:ilvl="5" w:tplc="04130005">
      <w:start w:val="1"/>
      <w:numFmt w:val="bullet"/>
      <w:lvlText w:val=""/>
      <w:lvlJc w:val="left"/>
      <w:pPr>
        <w:ind w:left="3766" w:hanging="360"/>
      </w:pPr>
      <w:rPr>
        <w:rFonts w:ascii="Wingdings" w:hAnsi="Wingdings" w:hint="default"/>
      </w:rPr>
    </w:lvl>
    <w:lvl w:ilvl="6" w:tplc="04130001">
      <w:start w:val="1"/>
      <w:numFmt w:val="bullet"/>
      <w:lvlText w:val=""/>
      <w:lvlJc w:val="left"/>
      <w:pPr>
        <w:ind w:left="4486" w:hanging="360"/>
      </w:pPr>
      <w:rPr>
        <w:rFonts w:ascii="Symbol" w:hAnsi="Symbol" w:hint="default"/>
      </w:rPr>
    </w:lvl>
    <w:lvl w:ilvl="7" w:tplc="04130003">
      <w:start w:val="1"/>
      <w:numFmt w:val="bullet"/>
      <w:lvlText w:val="o"/>
      <w:lvlJc w:val="left"/>
      <w:pPr>
        <w:ind w:left="5206" w:hanging="360"/>
      </w:pPr>
      <w:rPr>
        <w:rFonts w:ascii="Courier New" w:hAnsi="Courier New" w:cs="Courier New" w:hint="default"/>
      </w:rPr>
    </w:lvl>
    <w:lvl w:ilvl="8" w:tplc="04130005">
      <w:start w:val="1"/>
      <w:numFmt w:val="bullet"/>
      <w:lvlText w:val=""/>
      <w:lvlJc w:val="left"/>
      <w:pPr>
        <w:ind w:left="5926" w:hanging="360"/>
      </w:pPr>
      <w:rPr>
        <w:rFonts w:ascii="Wingdings" w:hAnsi="Wingdings" w:hint="default"/>
      </w:rPr>
    </w:lvl>
  </w:abstractNum>
  <w:abstractNum w:abstractNumId="1" w15:restartNumberingAfterBreak="0">
    <w:nsid w:val="12642D06"/>
    <w:multiLevelType w:val="hybridMultilevel"/>
    <w:tmpl w:val="A852F31C"/>
    <w:lvl w:ilvl="0" w:tplc="9306E3CE">
      <w:start w:val="1"/>
      <w:numFmt w:val="decimal"/>
      <w:lvlText w:val="%1."/>
      <w:lvlJc w:val="left"/>
      <w:pPr>
        <w:ind w:left="720" w:hanging="360"/>
      </w:pPr>
      <w:rPr>
        <w:b w:val="0"/>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 w15:restartNumberingAfterBreak="0">
    <w:nsid w:val="22042BCD"/>
    <w:multiLevelType w:val="hybridMultilevel"/>
    <w:tmpl w:val="FD3EF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65CFC"/>
    <w:multiLevelType w:val="hybridMultilevel"/>
    <w:tmpl w:val="1938F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80C76"/>
    <w:multiLevelType w:val="hybridMultilevel"/>
    <w:tmpl w:val="A63838F6"/>
    <w:lvl w:ilvl="0" w:tplc="036A4162">
      <w:numFmt w:val="bullet"/>
      <w:lvlText w:val="-"/>
      <w:lvlJc w:val="left"/>
      <w:pPr>
        <w:ind w:left="6" w:hanging="360"/>
      </w:pPr>
      <w:rPr>
        <w:rFonts w:ascii="Arial" w:eastAsia="Times New Roman" w:hAnsi="Arial" w:cs="Aria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5"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70774A"/>
    <w:multiLevelType w:val="multilevel"/>
    <w:tmpl w:val="1B563932"/>
    <w:numStyleLink w:val="RKNumreradlista"/>
  </w:abstractNum>
  <w:abstractNum w:abstractNumId="7" w15:restartNumberingAfterBreak="0">
    <w:nsid w:val="42934137"/>
    <w:multiLevelType w:val="hybridMultilevel"/>
    <w:tmpl w:val="DAF6B1DC"/>
    <w:lvl w:ilvl="0" w:tplc="90882D44">
      <w:start w:val="1"/>
      <w:numFmt w:val="decimal"/>
      <w:lvlText w:val="%1."/>
      <w:lvlJc w:val="left"/>
      <w:pPr>
        <w:tabs>
          <w:tab w:val="num" w:pos="680"/>
        </w:tabs>
        <w:ind w:left="0" w:firstLine="0"/>
      </w:pPr>
      <w:rPr>
        <w:rFonts w:hint="default"/>
        <w:sz w:val="24"/>
        <w:szCs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610E1CFB"/>
    <w:multiLevelType w:val="hybridMultilevel"/>
    <w:tmpl w:val="A23E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264C7F"/>
    <w:multiLevelType w:val="hybridMultilevel"/>
    <w:tmpl w:val="0142A6E0"/>
    <w:lvl w:ilvl="0" w:tplc="234A4128">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75A80BDB"/>
    <w:multiLevelType w:val="hybridMultilevel"/>
    <w:tmpl w:val="1B50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042AF"/>
    <w:multiLevelType w:val="hybridMultilevel"/>
    <w:tmpl w:val="B25CDFA6"/>
    <w:lvl w:ilvl="0" w:tplc="43F8D14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1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5"/>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DB"/>
    <w:rsid w:val="00014C79"/>
    <w:rsid w:val="00026DAE"/>
    <w:rsid w:val="00035381"/>
    <w:rsid w:val="00060EFC"/>
    <w:rsid w:val="00084BEA"/>
    <w:rsid w:val="00092E06"/>
    <w:rsid w:val="000B2866"/>
    <w:rsid w:val="000B7B1F"/>
    <w:rsid w:val="001143B0"/>
    <w:rsid w:val="00115A98"/>
    <w:rsid w:val="00126233"/>
    <w:rsid w:val="00127E73"/>
    <w:rsid w:val="001431C0"/>
    <w:rsid w:val="00153F10"/>
    <w:rsid w:val="001B1750"/>
    <w:rsid w:val="001D1995"/>
    <w:rsid w:val="00203B88"/>
    <w:rsid w:val="002F4AD1"/>
    <w:rsid w:val="0034306F"/>
    <w:rsid w:val="0035123B"/>
    <w:rsid w:val="003661B0"/>
    <w:rsid w:val="003A2F1E"/>
    <w:rsid w:val="003A76B3"/>
    <w:rsid w:val="00425137"/>
    <w:rsid w:val="004344EE"/>
    <w:rsid w:val="004C6180"/>
    <w:rsid w:val="004D5100"/>
    <w:rsid w:val="00560EEE"/>
    <w:rsid w:val="005920C7"/>
    <w:rsid w:val="006117C4"/>
    <w:rsid w:val="00614C6E"/>
    <w:rsid w:val="006266B8"/>
    <w:rsid w:val="00652549"/>
    <w:rsid w:val="00693F63"/>
    <w:rsid w:val="006944CE"/>
    <w:rsid w:val="006E1734"/>
    <w:rsid w:val="006E1AAF"/>
    <w:rsid w:val="00713E93"/>
    <w:rsid w:val="00780BAD"/>
    <w:rsid w:val="007B450F"/>
    <w:rsid w:val="007D6F17"/>
    <w:rsid w:val="00822007"/>
    <w:rsid w:val="008307D3"/>
    <w:rsid w:val="008859FF"/>
    <w:rsid w:val="008A749C"/>
    <w:rsid w:val="00901F20"/>
    <w:rsid w:val="00937BDB"/>
    <w:rsid w:val="00941F7A"/>
    <w:rsid w:val="00947022"/>
    <w:rsid w:val="0099485A"/>
    <w:rsid w:val="00A14357"/>
    <w:rsid w:val="00A2133E"/>
    <w:rsid w:val="00A25661"/>
    <w:rsid w:val="00A90067"/>
    <w:rsid w:val="00AA4AA8"/>
    <w:rsid w:val="00AC2050"/>
    <w:rsid w:val="00B24FC3"/>
    <w:rsid w:val="00B306FF"/>
    <w:rsid w:val="00B75F70"/>
    <w:rsid w:val="00B870DC"/>
    <w:rsid w:val="00BB52AE"/>
    <w:rsid w:val="00C03D26"/>
    <w:rsid w:val="00C043A9"/>
    <w:rsid w:val="00C21A02"/>
    <w:rsid w:val="00C331DC"/>
    <w:rsid w:val="00C779A2"/>
    <w:rsid w:val="00CD5E65"/>
    <w:rsid w:val="00D07C34"/>
    <w:rsid w:val="00D25AA8"/>
    <w:rsid w:val="00D35A25"/>
    <w:rsid w:val="00D43E35"/>
    <w:rsid w:val="00DF5B1D"/>
    <w:rsid w:val="00E03D00"/>
    <w:rsid w:val="00E05AA4"/>
    <w:rsid w:val="00E211B4"/>
    <w:rsid w:val="00E3527A"/>
    <w:rsid w:val="00E93320"/>
    <w:rsid w:val="00EA653D"/>
    <w:rsid w:val="00F0089E"/>
    <w:rsid w:val="00F0563B"/>
    <w:rsid w:val="00F32457"/>
    <w:rsid w:val="00F8057B"/>
    <w:rsid w:val="00FA0BFA"/>
    <w:rsid w:val="00FC043D"/>
    <w:rsid w:val="00FE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BCCB"/>
  <w15:chartTrackingRefBased/>
  <w15:docId w15:val="{346B773F-C3C0-4845-A3A9-1E8BF3E0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D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D35A25"/>
    <w:pPr>
      <w:keepNext/>
      <w:keepLines/>
      <w:spacing w:before="240" w:line="360" w:lineRule="auto"/>
      <w:outlineLvl w:val="0"/>
    </w:pPr>
    <w:rPr>
      <w:rFonts w:asciiTheme="majorHAnsi" w:eastAsiaTheme="majorEastAsia" w:hAnsiTheme="majorHAnsi" w:cstheme="majorBidi"/>
      <w:color w:val="2E74B5" w:themeColor="accent1" w:themeShade="BF"/>
      <w:sz w:val="32"/>
      <w:szCs w:val="3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37BDB"/>
    <w:pPr>
      <w:tabs>
        <w:tab w:val="left" w:pos="1701"/>
        <w:tab w:val="left" w:pos="3600"/>
        <w:tab w:val="left" w:pos="5387"/>
      </w:tabs>
      <w:spacing w:after="280" w:line="276" w:lineRule="auto"/>
    </w:pPr>
    <w:rPr>
      <w:rFonts w:asciiTheme="minorHAnsi" w:eastAsiaTheme="minorHAnsi" w:hAnsiTheme="minorHAnsi" w:cstheme="minorBidi"/>
      <w:sz w:val="25"/>
      <w:szCs w:val="25"/>
    </w:rPr>
  </w:style>
  <w:style w:type="character" w:customStyle="1" w:styleId="BodyTextChar">
    <w:name w:val="Body Text Char"/>
    <w:basedOn w:val="DefaultParagraphFont"/>
    <w:link w:val="BodyText"/>
    <w:rsid w:val="00937BDB"/>
    <w:rPr>
      <w:sz w:val="25"/>
      <w:szCs w:val="25"/>
      <w:lang w:val="en-GB"/>
    </w:rPr>
  </w:style>
  <w:style w:type="paragraph" w:styleId="FootnoteText">
    <w:name w:val="footnote text"/>
    <w:aliases w:val="Alaviitteen teksti Char Char,Alaviitteen teksti Char Char Char,Alaviitteen teksti Char Char Char Char Char"/>
    <w:basedOn w:val="Normal"/>
    <w:link w:val="FootnoteTextChar"/>
    <w:uiPriority w:val="99"/>
    <w:qFormat/>
    <w:rsid w:val="00937BDB"/>
    <w:pPr>
      <w:keepLines/>
      <w:tabs>
        <w:tab w:val="left" w:pos="1701"/>
        <w:tab w:val="left" w:pos="3600"/>
        <w:tab w:val="left" w:pos="5387"/>
      </w:tabs>
      <w:spacing w:before="100"/>
      <w:textboxTightWrap w:val="firstLineOnly"/>
    </w:pPr>
    <w:rPr>
      <w:rFonts w:asciiTheme="majorHAnsi" w:eastAsiaTheme="minorHAnsi" w:hAnsiTheme="majorHAnsi" w:cstheme="majorHAnsi"/>
      <w:spacing w:val="6"/>
      <w:sz w:val="14"/>
    </w:rPr>
  </w:style>
  <w:style w:type="character" w:customStyle="1" w:styleId="FootnoteTextChar">
    <w:name w:val="Footnote Text Char"/>
    <w:aliases w:val="Alaviitteen teksti Char Char Char1,Alaviitteen teksti Char Char Char Char,Alaviitteen teksti Char Char Char Char Char Char"/>
    <w:basedOn w:val="DefaultParagraphFont"/>
    <w:link w:val="FootnoteText"/>
    <w:uiPriority w:val="99"/>
    <w:qFormat/>
    <w:rsid w:val="00937BDB"/>
    <w:rPr>
      <w:rFonts w:asciiTheme="majorHAnsi" w:hAnsiTheme="majorHAnsi" w:cstheme="majorHAnsi"/>
      <w:spacing w:val="6"/>
      <w:sz w:val="14"/>
      <w:szCs w:val="20"/>
      <w:lang w:val="en-GB"/>
    </w:rPr>
  </w:style>
  <w:style w:type="character" w:styleId="FootnoteReference">
    <w:name w:val="footnote reference"/>
    <w:basedOn w:val="DefaultParagraphFont"/>
    <w:uiPriority w:val="99"/>
    <w:unhideWhenUsed/>
    <w:rsid w:val="00937BDB"/>
    <w:rPr>
      <w:noProof w:val="0"/>
      <w:vertAlign w:val="superscript"/>
    </w:rPr>
  </w:style>
  <w:style w:type="paragraph" w:styleId="ListParagraph">
    <w:name w:val="List Paragraph"/>
    <w:basedOn w:val="Normal"/>
    <w:uiPriority w:val="34"/>
    <w:qFormat/>
    <w:rsid w:val="00937BDB"/>
    <w:pPr>
      <w:ind w:left="720"/>
      <w:contextualSpacing/>
    </w:pPr>
  </w:style>
  <w:style w:type="character" w:styleId="Hyperlink">
    <w:name w:val="Hyperlink"/>
    <w:uiPriority w:val="99"/>
    <w:unhideWhenUsed/>
    <w:rsid w:val="00BB52AE"/>
    <w:rPr>
      <w:color w:val="0000FF"/>
      <w:u w:val="single"/>
    </w:rPr>
  </w:style>
  <w:style w:type="paragraph" w:customStyle="1" w:styleId="Default">
    <w:name w:val="Default"/>
    <w:rsid w:val="00947022"/>
    <w:pPr>
      <w:autoSpaceDE w:val="0"/>
      <w:autoSpaceDN w:val="0"/>
      <w:adjustRightInd w:val="0"/>
      <w:spacing w:after="0" w:line="240" w:lineRule="auto"/>
    </w:pPr>
    <w:rPr>
      <w:rFonts w:ascii="Calibri" w:eastAsia="Calibri" w:hAnsi="Calibri" w:cs="Calibri"/>
      <w:color w:val="000000"/>
      <w:sz w:val="24"/>
      <w:szCs w:val="24"/>
      <w:lang w:val="fi-FI" w:eastAsia="fi-FI"/>
    </w:rPr>
  </w:style>
  <w:style w:type="character" w:customStyle="1" w:styleId="Heading1Char">
    <w:name w:val="Heading 1 Char"/>
    <w:basedOn w:val="DefaultParagraphFont"/>
    <w:link w:val="Heading1"/>
    <w:uiPriority w:val="9"/>
    <w:rsid w:val="00D35A25"/>
    <w:rPr>
      <w:rFonts w:asciiTheme="majorHAnsi" w:eastAsiaTheme="majorEastAsia" w:hAnsiTheme="majorHAnsi" w:cstheme="majorBidi"/>
      <w:color w:val="2E74B5" w:themeColor="accent1" w:themeShade="BF"/>
      <w:sz w:val="32"/>
      <w:szCs w:val="32"/>
      <w:lang w:val="fr-CH"/>
    </w:rPr>
  </w:style>
  <w:style w:type="paragraph" w:styleId="CommentText">
    <w:name w:val="annotation text"/>
    <w:basedOn w:val="Normal"/>
    <w:link w:val="CommentTextChar"/>
    <w:uiPriority w:val="99"/>
    <w:semiHidden/>
    <w:unhideWhenUsed/>
    <w:rsid w:val="00D35A25"/>
    <w:pPr>
      <w:spacing w:after="120"/>
    </w:pPr>
    <w:rPr>
      <w:rFonts w:asciiTheme="minorHAnsi" w:eastAsiaTheme="minorHAnsi" w:hAnsiTheme="minorHAnsi" w:cstheme="minorBidi"/>
      <w:lang w:val="fr-CH"/>
    </w:rPr>
  </w:style>
  <w:style w:type="character" w:customStyle="1" w:styleId="CommentTextChar">
    <w:name w:val="Comment Text Char"/>
    <w:basedOn w:val="DefaultParagraphFont"/>
    <w:link w:val="CommentText"/>
    <w:uiPriority w:val="99"/>
    <w:semiHidden/>
    <w:rsid w:val="00D35A25"/>
    <w:rPr>
      <w:sz w:val="20"/>
      <w:szCs w:val="20"/>
      <w:lang w:val="fr-CH"/>
    </w:rPr>
  </w:style>
  <w:style w:type="character" w:styleId="CommentReference">
    <w:name w:val="annotation reference"/>
    <w:basedOn w:val="DefaultParagraphFont"/>
    <w:uiPriority w:val="99"/>
    <w:semiHidden/>
    <w:unhideWhenUsed/>
    <w:rsid w:val="00D35A25"/>
    <w:rPr>
      <w:sz w:val="16"/>
      <w:szCs w:val="16"/>
    </w:rPr>
  </w:style>
  <w:style w:type="paragraph" w:styleId="BalloonText">
    <w:name w:val="Balloon Text"/>
    <w:basedOn w:val="Normal"/>
    <w:link w:val="BalloonTextChar"/>
    <w:uiPriority w:val="99"/>
    <w:semiHidden/>
    <w:unhideWhenUsed/>
    <w:rsid w:val="00D35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A25"/>
    <w:rPr>
      <w:rFonts w:ascii="Segoe UI" w:eastAsia="Times New Roman" w:hAnsi="Segoe UI" w:cs="Segoe UI"/>
      <w:sz w:val="18"/>
      <w:szCs w:val="18"/>
      <w:lang w:val="en-GB"/>
    </w:rPr>
  </w:style>
  <w:style w:type="paragraph" w:customStyle="1" w:styleId="ECHRPara">
    <w:name w:val="ECHR_Para"/>
    <w:aliases w:val="Para"/>
    <w:basedOn w:val="Normal"/>
    <w:uiPriority w:val="4"/>
    <w:rsid w:val="00F32457"/>
    <w:pPr>
      <w:jc w:val="both"/>
    </w:pPr>
    <w:rPr>
      <w:rFonts w:ascii="Calibri" w:eastAsiaTheme="minorHAnsi" w:hAnsi="Calibri" w:cs="Calibri"/>
      <w:sz w:val="22"/>
      <w:szCs w:val="22"/>
      <w:lang w:val="en-US"/>
    </w:rPr>
  </w:style>
  <w:style w:type="paragraph" w:styleId="HTMLPreformatted">
    <w:name w:val="HTML Preformatted"/>
    <w:basedOn w:val="Normal"/>
    <w:link w:val="HTMLPreformattedChar"/>
    <w:uiPriority w:val="99"/>
    <w:unhideWhenUsed/>
    <w:rsid w:val="00614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14C6E"/>
    <w:rPr>
      <w:rFonts w:ascii="Courier New" w:eastAsia="Times New Roman" w:hAnsi="Courier New" w:cs="Courier New"/>
      <w:sz w:val="20"/>
      <w:szCs w:val="20"/>
    </w:rPr>
  </w:style>
  <w:style w:type="paragraph" w:styleId="Header">
    <w:name w:val="header"/>
    <w:basedOn w:val="Normal"/>
    <w:link w:val="HeaderChar"/>
    <w:uiPriority w:val="99"/>
    <w:unhideWhenUsed/>
    <w:rsid w:val="006944CE"/>
    <w:pPr>
      <w:tabs>
        <w:tab w:val="center" w:pos="4680"/>
        <w:tab w:val="right" w:pos="9360"/>
      </w:tabs>
    </w:pPr>
  </w:style>
  <w:style w:type="character" w:customStyle="1" w:styleId="HeaderChar">
    <w:name w:val="Header Char"/>
    <w:basedOn w:val="DefaultParagraphFont"/>
    <w:link w:val="Header"/>
    <w:uiPriority w:val="99"/>
    <w:rsid w:val="006944C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944CE"/>
    <w:pPr>
      <w:tabs>
        <w:tab w:val="center" w:pos="4680"/>
        <w:tab w:val="right" w:pos="9360"/>
      </w:tabs>
    </w:pPr>
  </w:style>
  <w:style w:type="character" w:customStyle="1" w:styleId="FooterChar">
    <w:name w:val="Footer Char"/>
    <w:basedOn w:val="DefaultParagraphFont"/>
    <w:link w:val="Footer"/>
    <w:uiPriority w:val="99"/>
    <w:rsid w:val="006944CE"/>
    <w:rPr>
      <w:rFonts w:ascii="Times New Roman" w:eastAsia="Times New Roman" w:hAnsi="Times New Roman" w:cs="Times New Roman"/>
      <w:sz w:val="20"/>
      <w:szCs w:val="20"/>
      <w:lang w:val="en-GB"/>
    </w:rPr>
  </w:style>
  <w:style w:type="paragraph" w:styleId="Title">
    <w:name w:val="Title"/>
    <w:basedOn w:val="Normal"/>
    <w:next w:val="BodyText"/>
    <w:link w:val="TitleChar"/>
    <w:uiPriority w:val="1"/>
    <w:qFormat/>
    <w:rsid w:val="00B306FF"/>
    <w:pPr>
      <w:keepNext/>
      <w:keepLines/>
      <w:spacing w:after="600" w:line="276" w:lineRule="auto"/>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B306FF"/>
    <w:rPr>
      <w:rFonts w:asciiTheme="majorHAnsi" w:eastAsiaTheme="majorEastAsia" w:hAnsiTheme="majorHAnsi" w:cstheme="majorBidi"/>
      <w:kern w:val="28"/>
      <w:sz w:val="26"/>
      <w:szCs w:val="56"/>
      <w:lang w:val="en-GB"/>
    </w:rPr>
  </w:style>
  <w:style w:type="paragraph" w:styleId="ListNumber">
    <w:name w:val="List Number"/>
    <w:basedOn w:val="Normal"/>
    <w:uiPriority w:val="6"/>
    <w:rsid w:val="00B306FF"/>
    <w:pPr>
      <w:numPr>
        <w:numId w:val="10"/>
      </w:numPr>
      <w:spacing w:after="100" w:line="276" w:lineRule="auto"/>
    </w:pPr>
    <w:rPr>
      <w:rFonts w:asciiTheme="minorHAnsi" w:eastAsiaTheme="minorHAnsi" w:hAnsiTheme="minorHAnsi" w:cstheme="minorBidi"/>
      <w:sz w:val="25"/>
      <w:szCs w:val="25"/>
    </w:rPr>
  </w:style>
  <w:style w:type="paragraph" w:styleId="ListNumber2">
    <w:name w:val="List Number 2"/>
    <w:basedOn w:val="Normal"/>
    <w:uiPriority w:val="6"/>
    <w:rsid w:val="00B306FF"/>
    <w:pPr>
      <w:numPr>
        <w:ilvl w:val="1"/>
        <w:numId w:val="10"/>
      </w:numPr>
      <w:spacing w:after="100" w:line="276" w:lineRule="auto"/>
      <w:contextualSpacing/>
    </w:pPr>
    <w:rPr>
      <w:rFonts w:asciiTheme="minorHAnsi" w:eastAsiaTheme="minorHAnsi" w:hAnsiTheme="minorHAnsi" w:cstheme="minorBidi"/>
      <w:sz w:val="25"/>
      <w:szCs w:val="25"/>
    </w:rPr>
  </w:style>
  <w:style w:type="numbering" w:customStyle="1" w:styleId="RKNumreradlista">
    <w:name w:val="RK Numrerad lista"/>
    <w:uiPriority w:val="99"/>
    <w:rsid w:val="00B306FF"/>
    <w:pPr>
      <w:numPr>
        <w:numId w:val="9"/>
      </w:numPr>
    </w:pPr>
  </w:style>
  <w:style w:type="paragraph" w:styleId="ListNumber3">
    <w:name w:val="List Number 3"/>
    <w:basedOn w:val="Normal"/>
    <w:uiPriority w:val="6"/>
    <w:rsid w:val="00B306FF"/>
    <w:pPr>
      <w:numPr>
        <w:ilvl w:val="2"/>
        <w:numId w:val="10"/>
      </w:numPr>
      <w:spacing w:after="100" w:line="276" w:lineRule="auto"/>
      <w:contextualSpacing/>
    </w:pPr>
    <w:rPr>
      <w:rFonts w:asciiTheme="minorHAnsi" w:eastAsiaTheme="minorHAnsi" w:hAnsiTheme="minorHAnsi" w:cstheme="minorBidi"/>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1104">
      <w:bodyDiv w:val="1"/>
      <w:marLeft w:val="0"/>
      <w:marRight w:val="0"/>
      <w:marTop w:val="0"/>
      <w:marBottom w:val="0"/>
      <w:divBdr>
        <w:top w:val="none" w:sz="0" w:space="0" w:color="auto"/>
        <w:left w:val="none" w:sz="0" w:space="0" w:color="auto"/>
        <w:bottom w:val="none" w:sz="0" w:space="0" w:color="auto"/>
        <w:right w:val="none" w:sz="0" w:space="0" w:color="auto"/>
      </w:divBdr>
    </w:div>
    <w:div w:id="395130235">
      <w:bodyDiv w:val="1"/>
      <w:marLeft w:val="0"/>
      <w:marRight w:val="0"/>
      <w:marTop w:val="0"/>
      <w:marBottom w:val="0"/>
      <w:divBdr>
        <w:top w:val="none" w:sz="0" w:space="0" w:color="auto"/>
        <w:left w:val="none" w:sz="0" w:space="0" w:color="auto"/>
        <w:bottom w:val="none" w:sz="0" w:space="0" w:color="auto"/>
        <w:right w:val="none" w:sz="0" w:space="0" w:color="auto"/>
      </w:divBdr>
    </w:div>
    <w:div w:id="438525600">
      <w:bodyDiv w:val="1"/>
      <w:marLeft w:val="0"/>
      <w:marRight w:val="0"/>
      <w:marTop w:val="0"/>
      <w:marBottom w:val="0"/>
      <w:divBdr>
        <w:top w:val="none" w:sz="0" w:space="0" w:color="auto"/>
        <w:left w:val="none" w:sz="0" w:space="0" w:color="auto"/>
        <w:bottom w:val="none" w:sz="0" w:space="0" w:color="auto"/>
        <w:right w:val="none" w:sz="0" w:space="0" w:color="auto"/>
      </w:divBdr>
    </w:div>
    <w:div w:id="566036389">
      <w:bodyDiv w:val="1"/>
      <w:marLeft w:val="0"/>
      <w:marRight w:val="0"/>
      <w:marTop w:val="0"/>
      <w:marBottom w:val="0"/>
      <w:divBdr>
        <w:top w:val="none" w:sz="0" w:space="0" w:color="auto"/>
        <w:left w:val="none" w:sz="0" w:space="0" w:color="auto"/>
        <w:bottom w:val="none" w:sz="0" w:space="0" w:color="auto"/>
        <w:right w:val="none" w:sz="0" w:space="0" w:color="auto"/>
      </w:divBdr>
    </w:div>
    <w:div w:id="779108012">
      <w:bodyDiv w:val="1"/>
      <w:marLeft w:val="0"/>
      <w:marRight w:val="0"/>
      <w:marTop w:val="0"/>
      <w:marBottom w:val="0"/>
      <w:divBdr>
        <w:top w:val="none" w:sz="0" w:space="0" w:color="auto"/>
        <w:left w:val="none" w:sz="0" w:space="0" w:color="auto"/>
        <w:bottom w:val="none" w:sz="0" w:space="0" w:color="auto"/>
        <w:right w:val="none" w:sz="0" w:space="0" w:color="auto"/>
      </w:divBdr>
    </w:div>
    <w:div w:id="780799568">
      <w:bodyDiv w:val="1"/>
      <w:marLeft w:val="0"/>
      <w:marRight w:val="0"/>
      <w:marTop w:val="0"/>
      <w:marBottom w:val="0"/>
      <w:divBdr>
        <w:top w:val="none" w:sz="0" w:space="0" w:color="auto"/>
        <w:left w:val="none" w:sz="0" w:space="0" w:color="auto"/>
        <w:bottom w:val="none" w:sz="0" w:space="0" w:color="auto"/>
        <w:right w:val="none" w:sz="0" w:space="0" w:color="auto"/>
      </w:divBdr>
    </w:div>
    <w:div w:id="895118259">
      <w:bodyDiv w:val="1"/>
      <w:marLeft w:val="0"/>
      <w:marRight w:val="0"/>
      <w:marTop w:val="0"/>
      <w:marBottom w:val="0"/>
      <w:divBdr>
        <w:top w:val="none" w:sz="0" w:space="0" w:color="auto"/>
        <w:left w:val="none" w:sz="0" w:space="0" w:color="auto"/>
        <w:bottom w:val="none" w:sz="0" w:space="0" w:color="auto"/>
        <w:right w:val="none" w:sz="0" w:space="0" w:color="auto"/>
      </w:divBdr>
    </w:div>
    <w:div w:id="954478778">
      <w:bodyDiv w:val="1"/>
      <w:marLeft w:val="0"/>
      <w:marRight w:val="0"/>
      <w:marTop w:val="0"/>
      <w:marBottom w:val="0"/>
      <w:divBdr>
        <w:top w:val="none" w:sz="0" w:space="0" w:color="auto"/>
        <w:left w:val="none" w:sz="0" w:space="0" w:color="auto"/>
        <w:bottom w:val="none" w:sz="0" w:space="0" w:color="auto"/>
        <w:right w:val="none" w:sz="0" w:space="0" w:color="auto"/>
      </w:divBdr>
    </w:div>
    <w:div w:id="1295335508">
      <w:bodyDiv w:val="1"/>
      <w:marLeft w:val="0"/>
      <w:marRight w:val="0"/>
      <w:marTop w:val="0"/>
      <w:marBottom w:val="0"/>
      <w:divBdr>
        <w:top w:val="none" w:sz="0" w:space="0" w:color="auto"/>
        <w:left w:val="none" w:sz="0" w:space="0" w:color="auto"/>
        <w:bottom w:val="none" w:sz="0" w:space="0" w:color="auto"/>
        <w:right w:val="none" w:sz="0" w:space="0" w:color="auto"/>
      </w:divBdr>
    </w:div>
    <w:div w:id="1333606438">
      <w:bodyDiv w:val="1"/>
      <w:marLeft w:val="0"/>
      <w:marRight w:val="0"/>
      <w:marTop w:val="0"/>
      <w:marBottom w:val="0"/>
      <w:divBdr>
        <w:top w:val="none" w:sz="0" w:space="0" w:color="auto"/>
        <w:left w:val="none" w:sz="0" w:space="0" w:color="auto"/>
        <w:bottom w:val="none" w:sz="0" w:space="0" w:color="auto"/>
        <w:right w:val="none" w:sz="0" w:space="0" w:color="auto"/>
      </w:divBdr>
    </w:div>
    <w:div w:id="1337802970">
      <w:bodyDiv w:val="1"/>
      <w:marLeft w:val="0"/>
      <w:marRight w:val="0"/>
      <w:marTop w:val="0"/>
      <w:marBottom w:val="0"/>
      <w:divBdr>
        <w:top w:val="none" w:sz="0" w:space="0" w:color="auto"/>
        <w:left w:val="none" w:sz="0" w:space="0" w:color="auto"/>
        <w:bottom w:val="none" w:sz="0" w:space="0" w:color="auto"/>
        <w:right w:val="none" w:sz="0" w:space="0" w:color="auto"/>
      </w:divBdr>
    </w:div>
    <w:div w:id="1418095374">
      <w:bodyDiv w:val="1"/>
      <w:marLeft w:val="0"/>
      <w:marRight w:val="0"/>
      <w:marTop w:val="0"/>
      <w:marBottom w:val="0"/>
      <w:divBdr>
        <w:top w:val="none" w:sz="0" w:space="0" w:color="auto"/>
        <w:left w:val="none" w:sz="0" w:space="0" w:color="auto"/>
        <w:bottom w:val="none" w:sz="0" w:space="0" w:color="auto"/>
        <w:right w:val="none" w:sz="0" w:space="0" w:color="auto"/>
      </w:divBdr>
    </w:div>
    <w:div w:id="1449229548">
      <w:bodyDiv w:val="1"/>
      <w:marLeft w:val="0"/>
      <w:marRight w:val="0"/>
      <w:marTop w:val="0"/>
      <w:marBottom w:val="0"/>
      <w:divBdr>
        <w:top w:val="none" w:sz="0" w:space="0" w:color="auto"/>
        <w:left w:val="none" w:sz="0" w:space="0" w:color="auto"/>
        <w:bottom w:val="none" w:sz="0" w:space="0" w:color="auto"/>
        <w:right w:val="none" w:sz="0" w:space="0" w:color="auto"/>
      </w:divBdr>
    </w:div>
    <w:div w:id="1449814172">
      <w:bodyDiv w:val="1"/>
      <w:marLeft w:val="0"/>
      <w:marRight w:val="0"/>
      <w:marTop w:val="0"/>
      <w:marBottom w:val="0"/>
      <w:divBdr>
        <w:top w:val="none" w:sz="0" w:space="0" w:color="auto"/>
        <w:left w:val="none" w:sz="0" w:space="0" w:color="auto"/>
        <w:bottom w:val="none" w:sz="0" w:space="0" w:color="auto"/>
        <w:right w:val="none" w:sz="0" w:space="0" w:color="auto"/>
      </w:divBdr>
    </w:div>
    <w:div w:id="1454522325">
      <w:bodyDiv w:val="1"/>
      <w:marLeft w:val="0"/>
      <w:marRight w:val="0"/>
      <w:marTop w:val="0"/>
      <w:marBottom w:val="0"/>
      <w:divBdr>
        <w:top w:val="none" w:sz="0" w:space="0" w:color="auto"/>
        <w:left w:val="none" w:sz="0" w:space="0" w:color="auto"/>
        <w:bottom w:val="none" w:sz="0" w:space="0" w:color="auto"/>
        <w:right w:val="none" w:sz="0" w:space="0" w:color="auto"/>
      </w:divBdr>
    </w:div>
    <w:div w:id="1519658249">
      <w:bodyDiv w:val="1"/>
      <w:marLeft w:val="0"/>
      <w:marRight w:val="0"/>
      <w:marTop w:val="0"/>
      <w:marBottom w:val="0"/>
      <w:divBdr>
        <w:top w:val="none" w:sz="0" w:space="0" w:color="auto"/>
        <w:left w:val="none" w:sz="0" w:space="0" w:color="auto"/>
        <w:bottom w:val="none" w:sz="0" w:space="0" w:color="auto"/>
        <w:right w:val="none" w:sz="0" w:space="0" w:color="auto"/>
      </w:divBdr>
    </w:div>
    <w:div w:id="1672677569">
      <w:bodyDiv w:val="1"/>
      <w:marLeft w:val="0"/>
      <w:marRight w:val="0"/>
      <w:marTop w:val="0"/>
      <w:marBottom w:val="0"/>
      <w:divBdr>
        <w:top w:val="none" w:sz="0" w:space="0" w:color="auto"/>
        <w:left w:val="none" w:sz="0" w:space="0" w:color="auto"/>
        <w:bottom w:val="none" w:sz="0" w:space="0" w:color="auto"/>
        <w:right w:val="none" w:sz="0" w:space="0" w:color="auto"/>
      </w:divBdr>
    </w:div>
    <w:div w:id="1747148476">
      <w:bodyDiv w:val="1"/>
      <w:marLeft w:val="0"/>
      <w:marRight w:val="0"/>
      <w:marTop w:val="0"/>
      <w:marBottom w:val="0"/>
      <w:divBdr>
        <w:top w:val="none" w:sz="0" w:space="0" w:color="auto"/>
        <w:left w:val="none" w:sz="0" w:space="0" w:color="auto"/>
        <w:bottom w:val="none" w:sz="0" w:space="0" w:color="auto"/>
        <w:right w:val="none" w:sz="0" w:space="0" w:color="auto"/>
      </w:divBdr>
    </w:div>
    <w:div w:id="2087026560">
      <w:bodyDiv w:val="1"/>
      <w:marLeft w:val="0"/>
      <w:marRight w:val="0"/>
      <w:marTop w:val="0"/>
      <w:marBottom w:val="0"/>
      <w:divBdr>
        <w:top w:val="none" w:sz="0" w:space="0" w:color="auto"/>
        <w:left w:val="none" w:sz="0" w:space="0" w:color="auto"/>
        <w:bottom w:val="none" w:sz="0" w:space="0" w:color="auto"/>
        <w:right w:val="none" w:sz="0" w:space="0" w:color="auto"/>
      </w:divBdr>
    </w:div>
    <w:div w:id="21088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8F87CC-6608-4DE0-84CF-8C5B89111FD7}"/>
</file>

<file path=customXml/itemProps2.xml><?xml version="1.0" encoding="utf-8"?>
<ds:datastoreItem xmlns:ds="http://schemas.openxmlformats.org/officeDocument/2006/customXml" ds:itemID="{EC01A0E7-BA8B-4CB4-814A-DF6FDCF9BA58}">
  <ds:schemaRefs>
    <ds:schemaRef ds:uri="http://schemas.microsoft.com/sharepoint/v3/contenttype/forms"/>
  </ds:schemaRefs>
</ds:datastoreItem>
</file>

<file path=customXml/itemProps3.xml><?xml version="1.0" encoding="utf-8"?>
<ds:datastoreItem xmlns:ds="http://schemas.openxmlformats.org/officeDocument/2006/customXml" ds:itemID="{29087FF2-9F10-426A-BD5A-03DBA8B575B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Oinonen Krista</dc:creator>
  <cp:keywords/>
  <dc:description/>
  <cp:lastModifiedBy>BROWN Helen</cp:lastModifiedBy>
  <cp:revision>2</cp:revision>
  <dcterms:created xsi:type="dcterms:W3CDTF">2019-05-13T08:31:00Z</dcterms:created>
  <dcterms:modified xsi:type="dcterms:W3CDTF">2019-05-13T08:31:00Z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