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92" w:rsidRPr="00971592" w:rsidRDefault="00971592" w:rsidP="00971592">
      <w:pPr>
        <w:jc w:val="center"/>
        <w:rPr>
          <w:lang w:val="en-GB"/>
        </w:rPr>
      </w:pPr>
      <w:r>
        <w:rPr>
          <w:rFonts w:ascii="Cambria" w:hAnsi="Cambria"/>
          <w:noProof/>
          <w:lang w:val="en-GB" w:eastAsia="en-GB"/>
        </w:rPr>
        <w:drawing>
          <wp:inline distT="0" distB="0" distL="0" distR="0">
            <wp:extent cx="4136872" cy="1942312"/>
            <wp:effectExtent l="0" t="0" r="0" b="0"/>
            <wp:docPr id="2" name="Picture 2" descr="\\fshq.ad.ohchr.org\redirected$\Wendland\Desktop\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Wendland\Desktop\Office_logo_EN_blue_SMALL_72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025" cy="1942384"/>
                    </a:xfrm>
                    <a:prstGeom prst="rect">
                      <a:avLst/>
                    </a:prstGeom>
                    <a:noFill/>
                    <a:ln>
                      <a:noFill/>
                    </a:ln>
                  </pic:spPr>
                </pic:pic>
              </a:graphicData>
            </a:graphic>
          </wp:inline>
        </w:drawing>
      </w:r>
    </w:p>
    <w:p w:rsidR="0038406C" w:rsidRPr="001E12A3" w:rsidRDefault="0038406C" w:rsidP="0038406C">
      <w:pPr>
        <w:jc w:val="center"/>
        <w:rPr>
          <w:rFonts w:asciiTheme="majorHAnsi" w:hAnsiTheme="majorHAnsi" w:cs="Arial"/>
          <w:b/>
          <w:sz w:val="36"/>
        </w:rPr>
      </w:pPr>
    </w:p>
    <w:p w:rsidR="0038406C" w:rsidRPr="001E12A3" w:rsidRDefault="0038406C" w:rsidP="0038406C">
      <w:pPr>
        <w:jc w:val="center"/>
        <w:rPr>
          <w:rFonts w:asciiTheme="majorHAnsi" w:hAnsiTheme="majorHAnsi" w:cs="Arial"/>
          <w:b/>
          <w:sz w:val="20"/>
        </w:rPr>
      </w:pPr>
    </w:p>
    <w:p w:rsidR="0038406C" w:rsidRDefault="0038406C" w:rsidP="0038406C">
      <w:pPr>
        <w:jc w:val="center"/>
        <w:outlineLvl w:val="0"/>
        <w:rPr>
          <w:rFonts w:asciiTheme="majorHAnsi" w:hAnsiTheme="majorHAnsi" w:cs="Arial"/>
          <w:b/>
          <w:sz w:val="52"/>
          <w:szCs w:val="52"/>
        </w:rPr>
      </w:pPr>
      <w:r w:rsidRPr="0038406C">
        <w:rPr>
          <w:rFonts w:asciiTheme="majorHAnsi" w:hAnsiTheme="majorHAnsi" w:cs="Arial"/>
          <w:b/>
          <w:sz w:val="52"/>
          <w:szCs w:val="52"/>
        </w:rPr>
        <w:t xml:space="preserve">The OHCHR Accountability and </w:t>
      </w:r>
    </w:p>
    <w:p w:rsidR="0038406C" w:rsidRPr="0038406C" w:rsidRDefault="0038406C" w:rsidP="0038406C">
      <w:pPr>
        <w:jc w:val="center"/>
        <w:outlineLvl w:val="0"/>
        <w:rPr>
          <w:rFonts w:asciiTheme="majorHAnsi" w:hAnsiTheme="majorHAnsi" w:cs="Arial"/>
          <w:b/>
          <w:sz w:val="52"/>
          <w:szCs w:val="52"/>
        </w:rPr>
      </w:pPr>
      <w:r w:rsidRPr="0038406C">
        <w:rPr>
          <w:rFonts w:asciiTheme="majorHAnsi" w:hAnsiTheme="majorHAnsi" w:cs="Arial"/>
          <w:b/>
          <w:sz w:val="52"/>
          <w:szCs w:val="52"/>
        </w:rPr>
        <w:t>Remedy Project</w:t>
      </w:r>
    </w:p>
    <w:p w:rsidR="00FA09D1" w:rsidRPr="0038406C" w:rsidRDefault="00FA09D1" w:rsidP="008B11B2">
      <w:pPr>
        <w:pStyle w:val="HChG"/>
        <w:ind w:left="0" w:right="0" w:firstLine="0"/>
        <w:rPr>
          <w:rFonts w:ascii="Cambria" w:hAnsi="Cambria"/>
          <w:sz w:val="52"/>
          <w:szCs w:val="52"/>
        </w:rPr>
      </w:pPr>
    </w:p>
    <w:p w:rsidR="0038406C" w:rsidRPr="00E963B2" w:rsidRDefault="00DD7E43" w:rsidP="00971592">
      <w:pPr>
        <w:pStyle w:val="HChG"/>
        <w:spacing w:line="276" w:lineRule="auto"/>
        <w:ind w:left="0" w:right="0" w:firstLine="0"/>
        <w:jc w:val="center"/>
        <w:rPr>
          <w:rFonts w:asciiTheme="majorHAnsi" w:hAnsiTheme="majorHAnsi"/>
          <w:b w:val="0"/>
          <w:sz w:val="40"/>
          <w:szCs w:val="40"/>
        </w:rPr>
      </w:pPr>
      <w:r w:rsidRPr="0038406C">
        <w:rPr>
          <w:rFonts w:asciiTheme="majorHAnsi" w:hAnsiTheme="majorHAnsi"/>
          <w:b w:val="0"/>
          <w:sz w:val="40"/>
          <w:szCs w:val="40"/>
        </w:rPr>
        <w:t>Illustrative examples for guidance to improve corporate accountability and access to judicial remedy for business-</w:t>
      </w:r>
      <w:r w:rsidRPr="00E963B2">
        <w:rPr>
          <w:rFonts w:asciiTheme="majorHAnsi" w:hAnsiTheme="majorHAnsi"/>
          <w:b w:val="0"/>
          <w:sz w:val="40"/>
          <w:szCs w:val="40"/>
        </w:rPr>
        <w:t>related human rights abuse</w:t>
      </w:r>
    </w:p>
    <w:p w:rsidR="00E963B2" w:rsidRPr="00E963B2" w:rsidRDefault="00E963B2" w:rsidP="00E963B2">
      <w:pPr>
        <w:rPr>
          <w:rFonts w:asciiTheme="majorHAnsi" w:hAnsiTheme="majorHAnsi"/>
          <w:lang w:val="en-GB"/>
        </w:rPr>
      </w:pPr>
    </w:p>
    <w:p w:rsidR="0038406C" w:rsidRPr="00E963B2" w:rsidRDefault="0038406C" w:rsidP="0038406C">
      <w:pPr>
        <w:rPr>
          <w:rFonts w:asciiTheme="majorHAnsi" w:hAnsiTheme="majorHAnsi"/>
          <w:lang w:val="en-GB"/>
        </w:rPr>
      </w:pPr>
    </w:p>
    <w:p w:rsidR="0038406C" w:rsidRDefault="0038406C" w:rsidP="0038406C">
      <w:pPr>
        <w:rPr>
          <w:lang w:val="en-GB"/>
        </w:rPr>
      </w:pPr>
    </w:p>
    <w:p w:rsidR="0092072B" w:rsidRDefault="0038406C" w:rsidP="0038406C">
      <w:pPr>
        <w:jc w:val="center"/>
        <w:rPr>
          <w:rFonts w:asciiTheme="majorHAnsi" w:hAnsiTheme="majorHAnsi"/>
          <w:sz w:val="36"/>
          <w:szCs w:val="36"/>
          <w:lang w:val="en-GB"/>
        </w:rPr>
      </w:pPr>
      <w:r w:rsidRPr="0038406C">
        <w:rPr>
          <w:rFonts w:asciiTheme="majorHAnsi" w:hAnsiTheme="majorHAnsi"/>
          <w:sz w:val="36"/>
          <w:szCs w:val="36"/>
          <w:lang w:val="en-GB"/>
        </w:rPr>
        <w:t xml:space="preserve">Companion document to A/HRC/32/19 </w:t>
      </w:r>
    </w:p>
    <w:p w:rsidR="0038406C" w:rsidRDefault="0038406C" w:rsidP="0038406C">
      <w:pPr>
        <w:jc w:val="center"/>
        <w:rPr>
          <w:rFonts w:asciiTheme="majorHAnsi" w:hAnsiTheme="majorHAnsi"/>
          <w:sz w:val="36"/>
          <w:szCs w:val="36"/>
          <w:lang w:val="en-GB"/>
        </w:rPr>
      </w:pPr>
      <w:proofErr w:type="gramStart"/>
      <w:r w:rsidRPr="0038406C">
        <w:rPr>
          <w:rFonts w:asciiTheme="majorHAnsi" w:hAnsiTheme="majorHAnsi"/>
          <w:sz w:val="36"/>
          <w:szCs w:val="36"/>
          <w:lang w:val="en-GB"/>
        </w:rPr>
        <w:t>and</w:t>
      </w:r>
      <w:proofErr w:type="gramEnd"/>
      <w:r w:rsidRPr="0038406C">
        <w:rPr>
          <w:rFonts w:asciiTheme="majorHAnsi" w:hAnsiTheme="majorHAnsi"/>
          <w:sz w:val="36"/>
          <w:szCs w:val="36"/>
          <w:lang w:val="en-GB"/>
        </w:rPr>
        <w:t xml:space="preserve"> A/HRC/32/19/Add.1</w:t>
      </w: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Pr="00E963B2" w:rsidRDefault="002603B7" w:rsidP="002603B7">
      <w:pPr>
        <w:jc w:val="center"/>
        <w:rPr>
          <w:rFonts w:asciiTheme="majorHAnsi" w:hAnsiTheme="majorHAnsi"/>
          <w:lang w:val="en-GB"/>
        </w:rPr>
      </w:pPr>
      <w:r w:rsidRPr="00E963B2">
        <w:rPr>
          <w:rFonts w:asciiTheme="majorHAnsi" w:hAnsiTheme="majorHAnsi"/>
          <w:lang w:val="en-GB"/>
        </w:rPr>
        <w:t>5 July 2016</w:t>
      </w: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38406C" w:rsidRPr="0038406C" w:rsidRDefault="0038406C" w:rsidP="0038406C">
      <w:pPr>
        <w:rPr>
          <w:lang w:val="en-GB"/>
        </w:rPr>
      </w:pPr>
    </w:p>
    <w:tbl>
      <w:tblPr>
        <w:tblStyle w:val="TableGrid"/>
        <w:tblW w:w="0" w:type="auto"/>
        <w:tblLook w:val="04A0" w:firstRow="1" w:lastRow="0" w:firstColumn="1" w:lastColumn="0" w:noHBand="0" w:noVBand="1"/>
      </w:tblPr>
      <w:tblGrid>
        <w:gridCol w:w="9236"/>
      </w:tblGrid>
      <w:tr w:rsidR="00E12E81" w:rsidTr="00E12E81">
        <w:tc>
          <w:tcPr>
            <w:tcW w:w="9236" w:type="dxa"/>
            <w:shd w:val="clear" w:color="auto" w:fill="E7E6E6" w:themeFill="background2"/>
          </w:tcPr>
          <w:p w:rsidR="00E12E81" w:rsidRDefault="00E12E81">
            <w:pPr>
              <w:rPr>
                <w:rFonts w:ascii="Cambria" w:hAnsi="Cambria"/>
              </w:rPr>
            </w:pPr>
          </w:p>
          <w:p w:rsidR="00E12E81" w:rsidRPr="00E12E81" w:rsidRDefault="00E12E81" w:rsidP="00E12E81">
            <w:pPr>
              <w:rPr>
                <w:rFonts w:ascii="Cambria" w:hAnsi="Cambria"/>
                <w:sz w:val="20"/>
                <w:szCs w:val="20"/>
              </w:rPr>
            </w:pPr>
            <w:r w:rsidRPr="00E12E81">
              <w:rPr>
                <w:rFonts w:ascii="Cambria" w:hAnsi="Cambria"/>
                <w:b/>
                <w:sz w:val="20"/>
                <w:szCs w:val="20"/>
                <w:lang w:val="en-GB"/>
              </w:rPr>
              <w:t>IMPORTANT NOTES ABOUT THIS DOCUMENT:</w:t>
            </w:r>
          </w:p>
          <w:p w:rsidR="00E12E81" w:rsidRPr="00E12E81" w:rsidRDefault="00E12E81" w:rsidP="00E12E81">
            <w:pPr>
              <w:rPr>
                <w:rFonts w:ascii="Cambria" w:hAnsi="Cambria"/>
                <w:sz w:val="20"/>
                <w:szCs w:val="20"/>
              </w:rPr>
            </w:pPr>
          </w:p>
          <w:p w:rsidR="00E12E81" w:rsidRPr="00E12E81" w:rsidRDefault="00E12E81" w:rsidP="00E12E81">
            <w:pPr>
              <w:jc w:val="both"/>
              <w:rPr>
                <w:rFonts w:ascii="Cambria" w:hAnsi="Cambria"/>
                <w:sz w:val="20"/>
                <w:szCs w:val="20"/>
              </w:rPr>
            </w:pPr>
            <w:r w:rsidRPr="00E12E81">
              <w:rPr>
                <w:rFonts w:ascii="Cambria" w:hAnsi="Cambria"/>
                <w:sz w:val="20"/>
                <w:szCs w:val="20"/>
                <w:lang w:val="en-GB"/>
              </w:rPr>
              <w:t xml:space="preserve">1. This document supplements the guidance set out in the Annex to the </w:t>
            </w:r>
            <w:r w:rsidR="00FA09D1">
              <w:rPr>
                <w:rFonts w:ascii="Cambria" w:hAnsi="Cambria"/>
                <w:sz w:val="20"/>
                <w:szCs w:val="20"/>
                <w:lang w:val="en-GB"/>
              </w:rPr>
              <w:t>r</w:t>
            </w:r>
            <w:r w:rsidRPr="00E12E81">
              <w:rPr>
                <w:rFonts w:ascii="Cambria" w:hAnsi="Cambria"/>
                <w:sz w:val="20"/>
                <w:szCs w:val="20"/>
                <w:lang w:val="en-GB"/>
              </w:rPr>
              <w:t>eport of the United Nations High Commissioner for Human Rights in A/HRC/32/19</w:t>
            </w:r>
            <w:r w:rsidR="00FA09D1">
              <w:rPr>
                <w:rFonts w:ascii="Cambria" w:hAnsi="Cambria"/>
                <w:sz w:val="20"/>
                <w:szCs w:val="20"/>
                <w:lang w:val="en-GB"/>
              </w:rPr>
              <w:t xml:space="preserve"> </w:t>
            </w:r>
            <w:r w:rsidR="0092072B">
              <w:rPr>
                <w:rFonts w:ascii="Cambria" w:hAnsi="Cambria"/>
                <w:sz w:val="20"/>
                <w:szCs w:val="20"/>
                <w:lang w:val="en-GB"/>
              </w:rPr>
              <w:t>as</w:t>
            </w:r>
            <w:r w:rsidR="00FA09D1">
              <w:rPr>
                <w:rFonts w:ascii="Cambria" w:hAnsi="Cambria"/>
                <w:sz w:val="20"/>
                <w:szCs w:val="20"/>
                <w:lang w:val="en-GB"/>
              </w:rPr>
              <w:t xml:space="preserve"> </w:t>
            </w:r>
            <w:r w:rsidR="0038406C">
              <w:rPr>
                <w:rFonts w:ascii="Cambria" w:hAnsi="Cambria"/>
                <w:sz w:val="20"/>
                <w:szCs w:val="20"/>
                <w:lang w:val="en-GB"/>
              </w:rPr>
              <w:t xml:space="preserve">further elaborated in </w:t>
            </w:r>
            <w:r w:rsidR="00FA09D1">
              <w:rPr>
                <w:rFonts w:ascii="Cambria" w:hAnsi="Cambria"/>
                <w:sz w:val="20"/>
                <w:szCs w:val="20"/>
                <w:lang w:val="en-GB"/>
              </w:rPr>
              <w:t xml:space="preserve">A/HRC/32/19/Add.1 The </w:t>
            </w:r>
            <w:r w:rsidR="0038406C">
              <w:rPr>
                <w:rFonts w:ascii="Cambria" w:hAnsi="Cambria"/>
                <w:sz w:val="20"/>
                <w:szCs w:val="20"/>
                <w:lang w:val="en-GB"/>
              </w:rPr>
              <w:t>guidance constitutes</w:t>
            </w:r>
            <w:r w:rsidR="00FA09D1">
              <w:rPr>
                <w:rFonts w:ascii="Cambria" w:hAnsi="Cambria"/>
                <w:sz w:val="20"/>
                <w:szCs w:val="20"/>
                <w:lang w:val="en-GB"/>
              </w:rPr>
              <w:t xml:space="preserve"> the outcome of the OHCHR Accountability and Remedy Project to enhance accountability and access to judicial remedy for victims of business-related human rights abuse.</w:t>
            </w:r>
          </w:p>
          <w:p w:rsidR="00E12E81" w:rsidRPr="00E12E81" w:rsidRDefault="00E12E81" w:rsidP="00E12E81">
            <w:pPr>
              <w:jc w:val="both"/>
              <w:rPr>
                <w:rFonts w:ascii="Cambria" w:hAnsi="Cambria"/>
                <w:sz w:val="20"/>
                <w:szCs w:val="20"/>
              </w:rPr>
            </w:pPr>
          </w:p>
          <w:p w:rsidR="00E12E81" w:rsidRPr="00E12E81" w:rsidRDefault="00E12E81" w:rsidP="00E12E81">
            <w:pPr>
              <w:jc w:val="both"/>
              <w:rPr>
                <w:rFonts w:ascii="Cambria" w:hAnsi="Cambria"/>
                <w:sz w:val="20"/>
                <w:szCs w:val="20"/>
              </w:rPr>
            </w:pPr>
            <w:r w:rsidRPr="00E12E81">
              <w:rPr>
                <w:rFonts w:ascii="Cambria" w:hAnsi="Cambria"/>
                <w:sz w:val="20"/>
                <w:szCs w:val="20"/>
                <w:lang w:val="en-GB"/>
              </w:rPr>
              <w:t>2. The aim of this document is to support implementation of the guidance by providing examples of methods that States have used and steps that States have taken in practice that are relevant to different elements of the guidance and which have the potential to improve access to remedy in cases of business-related human rights abuses.</w:t>
            </w:r>
          </w:p>
          <w:p w:rsidR="00E12E81" w:rsidRPr="00E12E81" w:rsidRDefault="00E12E81" w:rsidP="00E12E81">
            <w:pPr>
              <w:jc w:val="both"/>
              <w:rPr>
                <w:rFonts w:ascii="Cambria" w:hAnsi="Cambria"/>
                <w:sz w:val="20"/>
                <w:szCs w:val="20"/>
              </w:rPr>
            </w:pPr>
          </w:p>
          <w:p w:rsidR="00C71D89" w:rsidRDefault="00E12E81" w:rsidP="00E12E81">
            <w:pPr>
              <w:jc w:val="both"/>
              <w:rPr>
                <w:rFonts w:ascii="Cambria" w:hAnsi="Cambria"/>
                <w:sz w:val="20"/>
                <w:szCs w:val="20"/>
                <w:lang w:val="en-GB"/>
              </w:rPr>
            </w:pPr>
            <w:r w:rsidRPr="00E12E81">
              <w:rPr>
                <w:rFonts w:ascii="Cambria" w:hAnsi="Cambria"/>
                <w:sz w:val="20"/>
                <w:szCs w:val="20"/>
                <w:lang w:val="en-GB"/>
              </w:rPr>
              <w:t xml:space="preserve">3. </w:t>
            </w:r>
            <w:r w:rsidR="00C71D89" w:rsidRPr="00E12E81">
              <w:rPr>
                <w:rFonts w:ascii="Cambria" w:hAnsi="Cambria"/>
                <w:sz w:val="20"/>
                <w:szCs w:val="20"/>
                <w:lang w:val="en-GB"/>
              </w:rPr>
              <w:t>Th</w:t>
            </w:r>
            <w:r w:rsidR="00C71D89">
              <w:rPr>
                <w:rFonts w:ascii="Cambria" w:hAnsi="Cambria"/>
                <w:sz w:val="20"/>
                <w:szCs w:val="20"/>
                <w:lang w:val="en-GB"/>
              </w:rPr>
              <w:t>e</w:t>
            </w:r>
            <w:bookmarkStart w:id="0" w:name="_GoBack"/>
            <w:bookmarkEnd w:id="0"/>
            <w:r w:rsidR="00C71D89" w:rsidRPr="00E12E81">
              <w:rPr>
                <w:rFonts w:ascii="Cambria" w:hAnsi="Cambria"/>
                <w:sz w:val="20"/>
                <w:szCs w:val="20"/>
                <w:lang w:val="en-GB"/>
              </w:rPr>
              <w:t xml:space="preserve"> document provides an indication of a range of possible State responses</w:t>
            </w:r>
            <w:r w:rsidR="00C71D89">
              <w:rPr>
                <w:rFonts w:ascii="Cambria" w:hAnsi="Cambria"/>
                <w:sz w:val="20"/>
                <w:szCs w:val="20"/>
                <w:lang w:val="en-GB"/>
              </w:rPr>
              <w:t xml:space="preserve"> to the guidance</w:t>
            </w:r>
            <w:r w:rsidR="00C71D89" w:rsidRPr="00E12E81">
              <w:rPr>
                <w:rFonts w:ascii="Cambria" w:hAnsi="Cambria"/>
                <w:sz w:val="20"/>
                <w:szCs w:val="20"/>
                <w:lang w:val="en-GB"/>
              </w:rPr>
              <w:t xml:space="preserve">. </w:t>
            </w:r>
            <w:r w:rsidRPr="00E12E81">
              <w:rPr>
                <w:rFonts w:ascii="Cambria" w:hAnsi="Cambria"/>
                <w:sz w:val="20"/>
                <w:szCs w:val="20"/>
                <w:lang w:val="en-GB"/>
              </w:rPr>
              <w:t xml:space="preserve">The </w:t>
            </w:r>
            <w:r w:rsidR="00C71D89">
              <w:rPr>
                <w:rFonts w:ascii="Cambria" w:hAnsi="Cambria"/>
                <w:sz w:val="20"/>
                <w:szCs w:val="20"/>
                <w:lang w:val="en-GB"/>
              </w:rPr>
              <w:t xml:space="preserve">illustrative </w:t>
            </w:r>
            <w:r w:rsidRPr="00E12E81">
              <w:rPr>
                <w:rFonts w:ascii="Cambria" w:hAnsi="Cambria"/>
                <w:sz w:val="20"/>
                <w:szCs w:val="20"/>
                <w:lang w:val="en-GB"/>
              </w:rPr>
              <w:t xml:space="preserve">examples </w:t>
            </w:r>
            <w:r w:rsidR="00C71D89">
              <w:rPr>
                <w:rFonts w:ascii="Cambria" w:hAnsi="Cambria"/>
                <w:sz w:val="20"/>
                <w:szCs w:val="20"/>
                <w:lang w:val="en-GB"/>
              </w:rPr>
              <w:t>a</w:t>
            </w:r>
            <w:r w:rsidR="0092072B">
              <w:rPr>
                <w:rFonts w:ascii="Cambria" w:hAnsi="Cambria"/>
                <w:sz w:val="20"/>
                <w:szCs w:val="20"/>
                <w:lang w:val="en-GB"/>
              </w:rPr>
              <w:t xml:space="preserve">re based on information and data about actual State practice collected in the course of the Accountability and Remedy Project. </w:t>
            </w:r>
            <w:r w:rsidR="0092072B" w:rsidRPr="0092072B">
              <w:rPr>
                <w:rFonts w:ascii="Cambria" w:hAnsi="Cambria"/>
                <w:b/>
                <w:sz w:val="20"/>
                <w:szCs w:val="20"/>
                <w:lang w:val="en-GB"/>
              </w:rPr>
              <w:t xml:space="preserve">The examples </w:t>
            </w:r>
            <w:r w:rsidRPr="0092072B">
              <w:rPr>
                <w:rFonts w:ascii="Cambria" w:hAnsi="Cambria"/>
                <w:b/>
                <w:sz w:val="20"/>
                <w:szCs w:val="20"/>
                <w:lang w:val="en-GB"/>
              </w:rPr>
              <w:t>are intended to be illustrative only.  They are not intended to be prescriptive and they are certainly not exhaustive.</w:t>
            </w:r>
            <w:r w:rsidRPr="00E12E81">
              <w:rPr>
                <w:rFonts w:ascii="Cambria" w:hAnsi="Cambria"/>
                <w:sz w:val="20"/>
                <w:szCs w:val="20"/>
                <w:lang w:val="en-GB"/>
              </w:rPr>
              <w:t xml:space="preserve"> </w:t>
            </w:r>
          </w:p>
          <w:p w:rsidR="00C71D89" w:rsidRDefault="00C71D89" w:rsidP="00E12E81">
            <w:pPr>
              <w:jc w:val="both"/>
              <w:rPr>
                <w:rFonts w:ascii="Cambria" w:hAnsi="Cambria"/>
                <w:sz w:val="20"/>
                <w:szCs w:val="20"/>
                <w:lang w:val="en-GB"/>
              </w:rPr>
            </w:pPr>
          </w:p>
          <w:p w:rsidR="00E12E81" w:rsidRPr="00E12E81" w:rsidRDefault="00C71D89" w:rsidP="00E12E81">
            <w:pPr>
              <w:jc w:val="both"/>
              <w:rPr>
                <w:rFonts w:ascii="Cambria" w:hAnsi="Cambria"/>
                <w:sz w:val="20"/>
                <w:szCs w:val="20"/>
              </w:rPr>
            </w:pPr>
            <w:r>
              <w:rPr>
                <w:rFonts w:ascii="Cambria" w:hAnsi="Cambria"/>
                <w:sz w:val="20"/>
                <w:szCs w:val="20"/>
                <w:lang w:val="en-GB"/>
              </w:rPr>
              <w:t xml:space="preserve">4. </w:t>
            </w:r>
            <w:r w:rsidR="00E12E81" w:rsidRPr="00E12E81">
              <w:rPr>
                <w:rFonts w:ascii="Cambria" w:hAnsi="Cambria"/>
                <w:sz w:val="20"/>
                <w:szCs w:val="20"/>
                <w:lang w:val="en-GB"/>
              </w:rPr>
              <w:t xml:space="preserve"> There are likely to be many different ways that States can respond to different elements of the guidance in practice which need to take account of local structures, traditions, and economic conditions.  However, constraints of time and resources have meant that a thorough investigation of approaches taken </w:t>
            </w:r>
            <w:r w:rsidR="0038406C">
              <w:rPr>
                <w:rFonts w:ascii="Cambria" w:hAnsi="Cambria"/>
                <w:sz w:val="20"/>
                <w:szCs w:val="20"/>
                <w:lang w:val="en-GB"/>
              </w:rPr>
              <w:t xml:space="preserve">in different </w:t>
            </w:r>
            <w:r w:rsidR="00E12E81" w:rsidRPr="00E12E81">
              <w:rPr>
                <w:rFonts w:ascii="Cambria" w:hAnsi="Cambria"/>
                <w:sz w:val="20"/>
                <w:szCs w:val="20"/>
                <w:lang w:val="en-GB"/>
              </w:rPr>
              <w:t>jurisdictions has not been possible.  Therefore there are likely to be many other possible ways of responding to access to remedy challenges, and implementing the recommendations in the guidance, which are being used or are being contemplated by States, but which are not reflected in this document.</w:t>
            </w:r>
          </w:p>
          <w:p w:rsidR="00E12E81" w:rsidRPr="00E12E81" w:rsidRDefault="00E12E81" w:rsidP="00E12E81">
            <w:pPr>
              <w:jc w:val="both"/>
              <w:rPr>
                <w:rFonts w:ascii="Cambria" w:hAnsi="Cambria"/>
                <w:sz w:val="20"/>
                <w:szCs w:val="20"/>
              </w:rPr>
            </w:pPr>
          </w:p>
          <w:p w:rsidR="00E12E81" w:rsidRPr="00E12E81" w:rsidRDefault="00C71D89" w:rsidP="00E12E81">
            <w:pPr>
              <w:jc w:val="both"/>
              <w:rPr>
                <w:rFonts w:ascii="Cambria" w:hAnsi="Cambria"/>
                <w:sz w:val="20"/>
                <w:szCs w:val="20"/>
              </w:rPr>
            </w:pPr>
            <w:r>
              <w:rPr>
                <w:rFonts w:ascii="Cambria" w:hAnsi="Cambria"/>
                <w:sz w:val="20"/>
                <w:szCs w:val="20"/>
                <w:lang w:val="en-GB"/>
              </w:rPr>
              <w:t>5</w:t>
            </w:r>
            <w:r w:rsidR="00E12E81" w:rsidRPr="00E12E81">
              <w:rPr>
                <w:rFonts w:ascii="Cambria" w:hAnsi="Cambria"/>
                <w:sz w:val="20"/>
                <w:szCs w:val="20"/>
                <w:lang w:val="en-GB"/>
              </w:rPr>
              <w:t xml:space="preserve">. Although the illustrative examples set out in this document have been derived from actual examples of State practice collected in the course of the Accountability and Remedy Project they may not be suitable for all jurisdictions and all conditions.  They are presented here as methods, initiatives and steps that States could consider (if they are not implemented already), and for which there are possible models and precedents in other jurisdictions. </w:t>
            </w:r>
          </w:p>
          <w:p w:rsidR="00E12E81" w:rsidRPr="00E12E81" w:rsidRDefault="00E12E81" w:rsidP="00E12E81">
            <w:pPr>
              <w:jc w:val="both"/>
              <w:rPr>
                <w:rFonts w:ascii="Cambria" w:hAnsi="Cambria"/>
                <w:sz w:val="20"/>
                <w:szCs w:val="20"/>
              </w:rPr>
            </w:pPr>
          </w:p>
          <w:p w:rsidR="00E12E81" w:rsidRPr="00E12E81" w:rsidRDefault="00C71D89" w:rsidP="00E12E81">
            <w:pPr>
              <w:jc w:val="both"/>
              <w:rPr>
                <w:rFonts w:ascii="Cambria" w:hAnsi="Cambria"/>
                <w:sz w:val="20"/>
                <w:szCs w:val="20"/>
              </w:rPr>
            </w:pPr>
            <w:r>
              <w:rPr>
                <w:rFonts w:ascii="Cambria" w:hAnsi="Cambria"/>
                <w:sz w:val="20"/>
                <w:szCs w:val="20"/>
                <w:lang w:val="en-GB"/>
              </w:rPr>
              <w:t>6</w:t>
            </w:r>
            <w:r w:rsidR="00E12E81" w:rsidRPr="00E12E81">
              <w:rPr>
                <w:rFonts w:ascii="Cambria" w:hAnsi="Cambria"/>
                <w:sz w:val="20"/>
                <w:szCs w:val="20"/>
                <w:lang w:val="en-GB"/>
              </w:rPr>
              <w:t>. In many cases, the illustrative examples set out in this document may not be effective in isolation.  To be effective, they may require additional supporting reforms to provide the necessary legal context or conditions.  Some may work best as part of a package of reforms.  Where possible, linkages between different elements and illustrative examples are noted in this document.</w:t>
            </w:r>
          </w:p>
          <w:p w:rsidR="00E12E81" w:rsidRPr="00E12E81" w:rsidRDefault="00E12E81" w:rsidP="00E12E81">
            <w:pPr>
              <w:jc w:val="both"/>
              <w:rPr>
                <w:rFonts w:ascii="Cambria" w:hAnsi="Cambria"/>
                <w:sz w:val="20"/>
                <w:szCs w:val="20"/>
              </w:rPr>
            </w:pPr>
          </w:p>
          <w:p w:rsidR="00E12E81" w:rsidRPr="00E12E81" w:rsidRDefault="00C71D89" w:rsidP="00E12E81">
            <w:pPr>
              <w:jc w:val="both"/>
              <w:rPr>
                <w:rFonts w:ascii="Cambria" w:hAnsi="Cambria"/>
                <w:sz w:val="20"/>
                <w:szCs w:val="20"/>
              </w:rPr>
            </w:pPr>
            <w:r>
              <w:rPr>
                <w:rFonts w:ascii="Cambria" w:hAnsi="Cambria"/>
                <w:sz w:val="20"/>
                <w:szCs w:val="20"/>
                <w:lang w:val="en-GB"/>
              </w:rPr>
              <w:t>7</w:t>
            </w:r>
            <w:r w:rsidR="00E12E81" w:rsidRPr="00E12E81">
              <w:rPr>
                <w:rFonts w:ascii="Cambria" w:hAnsi="Cambria"/>
                <w:sz w:val="20"/>
                <w:szCs w:val="20"/>
                <w:lang w:val="en-GB"/>
              </w:rPr>
              <w:t xml:space="preserve">. The illustrative examples have been chosen on the basis of their potential to improve access to justice for business-related human rights abuses.  The number or proportion of States which have adopted similar approaches, methods or steps was not a factor in the selection of illustrative examples.  However, this is not to imply that, where these have been implemented by States, such approaches, methods or steps are necessarily effective in every case. </w:t>
            </w:r>
            <w:r w:rsidR="00E12E81" w:rsidRPr="0038406C">
              <w:rPr>
                <w:rFonts w:ascii="Cambria" w:hAnsi="Cambria"/>
                <w:b/>
                <w:sz w:val="20"/>
                <w:szCs w:val="20"/>
                <w:lang w:val="en-GB"/>
              </w:rPr>
              <w:t>Neither should this be taken to imply OHCHR endorsement of such approaches, methods or steps in specific contexts</w:t>
            </w:r>
            <w:r w:rsidR="00E12E81" w:rsidRPr="00E12E81">
              <w:rPr>
                <w:rFonts w:ascii="Cambria" w:hAnsi="Cambria"/>
                <w:sz w:val="20"/>
                <w:szCs w:val="20"/>
                <w:lang w:val="en-GB"/>
              </w:rPr>
              <w:t>.</w:t>
            </w:r>
          </w:p>
          <w:p w:rsidR="00E12E81" w:rsidRPr="00E12E81" w:rsidRDefault="00E12E81" w:rsidP="00E12E81">
            <w:pPr>
              <w:jc w:val="both"/>
              <w:rPr>
                <w:rFonts w:ascii="Cambria" w:hAnsi="Cambria"/>
                <w:sz w:val="20"/>
                <w:szCs w:val="20"/>
              </w:rPr>
            </w:pPr>
          </w:p>
          <w:p w:rsidR="00E12E81" w:rsidRDefault="00C71D89" w:rsidP="00E12E81">
            <w:pPr>
              <w:jc w:val="both"/>
              <w:rPr>
                <w:rFonts w:ascii="Cambria" w:hAnsi="Cambria"/>
                <w:sz w:val="20"/>
                <w:szCs w:val="20"/>
                <w:lang w:val="en-GB"/>
              </w:rPr>
            </w:pPr>
            <w:r>
              <w:rPr>
                <w:rFonts w:ascii="Cambria" w:hAnsi="Cambria"/>
                <w:sz w:val="20"/>
                <w:szCs w:val="20"/>
                <w:lang w:val="en-GB"/>
              </w:rPr>
              <w:t>8</w:t>
            </w:r>
            <w:r w:rsidR="00E12E81" w:rsidRPr="00E12E81">
              <w:rPr>
                <w:rFonts w:ascii="Cambria" w:hAnsi="Cambria"/>
                <w:sz w:val="20"/>
                <w:szCs w:val="20"/>
                <w:lang w:val="en-GB"/>
              </w:rPr>
              <w:t>. Illustrative examples have not been provided for all of the guidance elements.  However, the absence of illustrative examples for certain elements should not be taken to imply that there is no relevant and useful State practice to draw upon.  In some cases, illustrative examples have not been provided because the elements themselves are self-explanatory, or because implementation is likely to be highly context specific.</w:t>
            </w:r>
          </w:p>
          <w:p w:rsidR="0038406C" w:rsidRDefault="0038406C" w:rsidP="00E12E81">
            <w:pPr>
              <w:jc w:val="both"/>
              <w:rPr>
                <w:rFonts w:ascii="Cambria" w:hAnsi="Cambria"/>
                <w:sz w:val="20"/>
                <w:szCs w:val="20"/>
                <w:lang w:val="en-GB"/>
              </w:rPr>
            </w:pPr>
          </w:p>
          <w:p w:rsidR="0038406C" w:rsidRDefault="00C71D89" w:rsidP="00E12E81">
            <w:pPr>
              <w:jc w:val="both"/>
              <w:rPr>
                <w:rFonts w:ascii="Cambria" w:hAnsi="Cambria"/>
              </w:rPr>
            </w:pPr>
            <w:r>
              <w:rPr>
                <w:rFonts w:ascii="Cambria" w:hAnsi="Cambria"/>
                <w:sz w:val="20"/>
                <w:szCs w:val="20"/>
                <w:lang w:val="en-GB"/>
              </w:rPr>
              <w:t>9</w:t>
            </w:r>
            <w:r w:rsidR="0038406C">
              <w:rPr>
                <w:rFonts w:ascii="Cambria" w:hAnsi="Cambria"/>
                <w:sz w:val="20"/>
                <w:szCs w:val="20"/>
                <w:lang w:val="en-GB"/>
              </w:rPr>
              <w:t>. It is the intention of OHCHR to update the document on an on-going basis as and when new illustrative examples come to our attention.</w:t>
            </w:r>
          </w:p>
          <w:p w:rsidR="00E12E81" w:rsidRDefault="00E12E81">
            <w:pPr>
              <w:rPr>
                <w:rFonts w:ascii="Cambria" w:hAnsi="Cambria"/>
              </w:rPr>
            </w:pPr>
          </w:p>
          <w:p w:rsidR="00E12E81" w:rsidRDefault="00E12E81">
            <w:pPr>
              <w:rPr>
                <w:rFonts w:ascii="Cambria" w:hAnsi="Cambria"/>
              </w:rPr>
            </w:pPr>
          </w:p>
        </w:tc>
      </w:tr>
    </w:tbl>
    <w:p w:rsidR="0006191C" w:rsidRDefault="0006191C">
      <w:pPr>
        <w:rPr>
          <w:rFonts w:ascii="Cambria" w:hAnsi="Cambria"/>
        </w:rPr>
      </w:pPr>
    </w:p>
    <w:p w:rsidR="00E12E81" w:rsidRDefault="00E12E81">
      <w:pPr>
        <w:rPr>
          <w:rFonts w:ascii="Cambria" w:hAnsi="Cambria"/>
        </w:rPr>
      </w:pPr>
    </w:p>
    <w:p w:rsidR="00E12E81" w:rsidRDefault="00E12E81">
      <w:pPr>
        <w:rPr>
          <w:rFonts w:ascii="Cambria" w:hAnsi="Cambria"/>
        </w:rPr>
      </w:pPr>
    </w:p>
    <w:p w:rsidR="0006191C" w:rsidRDefault="0006191C">
      <w:pPr>
        <w:jc w:val="both"/>
      </w:pPr>
    </w:p>
    <w:p w:rsidR="008B11B2" w:rsidRPr="008B11B2" w:rsidRDefault="008B11B2" w:rsidP="00E623C2">
      <w:pPr>
        <w:pStyle w:val="Heading1"/>
        <w:numPr>
          <w:ilvl w:val="0"/>
          <w:numId w:val="1"/>
        </w:numPr>
      </w:pPr>
      <w:r w:rsidRPr="008B11B2">
        <w:lastRenderedPageBreak/>
        <w:t>Enforcement of public law offences</w:t>
      </w:r>
    </w:p>
    <w:p w:rsidR="008B11B2" w:rsidRDefault="008B11B2" w:rsidP="008B11B2">
      <w:pPr>
        <w:pStyle w:val="Heading2"/>
      </w:pPr>
    </w:p>
    <w:p w:rsidR="008B11B2" w:rsidRDefault="008B11B2" w:rsidP="008B11B2">
      <w:pPr>
        <w:pStyle w:val="Heading2"/>
      </w:pPr>
      <w:r w:rsidRPr="008B11B2">
        <w:t xml:space="preserve">Principles for assessing corporate legal liability </w:t>
      </w:r>
    </w:p>
    <w:p w:rsidR="008B11B2" w:rsidRPr="008B11B2" w:rsidRDefault="008B11B2" w:rsidP="008B11B2"/>
    <w:tbl>
      <w:tblPr>
        <w:tblStyle w:val="TableGrid"/>
        <w:tblW w:w="0" w:type="auto"/>
        <w:shd w:val="clear" w:color="auto" w:fill="DEEAF6" w:themeFill="accent1" w:themeFillTint="33"/>
        <w:tblLook w:val="04A0" w:firstRow="1" w:lastRow="0" w:firstColumn="1" w:lastColumn="0" w:noHBand="0" w:noVBand="1"/>
      </w:tblPr>
      <w:tblGrid>
        <w:gridCol w:w="9236"/>
      </w:tblGrid>
      <w:tr w:rsidR="008B11B2" w:rsidTr="008B11B2">
        <w:tc>
          <w:tcPr>
            <w:tcW w:w="935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 Domestic public law regimes that are relevant to the respect by businesses of human rights (“domestic public law regimes”) are sufficiently detailed and robust to ensure that there is both effective deterrence from and effective remedy in the event of business-related human rights abuses.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1.1</w:t>
      </w:r>
      <w:r w:rsidRPr="008B11B2">
        <w:rPr>
          <w:rFonts w:ascii="Cambria" w:hAnsi="Cambria"/>
          <w:b/>
          <w:sz w:val="22"/>
          <w:szCs w:val="22"/>
        </w:rPr>
        <w:tab/>
        <w:t xml:space="preserve">Domestic public law regimes (a) provide the necessary coverage with respect to business-related human rights abuses; (b) adopt legislative, regulatory and policy measures appropriate to the type, nature and severity of different business-related human rights impacts; and (c) are clear as to whether, and the extent to which, they impose legal obligations on companies. </w:t>
      </w:r>
    </w:p>
    <w:p w:rsidR="00AC0EE6" w:rsidRDefault="00AC0EE6"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C42471" w:rsidTr="00C42471">
        <w:tc>
          <w:tcPr>
            <w:tcW w:w="9236" w:type="dxa"/>
            <w:shd w:val="clear" w:color="auto" w:fill="C5E0B3" w:themeFill="accent6" w:themeFillTint="66"/>
          </w:tcPr>
          <w:p w:rsidR="00C42471" w:rsidRPr="00567E75" w:rsidRDefault="00C42471" w:rsidP="008B11B2">
            <w:pPr>
              <w:pStyle w:val="SingleTxtG"/>
              <w:ind w:left="0" w:right="0"/>
              <w:rPr>
                <w:rFonts w:ascii="Cambria" w:hAnsi="Cambria"/>
                <w:b/>
              </w:rPr>
            </w:pPr>
            <w:r>
              <w:rPr>
                <w:rFonts w:ascii="Cambria" w:hAnsi="Cambria"/>
                <w:b/>
                <w:sz w:val="22"/>
                <w:szCs w:val="22"/>
              </w:rPr>
              <w:t>Illustrative example</w:t>
            </w:r>
            <w:r w:rsidR="00A73FD9">
              <w:rPr>
                <w:rFonts w:ascii="Cambria" w:hAnsi="Cambria"/>
                <w:b/>
                <w:sz w:val="22"/>
                <w:szCs w:val="22"/>
              </w:rPr>
              <w:t>s</w:t>
            </w:r>
            <w:r>
              <w:rPr>
                <w:rFonts w:ascii="Cambria" w:hAnsi="Cambria"/>
                <w:b/>
                <w:sz w:val="22"/>
                <w:szCs w:val="22"/>
              </w:rPr>
              <w:t>: 1.1</w:t>
            </w:r>
          </w:p>
          <w:p w:rsidR="00DC7922" w:rsidRDefault="00DC7922" w:rsidP="008B11B2">
            <w:pPr>
              <w:pStyle w:val="SingleTxtG"/>
              <w:ind w:left="0" w:right="0"/>
              <w:rPr>
                <w:rFonts w:ascii="Cambria" w:hAnsi="Cambria"/>
              </w:rPr>
            </w:pPr>
            <w:r>
              <w:rPr>
                <w:rFonts w:ascii="Cambria" w:hAnsi="Cambria"/>
              </w:rPr>
              <w:t xml:space="preserve">A. </w:t>
            </w:r>
            <w:r w:rsidR="00E239D6">
              <w:rPr>
                <w:rFonts w:ascii="Cambria" w:hAnsi="Cambria"/>
              </w:rPr>
              <w:t>Ways</w:t>
            </w:r>
            <w:r>
              <w:rPr>
                <w:rFonts w:ascii="Cambria" w:hAnsi="Cambria"/>
              </w:rPr>
              <w:t xml:space="preserve"> to achieve greater coverage of legal r</w:t>
            </w:r>
            <w:r w:rsidR="00174D12">
              <w:rPr>
                <w:rFonts w:ascii="Cambria" w:hAnsi="Cambria"/>
              </w:rPr>
              <w:t>egimes with respect to business-related human rights abuses;</w:t>
            </w:r>
          </w:p>
          <w:p w:rsidR="0038406C" w:rsidRDefault="00174D12" w:rsidP="00E623C2">
            <w:pPr>
              <w:pStyle w:val="SingleTxtG"/>
              <w:numPr>
                <w:ilvl w:val="0"/>
                <w:numId w:val="2"/>
              </w:numPr>
              <w:ind w:right="0"/>
              <w:rPr>
                <w:rFonts w:ascii="Cambria" w:hAnsi="Cambria"/>
              </w:rPr>
            </w:pPr>
            <w:r>
              <w:rPr>
                <w:rFonts w:ascii="Cambria" w:hAnsi="Cambria"/>
              </w:rPr>
              <w:t>a</w:t>
            </w:r>
            <w:r w:rsidR="00DC7922" w:rsidRPr="0038406C">
              <w:rPr>
                <w:rFonts w:ascii="Cambria" w:hAnsi="Cambria"/>
              </w:rPr>
              <w:t xml:space="preserve">mendments to domestic public law regimes to expand the range of </w:t>
            </w:r>
            <w:r w:rsidR="0051643A" w:rsidRPr="0038406C">
              <w:rPr>
                <w:rFonts w:ascii="Cambria" w:hAnsi="Cambria"/>
              </w:rPr>
              <w:t xml:space="preserve">public law </w:t>
            </w:r>
            <w:r w:rsidR="00DC7922" w:rsidRPr="0038406C">
              <w:rPr>
                <w:rFonts w:ascii="Cambria" w:hAnsi="Cambria"/>
              </w:rPr>
              <w:t>offences for which companies can be liable</w:t>
            </w:r>
            <w:r w:rsidR="0051643A" w:rsidRPr="0038406C">
              <w:rPr>
                <w:rFonts w:ascii="Cambria" w:hAnsi="Cambria"/>
              </w:rPr>
              <w:t>, especially in jurisdictions where there is no general presumption or principle of, or provision for, corporate legal liability for public law offences</w:t>
            </w:r>
            <w:r>
              <w:rPr>
                <w:rFonts w:ascii="Cambria" w:hAnsi="Cambria"/>
              </w:rPr>
              <w:t>;</w:t>
            </w:r>
            <w:r w:rsidR="0051643A" w:rsidRPr="0038406C">
              <w:rPr>
                <w:rFonts w:ascii="Cambria" w:hAnsi="Cambria"/>
              </w:rPr>
              <w:t xml:space="preserve"> </w:t>
            </w:r>
          </w:p>
          <w:p w:rsidR="0038406C" w:rsidRDefault="00174D12" w:rsidP="0038406C">
            <w:pPr>
              <w:pStyle w:val="SingleTxtG"/>
              <w:numPr>
                <w:ilvl w:val="0"/>
                <w:numId w:val="2"/>
              </w:numPr>
              <w:ind w:right="0"/>
              <w:rPr>
                <w:rFonts w:ascii="Cambria" w:hAnsi="Cambria"/>
              </w:rPr>
            </w:pPr>
            <w:proofErr w:type="gramStart"/>
            <w:r>
              <w:rPr>
                <w:rFonts w:ascii="Cambria" w:hAnsi="Cambria"/>
              </w:rPr>
              <w:t>a</w:t>
            </w:r>
            <w:r w:rsidR="0051643A" w:rsidRPr="0038406C">
              <w:rPr>
                <w:rFonts w:ascii="Cambria" w:hAnsi="Cambria"/>
              </w:rPr>
              <w:t>mendments</w:t>
            </w:r>
            <w:proofErr w:type="gramEnd"/>
            <w:r w:rsidR="0051643A" w:rsidRPr="0038406C">
              <w:rPr>
                <w:rFonts w:ascii="Cambria" w:hAnsi="Cambria"/>
              </w:rPr>
              <w:t xml:space="preserve"> to domestic public law regimes to expand (or introduce greater flexibility into) the categories of business organisation that may be subject</w:t>
            </w:r>
            <w:r>
              <w:rPr>
                <w:rFonts w:ascii="Cambria" w:hAnsi="Cambria"/>
              </w:rPr>
              <w:t xml:space="preserve"> to domestic public law regimes.</w:t>
            </w:r>
          </w:p>
          <w:p w:rsidR="00837EF5" w:rsidRPr="0038406C" w:rsidRDefault="00837EF5" w:rsidP="008B11B2">
            <w:pPr>
              <w:pStyle w:val="SingleTxtG"/>
              <w:numPr>
                <w:ilvl w:val="0"/>
                <w:numId w:val="2"/>
              </w:numPr>
              <w:ind w:left="0" w:right="0"/>
              <w:rPr>
                <w:rFonts w:ascii="Cambria" w:hAnsi="Cambria"/>
              </w:rPr>
            </w:pPr>
            <w:r w:rsidRPr="0038406C">
              <w:rPr>
                <w:rFonts w:ascii="Cambria" w:hAnsi="Cambria"/>
              </w:rPr>
              <w:t xml:space="preserve">B. </w:t>
            </w:r>
            <w:r w:rsidR="00E239D6" w:rsidRPr="0038406C">
              <w:rPr>
                <w:rFonts w:ascii="Cambria" w:hAnsi="Cambria"/>
              </w:rPr>
              <w:t>Ways</w:t>
            </w:r>
            <w:r w:rsidR="002066A9" w:rsidRPr="0038406C">
              <w:rPr>
                <w:rFonts w:ascii="Cambria" w:hAnsi="Cambria"/>
              </w:rPr>
              <w:t xml:space="preserve"> to evaluate </w:t>
            </w:r>
            <w:r w:rsidR="00C13D11" w:rsidRPr="0038406C">
              <w:rPr>
                <w:rFonts w:ascii="Cambria" w:hAnsi="Cambria"/>
              </w:rPr>
              <w:t xml:space="preserve">the coverage and </w:t>
            </w:r>
            <w:r w:rsidR="002066A9" w:rsidRPr="0038406C">
              <w:rPr>
                <w:rFonts w:ascii="Cambria" w:hAnsi="Cambria"/>
              </w:rPr>
              <w:t xml:space="preserve">effectiveness of legislative regimes and to ensure </w:t>
            </w:r>
            <w:r w:rsidR="0051643A" w:rsidRPr="0038406C">
              <w:rPr>
                <w:rFonts w:ascii="Cambria" w:hAnsi="Cambria"/>
              </w:rPr>
              <w:t>the development of</w:t>
            </w:r>
            <w:r w:rsidRPr="0038406C">
              <w:rPr>
                <w:rFonts w:ascii="Cambria" w:hAnsi="Cambria"/>
              </w:rPr>
              <w:t xml:space="preserve"> legislative, regulatory and polic</w:t>
            </w:r>
            <w:r w:rsidR="00A75532" w:rsidRPr="0038406C">
              <w:rPr>
                <w:rFonts w:ascii="Cambria" w:hAnsi="Cambria"/>
              </w:rPr>
              <w:t>y measures appropriate to the ty</w:t>
            </w:r>
            <w:r w:rsidRPr="0038406C">
              <w:rPr>
                <w:rFonts w:ascii="Cambria" w:hAnsi="Cambria"/>
              </w:rPr>
              <w:t>pe, nat</w:t>
            </w:r>
            <w:r w:rsidR="00174D12">
              <w:rPr>
                <w:rFonts w:ascii="Cambria" w:hAnsi="Cambria"/>
              </w:rPr>
              <w:t>ure and severity of the impacts;</w:t>
            </w:r>
          </w:p>
          <w:p w:rsidR="002066A9" w:rsidRDefault="00174D12" w:rsidP="00E623C2">
            <w:pPr>
              <w:pStyle w:val="SingleTxtG"/>
              <w:numPr>
                <w:ilvl w:val="0"/>
                <w:numId w:val="3"/>
              </w:numPr>
              <w:ind w:right="0"/>
              <w:rPr>
                <w:rFonts w:ascii="Cambria" w:hAnsi="Cambria"/>
              </w:rPr>
            </w:pPr>
            <w:r>
              <w:rPr>
                <w:rFonts w:ascii="Cambria" w:hAnsi="Cambria"/>
              </w:rPr>
              <w:t>a</w:t>
            </w:r>
            <w:r w:rsidR="002066A9">
              <w:rPr>
                <w:rFonts w:ascii="Cambria" w:hAnsi="Cambria"/>
              </w:rPr>
              <w:t>nnual reports by regulatory bodies;</w:t>
            </w:r>
          </w:p>
          <w:p w:rsidR="002066A9" w:rsidRDefault="00174D12" w:rsidP="00E623C2">
            <w:pPr>
              <w:pStyle w:val="SingleTxtG"/>
              <w:numPr>
                <w:ilvl w:val="0"/>
                <w:numId w:val="3"/>
              </w:numPr>
              <w:ind w:right="0"/>
              <w:rPr>
                <w:rFonts w:ascii="Cambria" w:hAnsi="Cambria"/>
              </w:rPr>
            </w:pPr>
            <w:r>
              <w:rPr>
                <w:rFonts w:ascii="Cambria" w:hAnsi="Cambria"/>
              </w:rPr>
              <w:t>p</w:t>
            </w:r>
            <w:r w:rsidR="002066A9">
              <w:rPr>
                <w:rFonts w:ascii="Cambria" w:hAnsi="Cambria"/>
              </w:rPr>
              <w:t>arliamentary s</w:t>
            </w:r>
            <w:r w:rsidR="002066A9" w:rsidRPr="002066A9">
              <w:rPr>
                <w:rFonts w:ascii="Cambria" w:hAnsi="Cambria"/>
              </w:rPr>
              <w:t>elect committees</w:t>
            </w:r>
            <w:r w:rsidR="002066A9">
              <w:rPr>
                <w:rFonts w:ascii="Cambria" w:hAnsi="Cambria"/>
              </w:rPr>
              <w:t>;</w:t>
            </w:r>
          </w:p>
          <w:p w:rsidR="002066A9" w:rsidRDefault="002066A9" w:rsidP="00E623C2">
            <w:pPr>
              <w:pStyle w:val="SingleTxtG"/>
              <w:numPr>
                <w:ilvl w:val="0"/>
                <w:numId w:val="3"/>
              </w:numPr>
              <w:ind w:right="0"/>
              <w:rPr>
                <w:rFonts w:ascii="Cambria" w:hAnsi="Cambria"/>
              </w:rPr>
            </w:pPr>
            <w:r>
              <w:rPr>
                <w:rFonts w:ascii="Cambria" w:hAnsi="Cambria"/>
              </w:rPr>
              <w:t>Law Commissions;</w:t>
            </w:r>
          </w:p>
          <w:p w:rsidR="002066A9" w:rsidRDefault="002066A9" w:rsidP="00E623C2">
            <w:pPr>
              <w:pStyle w:val="SingleTxtG"/>
              <w:numPr>
                <w:ilvl w:val="0"/>
                <w:numId w:val="3"/>
              </w:numPr>
              <w:ind w:right="0"/>
              <w:rPr>
                <w:rFonts w:ascii="Cambria" w:hAnsi="Cambria"/>
              </w:rPr>
            </w:pPr>
            <w:r>
              <w:rPr>
                <w:rFonts w:ascii="Cambria" w:hAnsi="Cambria"/>
              </w:rPr>
              <w:t xml:space="preserve">Commissions of </w:t>
            </w:r>
            <w:r w:rsidR="00FA4C5E">
              <w:rPr>
                <w:rFonts w:ascii="Cambria" w:hAnsi="Cambria"/>
              </w:rPr>
              <w:t>Inquiry;</w:t>
            </w:r>
          </w:p>
          <w:p w:rsidR="00FA4C5E" w:rsidRDefault="00174D12" w:rsidP="00E623C2">
            <w:pPr>
              <w:pStyle w:val="SingleTxtG"/>
              <w:numPr>
                <w:ilvl w:val="0"/>
                <w:numId w:val="3"/>
              </w:numPr>
              <w:ind w:right="0"/>
              <w:rPr>
                <w:rFonts w:ascii="Cambria" w:hAnsi="Cambria"/>
              </w:rPr>
            </w:pPr>
            <w:r>
              <w:rPr>
                <w:rFonts w:ascii="Cambria" w:hAnsi="Cambria"/>
              </w:rPr>
              <w:t>p</w:t>
            </w:r>
            <w:r w:rsidR="00FA4C5E">
              <w:rPr>
                <w:rFonts w:ascii="Cambria" w:hAnsi="Cambria"/>
              </w:rPr>
              <w:t>ublic consultations</w:t>
            </w:r>
            <w:r w:rsidR="00386DA3">
              <w:rPr>
                <w:rFonts w:ascii="Cambria" w:hAnsi="Cambria"/>
              </w:rPr>
              <w:t xml:space="preserve"> on future policy and/or legislative proposals</w:t>
            </w:r>
            <w:r w:rsidR="00FA4C5E">
              <w:rPr>
                <w:rFonts w:ascii="Cambria" w:hAnsi="Cambria"/>
              </w:rPr>
              <w:t>;</w:t>
            </w:r>
          </w:p>
          <w:p w:rsidR="00576727" w:rsidRDefault="00174D12" w:rsidP="00576727">
            <w:pPr>
              <w:pStyle w:val="SingleTxtG"/>
              <w:numPr>
                <w:ilvl w:val="0"/>
                <w:numId w:val="3"/>
              </w:numPr>
              <w:ind w:right="0"/>
              <w:rPr>
                <w:rFonts w:ascii="Cambria" w:hAnsi="Cambria"/>
              </w:rPr>
            </w:pPr>
            <w:proofErr w:type="gramStart"/>
            <w:r>
              <w:rPr>
                <w:rFonts w:ascii="Cambria" w:hAnsi="Cambria"/>
              </w:rPr>
              <w:t>o</w:t>
            </w:r>
            <w:r w:rsidR="00FA4C5E">
              <w:rPr>
                <w:rFonts w:ascii="Cambria" w:hAnsi="Cambria"/>
              </w:rPr>
              <w:t>ther</w:t>
            </w:r>
            <w:proofErr w:type="gramEnd"/>
            <w:r w:rsidR="00FA4C5E">
              <w:rPr>
                <w:rFonts w:ascii="Cambria" w:hAnsi="Cambria"/>
              </w:rPr>
              <w:t xml:space="preserve"> research.</w:t>
            </w:r>
          </w:p>
          <w:p w:rsidR="0006191C" w:rsidRDefault="00576727" w:rsidP="00174D12">
            <w:pPr>
              <w:pStyle w:val="SingleTxtG"/>
              <w:ind w:left="0" w:right="0"/>
              <w:rPr>
                <w:rFonts w:ascii="Cambria" w:hAnsi="Cambria"/>
              </w:rPr>
            </w:pPr>
            <w:r>
              <w:rPr>
                <w:rFonts w:ascii="Cambria" w:hAnsi="Cambria"/>
                <w:b/>
              </w:rPr>
              <w:t xml:space="preserve">Note: </w:t>
            </w:r>
            <w:r>
              <w:rPr>
                <w:rFonts w:ascii="Cambria" w:hAnsi="Cambria"/>
              </w:rPr>
              <w:t>see further 1.9 below.</w:t>
            </w:r>
          </w:p>
          <w:p w:rsidR="00FA4C5E" w:rsidRDefault="00837EF5" w:rsidP="00FA4C5E">
            <w:pPr>
              <w:pStyle w:val="SingleTxtG"/>
              <w:ind w:left="0" w:right="0"/>
              <w:rPr>
                <w:rFonts w:ascii="Cambria" w:hAnsi="Cambria"/>
              </w:rPr>
            </w:pPr>
            <w:r>
              <w:rPr>
                <w:rFonts w:ascii="Cambria" w:hAnsi="Cambria"/>
              </w:rPr>
              <w:t>C</w:t>
            </w:r>
            <w:r w:rsidR="00E259B9">
              <w:rPr>
                <w:rFonts w:ascii="Cambria" w:hAnsi="Cambria"/>
              </w:rPr>
              <w:t xml:space="preserve">. </w:t>
            </w:r>
            <w:r w:rsidR="00FA4C5E">
              <w:rPr>
                <w:rFonts w:ascii="Cambria" w:hAnsi="Cambria"/>
              </w:rPr>
              <w:t xml:space="preserve">The methods used to clarify </w:t>
            </w:r>
            <w:r w:rsidR="00E259B9" w:rsidRPr="00FA4C5E">
              <w:rPr>
                <w:rFonts w:ascii="Cambria" w:hAnsi="Cambria"/>
              </w:rPr>
              <w:t>whether, and the extent to which, domestic legal regimes impose legal obligations on companies</w:t>
            </w:r>
            <w:r w:rsidR="00FA4C5E">
              <w:rPr>
                <w:rFonts w:ascii="Cambria" w:hAnsi="Cambria"/>
              </w:rPr>
              <w:t xml:space="preserve"> will depend on the State’s general approach to questions of corporate legal liability </w:t>
            </w:r>
            <w:r w:rsidR="00ED4BA3">
              <w:rPr>
                <w:rFonts w:ascii="Cambria" w:hAnsi="Cambria"/>
              </w:rPr>
              <w:t xml:space="preserve">(i.e. whether the default position in that jurisdiction is </w:t>
            </w:r>
            <w:r w:rsidR="00C13D11">
              <w:rPr>
                <w:rFonts w:ascii="Cambria" w:hAnsi="Cambria"/>
              </w:rPr>
              <w:t xml:space="preserve">a presumption in favour or, or a presumption against, a general rule of corporate legal liability) </w:t>
            </w:r>
            <w:r w:rsidR="00FA4C5E">
              <w:rPr>
                <w:rFonts w:ascii="Cambria" w:hAnsi="Cambria"/>
              </w:rPr>
              <w:t>and may involve;</w:t>
            </w:r>
          </w:p>
          <w:p w:rsidR="00C13D11" w:rsidRPr="00C13D11" w:rsidRDefault="00174D12" w:rsidP="00E623C2">
            <w:pPr>
              <w:pStyle w:val="SingleTxtG"/>
              <w:numPr>
                <w:ilvl w:val="0"/>
                <w:numId w:val="4"/>
              </w:numPr>
              <w:ind w:right="0"/>
              <w:rPr>
                <w:rFonts w:ascii="Cambria" w:hAnsi="Cambria"/>
                <w:b/>
                <w:sz w:val="22"/>
                <w:szCs w:val="22"/>
              </w:rPr>
            </w:pPr>
            <w:r>
              <w:rPr>
                <w:rFonts w:ascii="Cambria" w:hAnsi="Cambria"/>
              </w:rPr>
              <w:t>g</w:t>
            </w:r>
            <w:r w:rsidR="00FA4C5E">
              <w:rPr>
                <w:rFonts w:ascii="Cambria" w:hAnsi="Cambria"/>
              </w:rPr>
              <w:t xml:space="preserve">eneral provisions in the Criminal Code </w:t>
            </w:r>
            <w:r w:rsidR="00ED4BA3">
              <w:rPr>
                <w:rFonts w:ascii="Cambria" w:hAnsi="Cambria"/>
              </w:rPr>
              <w:t>EITHER</w:t>
            </w:r>
            <w:r>
              <w:rPr>
                <w:rFonts w:ascii="Cambria" w:hAnsi="Cambria"/>
              </w:rPr>
              <w:t>;</w:t>
            </w:r>
          </w:p>
          <w:p w:rsidR="00C13D11" w:rsidRDefault="00C13D11" w:rsidP="00C13D11">
            <w:pPr>
              <w:pStyle w:val="SingleTxtG"/>
              <w:ind w:left="801" w:right="0"/>
              <w:rPr>
                <w:rFonts w:ascii="Cambria" w:hAnsi="Cambria"/>
              </w:rPr>
            </w:pPr>
            <w:r>
              <w:rPr>
                <w:rFonts w:ascii="Cambria" w:hAnsi="Cambria"/>
              </w:rPr>
              <w:t xml:space="preserve">a. </w:t>
            </w:r>
            <w:r w:rsidR="00FA4C5E">
              <w:rPr>
                <w:rFonts w:ascii="Cambria" w:hAnsi="Cambria"/>
              </w:rPr>
              <w:t>confirming the possibility of</w:t>
            </w:r>
            <w:r w:rsidR="00E259B9">
              <w:rPr>
                <w:rFonts w:ascii="Cambria" w:hAnsi="Cambria"/>
              </w:rPr>
              <w:t xml:space="preserve"> corporate legal liability, </w:t>
            </w:r>
            <w:r w:rsidR="00FA4C5E">
              <w:rPr>
                <w:rFonts w:ascii="Cambria" w:hAnsi="Cambria"/>
              </w:rPr>
              <w:t>except in cases of (explicitly named) offences that can only physically be committed by natural persons</w:t>
            </w:r>
            <w:r>
              <w:rPr>
                <w:rFonts w:ascii="Cambria" w:hAnsi="Cambria"/>
              </w:rPr>
              <w:t xml:space="preserve">; </w:t>
            </w:r>
            <w:r w:rsidR="00ED4BA3">
              <w:rPr>
                <w:rFonts w:ascii="Cambria" w:hAnsi="Cambria"/>
              </w:rPr>
              <w:t>OR</w:t>
            </w:r>
          </w:p>
          <w:p w:rsidR="00FA4C5E" w:rsidRPr="00C13D11" w:rsidRDefault="00C13D11" w:rsidP="00C13D11">
            <w:pPr>
              <w:pStyle w:val="SingleTxtG"/>
              <w:ind w:left="801" w:right="0"/>
              <w:rPr>
                <w:rFonts w:ascii="Cambria" w:hAnsi="Cambria"/>
              </w:rPr>
            </w:pPr>
            <w:r>
              <w:rPr>
                <w:rFonts w:ascii="Cambria" w:hAnsi="Cambria"/>
              </w:rPr>
              <w:t>b.</w:t>
            </w:r>
            <w:r w:rsidR="00ED4BA3">
              <w:rPr>
                <w:rFonts w:ascii="Cambria" w:hAnsi="Cambria"/>
              </w:rPr>
              <w:t xml:space="preserve"> </w:t>
            </w:r>
            <w:r>
              <w:rPr>
                <w:rFonts w:ascii="Cambria" w:hAnsi="Cambria"/>
              </w:rPr>
              <w:t>listing the categories of crimes and the types of offences for which a</w:t>
            </w:r>
            <w:r w:rsidR="00174D12">
              <w:rPr>
                <w:rFonts w:ascii="Cambria" w:hAnsi="Cambria"/>
              </w:rPr>
              <w:t xml:space="preserve"> corporate entity may be liable;</w:t>
            </w:r>
          </w:p>
          <w:p w:rsidR="00FA4C5E" w:rsidRPr="00FA4C5E" w:rsidRDefault="00174D12" w:rsidP="00E623C2">
            <w:pPr>
              <w:pStyle w:val="SingleTxtG"/>
              <w:numPr>
                <w:ilvl w:val="0"/>
                <w:numId w:val="4"/>
              </w:numPr>
              <w:ind w:right="0"/>
              <w:rPr>
                <w:rFonts w:ascii="Cambria" w:hAnsi="Cambria"/>
                <w:b/>
                <w:sz w:val="22"/>
                <w:szCs w:val="22"/>
              </w:rPr>
            </w:pPr>
            <w:r>
              <w:rPr>
                <w:rFonts w:ascii="Cambria" w:hAnsi="Cambria"/>
              </w:rPr>
              <w:t>e</w:t>
            </w:r>
            <w:r w:rsidR="00386DA3">
              <w:rPr>
                <w:rFonts w:ascii="Cambria" w:hAnsi="Cambria"/>
              </w:rPr>
              <w:t xml:space="preserve">xplicit provisions in relevant domestic public law regimes setting out the </w:t>
            </w:r>
            <w:r w:rsidR="00944BC7">
              <w:rPr>
                <w:rFonts w:ascii="Cambria" w:hAnsi="Cambria"/>
              </w:rPr>
              <w:t xml:space="preserve">extent to which the relevant regime imposes legal requirements on </w:t>
            </w:r>
            <w:r w:rsidR="00C13D11">
              <w:rPr>
                <w:rFonts w:ascii="Cambria" w:hAnsi="Cambria"/>
              </w:rPr>
              <w:t>corporate entities</w:t>
            </w:r>
            <w:r w:rsidR="00944BC7">
              <w:rPr>
                <w:rFonts w:ascii="Cambria" w:hAnsi="Cambria"/>
              </w:rPr>
              <w:t xml:space="preserve"> as well as natural persons and the circumstances in which such liability will be imposed</w:t>
            </w:r>
            <w:r>
              <w:rPr>
                <w:rFonts w:ascii="Cambria" w:hAnsi="Cambria"/>
              </w:rPr>
              <w:t>;</w:t>
            </w:r>
          </w:p>
          <w:p w:rsidR="0038406C" w:rsidRPr="0038406C" w:rsidRDefault="00174D12" w:rsidP="0038406C">
            <w:pPr>
              <w:pStyle w:val="SingleTxtG"/>
              <w:numPr>
                <w:ilvl w:val="0"/>
                <w:numId w:val="4"/>
              </w:numPr>
              <w:ind w:right="0"/>
              <w:rPr>
                <w:rFonts w:ascii="Cambria" w:hAnsi="Cambria"/>
                <w:b/>
                <w:sz w:val="22"/>
                <w:szCs w:val="22"/>
              </w:rPr>
            </w:pPr>
            <w:r>
              <w:rPr>
                <w:rFonts w:ascii="Cambria" w:hAnsi="Cambria"/>
              </w:rPr>
              <w:lastRenderedPageBreak/>
              <w:t>f</w:t>
            </w:r>
            <w:r w:rsidR="00944BC7">
              <w:rPr>
                <w:rFonts w:ascii="Cambria" w:hAnsi="Cambria"/>
              </w:rPr>
              <w:t>or jurisdictions that make</w:t>
            </w:r>
            <w:r w:rsidR="00E259B9">
              <w:rPr>
                <w:rFonts w:ascii="Cambria" w:hAnsi="Cambria"/>
              </w:rPr>
              <w:t xml:space="preserve"> </w:t>
            </w:r>
            <w:r w:rsidR="00C13D11">
              <w:rPr>
                <w:rFonts w:ascii="Cambria" w:hAnsi="Cambria"/>
              </w:rPr>
              <w:t xml:space="preserve">no </w:t>
            </w:r>
            <w:r w:rsidR="00E259B9">
              <w:rPr>
                <w:rFonts w:ascii="Cambria" w:hAnsi="Cambria"/>
              </w:rPr>
              <w:t xml:space="preserve">provision for corporate legal liability for public law offences, </w:t>
            </w:r>
            <w:r w:rsidR="00576727">
              <w:rPr>
                <w:rFonts w:ascii="Cambria" w:hAnsi="Cambria"/>
              </w:rPr>
              <w:t>clear</w:t>
            </w:r>
            <w:r w:rsidR="00944BC7">
              <w:rPr>
                <w:rFonts w:ascii="Cambria" w:hAnsi="Cambria"/>
              </w:rPr>
              <w:t xml:space="preserve"> provisions </w:t>
            </w:r>
            <w:r w:rsidR="00576727">
              <w:rPr>
                <w:rFonts w:ascii="Cambria" w:hAnsi="Cambria"/>
              </w:rPr>
              <w:t>setting out</w:t>
            </w:r>
            <w:r w:rsidR="00944BC7">
              <w:rPr>
                <w:rFonts w:ascii="Cambria" w:hAnsi="Cambria"/>
              </w:rPr>
              <w:t xml:space="preserve"> the extent to which </w:t>
            </w:r>
            <w:r w:rsidR="00E259B9">
              <w:rPr>
                <w:rFonts w:ascii="Cambria" w:hAnsi="Cambria"/>
              </w:rPr>
              <w:t xml:space="preserve">administrative sanctions </w:t>
            </w:r>
            <w:r w:rsidR="00944BC7">
              <w:rPr>
                <w:rFonts w:ascii="Cambria" w:hAnsi="Cambria"/>
              </w:rPr>
              <w:t xml:space="preserve">can be levied </w:t>
            </w:r>
            <w:r w:rsidR="00E259B9">
              <w:rPr>
                <w:rFonts w:ascii="Cambria" w:hAnsi="Cambria"/>
              </w:rPr>
              <w:t xml:space="preserve">against a company </w:t>
            </w:r>
            <w:r w:rsidR="00944BC7">
              <w:rPr>
                <w:rFonts w:ascii="Cambria" w:hAnsi="Cambria"/>
              </w:rPr>
              <w:t>and the circumstances in which such sanctions may be levied</w:t>
            </w:r>
            <w:r w:rsidR="00E259B9">
              <w:rPr>
                <w:rFonts w:ascii="Cambria" w:hAnsi="Cambria"/>
              </w:rPr>
              <w:t xml:space="preserve"> (e.g. where there is a demonstrable connection between the commission of the offence and the activities or commercial interests of the relevant company)</w:t>
            </w:r>
            <w:r w:rsidR="00944BC7">
              <w:rPr>
                <w:rFonts w:ascii="Cambria" w:hAnsi="Cambria"/>
              </w:rPr>
              <w:t xml:space="preserve">. </w:t>
            </w:r>
          </w:p>
          <w:p w:rsidR="00C42471" w:rsidRPr="00944BC7" w:rsidRDefault="00DD7E43" w:rsidP="00174D12">
            <w:pPr>
              <w:pStyle w:val="SingleTxtG"/>
              <w:ind w:left="0" w:right="0"/>
              <w:rPr>
                <w:rFonts w:ascii="Cambria" w:hAnsi="Cambria"/>
                <w:b/>
                <w:sz w:val="22"/>
                <w:szCs w:val="22"/>
              </w:rPr>
            </w:pPr>
            <w:r w:rsidRPr="00DD7E43">
              <w:rPr>
                <w:rFonts w:ascii="Cambria" w:hAnsi="Cambria"/>
                <w:b/>
              </w:rPr>
              <w:t xml:space="preserve">Note: </w:t>
            </w:r>
            <w:r w:rsidR="00E259B9" w:rsidRPr="00576727">
              <w:rPr>
                <w:rFonts w:ascii="Cambria" w:hAnsi="Cambria"/>
              </w:rPr>
              <w:t>On sanctions and remedies, see further 11.1-11.5 below</w:t>
            </w:r>
            <w:r w:rsidRPr="00DD7E43">
              <w:rPr>
                <w:rFonts w:ascii="Cambria" w:hAnsi="Cambria"/>
              </w:rPr>
              <w:t>).</w:t>
            </w:r>
          </w:p>
        </w:tc>
      </w:tr>
    </w:tbl>
    <w:p w:rsidR="00C42471" w:rsidRPr="008B11B2" w:rsidRDefault="00C42471"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1.2</w:t>
      </w:r>
      <w:r w:rsidRPr="008B11B2">
        <w:rPr>
          <w:rFonts w:ascii="Cambria" w:hAnsi="Cambria"/>
          <w:b/>
          <w:sz w:val="22"/>
          <w:szCs w:val="22"/>
        </w:rPr>
        <w:tab/>
        <w:t>Domestic public law regimes make appropriate provisions for corporate criminal liability, or its functional equivalent, in cases where business-related human rights impacts are severe.</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410C64" w:rsidRDefault="00C42471" w:rsidP="002946F4">
            <w:pPr>
              <w:pStyle w:val="SingleTxtG"/>
              <w:ind w:left="0" w:right="0"/>
              <w:rPr>
                <w:rFonts w:ascii="Cambria" w:hAnsi="Cambria"/>
                <w:b/>
                <w:sz w:val="22"/>
                <w:szCs w:val="22"/>
              </w:rPr>
            </w:pPr>
            <w:r>
              <w:rPr>
                <w:rFonts w:ascii="Cambria" w:hAnsi="Cambria"/>
                <w:b/>
                <w:sz w:val="22"/>
                <w:szCs w:val="22"/>
              </w:rPr>
              <w:t>Illustrative example</w:t>
            </w:r>
            <w:r w:rsidR="00174D12">
              <w:rPr>
                <w:rFonts w:ascii="Cambria" w:hAnsi="Cambria"/>
                <w:b/>
                <w:sz w:val="22"/>
                <w:szCs w:val="22"/>
              </w:rPr>
              <w:t>s</w:t>
            </w:r>
            <w:r>
              <w:rPr>
                <w:rFonts w:ascii="Cambria" w:hAnsi="Cambria"/>
                <w:b/>
                <w:sz w:val="22"/>
                <w:szCs w:val="22"/>
              </w:rPr>
              <w:t>: 1.2</w:t>
            </w:r>
          </w:p>
          <w:p w:rsidR="00917B5B" w:rsidRDefault="00917B5B" w:rsidP="0075154D">
            <w:pPr>
              <w:pStyle w:val="SingleTxtG"/>
              <w:ind w:left="0" w:right="0"/>
              <w:rPr>
                <w:rFonts w:ascii="Cambria" w:hAnsi="Cambria"/>
              </w:rPr>
            </w:pPr>
            <w:r>
              <w:rPr>
                <w:rFonts w:ascii="Cambria" w:hAnsi="Cambria"/>
              </w:rPr>
              <w:t xml:space="preserve">A. </w:t>
            </w:r>
            <w:r w:rsidR="00F276EC">
              <w:rPr>
                <w:rFonts w:ascii="Cambria" w:hAnsi="Cambria"/>
              </w:rPr>
              <w:t>There is no universally accepted definition of “severe human rights abuses”.  Moreover, domestic public law regimes may not be explicitly framed in terms of breaches of human rights.</w:t>
            </w:r>
          </w:p>
          <w:p w:rsidR="0075154D" w:rsidRDefault="00917B5B" w:rsidP="0075154D">
            <w:pPr>
              <w:pStyle w:val="SingleTxtG"/>
              <w:ind w:left="0" w:right="0"/>
              <w:rPr>
                <w:rFonts w:ascii="Cambria" w:hAnsi="Cambria"/>
              </w:rPr>
            </w:pPr>
            <w:r>
              <w:rPr>
                <w:rFonts w:ascii="Cambria" w:hAnsi="Cambria"/>
              </w:rPr>
              <w:t xml:space="preserve">B. </w:t>
            </w:r>
            <w:r w:rsidR="00F276EC">
              <w:rPr>
                <w:rFonts w:ascii="Cambria" w:hAnsi="Cambria"/>
              </w:rPr>
              <w:t>Nevertheless, c</w:t>
            </w:r>
            <w:r w:rsidR="00410C64">
              <w:rPr>
                <w:rFonts w:ascii="Cambria" w:hAnsi="Cambria"/>
              </w:rPr>
              <w:t xml:space="preserve">ategories of severe human rights abuses that carry the possibility of corporate liability </w:t>
            </w:r>
            <w:r w:rsidR="00506A4C">
              <w:rPr>
                <w:rFonts w:ascii="Cambria" w:hAnsi="Cambria"/>
              </w:rPr>
              <w:t xml:space="preserve">under domestic public law regimes </w:t>
            </w:r>
            <w:r w:rsidR="00410C64">
              <w:rPr>
                <w:rFonts w:ascii="Cambria" w:hAnsi="Cambria"/>
              </w:rPr>
              <w:t>in many jurisdictions include</w:t>
            </w:r>
            <w:r w:rsidR="0075154D">
              <w:rPr>
                <w:rFonts w:ascii="Cambria" w:hAnsi="Cambria"/>
              </w:rPr>
              <w:t>;</w:t>
            </w:r>
          </w:p>
          <w:p w:rsidR="0006191C" w:rsidRDefault="00410C64">
            <w:pPr>
              <w:pStyle w:val="SingleTxtG"/>
              <w:numPr>
                <w:ilvl w:val="0"/>
                <w:numId w:val="44"/>
              </w:numPr>
              <w:ind w:right="0"/>
              <w:rPr>
                <w:rFonts w:ascii="Cambria" w:hAnsi="Cambria"/>
              </w:rPr>
            </w:pPr>
            <w:r>
              <w:rPr>
                <w:rFonts w:ascii="Cambria" w:hAnsi="Cambria"/>
              </w:rPr>
              <w:t xml:space="preserve">participation in </w:t>
            </w:r>
            <w:r w:rsidR="00F276EC">
              <w:rPr>
                <w:rFonts w:ascii="Cambria" w:hAnsi="Cambria"/>
              </w:rPr>
              <w:t xml:space="preserve">acts amounting to </w:t>
            </w:r>
            <w:r>
              <w:rPr>
                <w:rFonts w:ascii="Cambria" w:hAnsi="Cambria"/>
              </w:rPr>
              <w:t>international crimes,</w:t>
            </w:r>
          </w:p>
          <w:p w:rsidR="0006191C" w:rsidRDefault="00506A4C">
            <w:pPr>
              <w:pStyle w:val="SingleTxtG"/>
              <w:numPr>
                <w:ilvl w:val="0"/>
                <w:numId w:val="44"/>
              </w:numPr>
              <w:ind w:right="0"/>
              <w:rPr>
                <w:rFonts w:ascii="Cambria" w:hAnsi="Cambria"/>
              </w:rPr>
            </w:pPr>
            <w:r>
              <w:rPr>
                <w:rFonts w:ascii="Cambria" w:hAnsi="Cambria"/>
              </w:rPr>
              <w:t>murder;</w:t>
            </w:r>
          </w:p>
          <w:p w:rsidR="0006191C" w:rsidRDefault="00F276EC">
            <w:pPr>
              <w:pStyle w:val="SingleTxtG"/>
              <w:numPr>
                <w:ilvl w:val="0"/>
                <w:numId w:val="44"/>
              </w:numPr>
              <w:ind w:right="0"/>
              <w:rPr>
                <w:rFonts w:ascii="Cambria" w:hAnsi="Cambria"/>
              </w:rPr>
            </w:pPr>
            <w:r>
              <w:rPr>
                <w:rFonts w:ascii="Cambria" w:hAnsi="Cambria"/>
              </w:rPr>
              <w:t>kidnapping;</w:t>
            </w:r>
          </w:p>
          <w:p w:rsidR="0006191C" w:rsidRDefault="00F276EC">
            <w:pPr>
              <w:pStyle w:val="SingleTxtG"/>
              <w:numPr>
                <w:ilvl w:val="0"/>
                <w:numId w:val="44"/>
              </w:numPr>
              <w:ind w:right="0"/>
              <w:rPr>
                <w:rFonts w:ascii="Cambria" w:hAnsi="Cambria"/>
              </w:rPr>
            </w:pPr>
            <w:r>
              <w:rPr>
                <w:rFonts w:ascii="Cambria" w:hAnsi="Cambria"/>
              </w:rPr>
              <w:t>severe physical assault;</w:t>
            </w:r>
          </w:p>
          <w:p w:rsidR="0006191C" w:rsidRDefault="00F276EC">
            <w:pPr>
              <w:pStyle w:val="SingleTxtG"/>
              <w:numPr>
                <w:ilvl w:val="0"/>
                <w:numId w:val="44"/>
              </w:numPr>
              <w:ind w:right="0"/>
              <w:rPr>
                <w:rFonts w:ascii="Cambria" w:hAnsi="Cambria"/>
              </w:rPr>
            </w:pPr>
            <w:r>
              <w:rPr>
                <w:rFonts w:ascii="Cambria" w:hAnsi="Cambria"/>
              </w:rPr>
              <w:t>use of forced labour; slavery like practices (e.g. human trafficking);</w:t>
            </w:r>
          </w:p>
          <w:p w:rsidR="0006191C" w:rsidRDefault="00F276EC">
            <w:pPr>
              <w:pStyle w:val="SingleTxtG"/>
              <w:numPr>
                <w:ilvl w:val="0"/>
                <w:numId w:val="44"/>
              </w:numPr>
              <w:ind w:right="0"/>
              <w:rPr>
                <w:rFonts w:ascii="Cambria" w:hAnsi="Cambria"/>
              </w:rPr>
            </w:pPr>
            <w:r>
              <w:rPr>
                <w:rFonts w:ascii="Cambria" w:hAnsi="Cambria"/>
              </w:rPr>
              <w:t xml:space="preserve">use of </w:t>
            </w:r>
            <w:r w:rsidR="00506A4C">
              <w:rPr>
                <w:rFonts w:ascii="Cambria" w:hAnsi="Cambria"/>
              </w:rPr>
              <w:t>child labour;</w:t>
            </w:r>
          </w:p>
          <w:p w:rsidR="0006191C" w:rsidRDefault="00506A4C">
            <w:pPr>
              <w:pStyle w:val="SingleTxtG"/>
              <w:numPr>
                <w:ilvl w:val="0"/>
                <w:numId w:val="44"/>
              </w:numPr>
              <w:ind w:right="0"/>
              <w:rPr>
                <w:rFonts w:ascii="Cambria" w:hAnsi="Cambria"/>
              </w:rPr>
            </w:pPr>
            <w:r>
              <w:rPr>
                <w:rFonts w:ascii="Cambria" w:hAnsi="Cambria"/>
              </w:rPr>
              <w:t>serious breaches</w:t>
            </w:r>
            <w:r w:rsidR="00F276EC">
              <w:rPr>
                <w:rFonts w:ascii="Cambria" w:hAnsi="Cambria"/>
              </w:rPr>
              <w:t xml:space="preserve"> of </w:t>
            </w:r>
            <w:r>
              <w:rPr>
                <w:rFonts w:ascii="Cambria" w:hAnsi="Cambria"/>
              </w:rPr>
              <w:t xml:space="preserve">workplace </w:t>
            </w:r>
            <w:r w:rsidR="00F276EC">
              <w:rPr>
                <w:rFonts w:ascii="Cambria" w:hAnsi="Cambria"/>
              </w:rPr>
              <w:t>health and safety laws;</w:t>
            </w:r>
          </w:p>
          <w:p w:rsidR="0006191C" w:rsidRDefault="00506A4C">
            <w:pPr>
              <w:pStyle w:val="SingleTxtG"/>
              <w:numPr>
                <w:ilvl w:val="0"/>
                <w:numId w:val="44"/>
              </w:numPr>
              <w:ind w:right="0"/>
              <w:rPr>
                <w:rFonts w:ascii="Cambria" w:hAnsi="Cambria"/>
              </w:rPr>
            </w:pPr>
            <w:r>
              <w:rPr>
                <w:rFonts w:ascii="Cambria" w:hAnsi="Cambria"/>
              </w:rPr>
              <w:t>serious breaches of consumer safety standards</w:t>
            </w:r>
            <w:r w:rsidR="0075154D">
              <w:rPr>
                <w:rFonts w:ascii="Cambria" w:hAnsi="Cambria"/>
              </w:rPr>
              <w:t>;</w:t>
            </w:r>
            <w:r>
              <w:rPr>
                <w:rFonts w:ascii="Cambria" w:hAnsi="Cambria"/>
              </w:rPr>
              <w:t xml:space="preserve"> </w:t>
            </w:r>
            <w:r w:rsidR="00F276EC">
              <w:rPr>
                <w:rFonts w:ascii="Cambria" w:hAnsi="Cambria"/>
              </w:rPr>
              <w:t>and</w:t>
            </w:r>
          </w:p>
          <w:p w:rsidR="0006191C" w:rsidRDefault="0075154D">
            <w:pPr>
              <w:pStyle w:val="SingleTxtG"/>
              <w:numPr>
                <w:ilvl w:val="0"/>
                <w:numId w:val="44"/>
              </w:numPr>
              <w:ind w:right="0"/>
              <w:rPr>
                <w:rFonts w:ascii="Cambria" w:hAnsi="Cambria"/>
              </w:rPr>
            </w:pPr>
            <w:proofErr w:type="gramStart"/>
            <w:r>
              <w:rPr>
                <w:rFonts w:ascii="Cambria" w:hAnsi="Cambria"/>
              </w:rPr>
              <w:t>serious</w:t>
            </w:r>
            <w:proofErr w:type="gramEnd"/>
            <w:r w:rsidR="00F276EC">
              <w:rPr>
                <w:rFonts w:ascii="Cambria" w:hAnsi="Cambria"/>
              </w:rPr>
              <w:t xml:space="preserve"> </w:t>
            </w:r>
            <w:r>
              <w:rPr>
                <w:rFonts w:ascii="Cambria" w:hAnsi="Cambria"/>
              </w:rPr>
              <w:t xml:space="preserve">and/or large scale </w:t>
            </w:r>
            <w:r w:rsidR="00F276EC">
              <w:rPr>
                <w:rFonts w:ascii="Cambria" w:hAnsi="Cambria"/>
              </w:rPr>
              <w:t>environmental damage.</w:t>
            </w:r>
          </w:p>
          <w:p w:rsidR="0075154D" w:rsidRDefault="00917B5B" w:rsidP="0075154D">
            <w:pPr>
              <w:pStyle w:val="SingleTxtG"/>
              <w:ind w:left="0" w:right="0"/>
              <w:rPr>
                <w:rFonts w:ascii="Cambria" w:hAnsi="Cambria"/>
              </w:rPr>
            </w:pPr>
            <w:r>
              <w:rPr>
                <w:rFonts w:ascii="Cambria" w:hAnsi="Cambria"/>
              </w:rPr>
              <w:t xml:space="preserve">C. </w:t>
            </w:r>
            <w:r w:rsidR="00F276EC">
              <w:rPr>
                <w:rFonts w:ascii="Cambria" w:hAnsi="Cambria"/>
              </w:rPr>
              <w:t xml:space="preserve">State implementation of international treaties (e.g. treaties relating to the rights of children, worst forms of child labour, forced labour, and human trafficking) have led to the creation of new criminal offences which may be extended to corporate entities as well as individual offenders.  </w:t>
            </w:r>
          </w:p>
          <w:p w:rsidR="0075154D" w:rsidRDefault="0075154D" w:rsidP="0075154D">
            <w:pPr>
              <w:pStyle w:val="SingleTxtG"/>
              <w:ind w:left="0" w:right="0"/>
              <w:rPr>
                <w:rFonts w:ascii="Cambria" w:hAnsi="Cambria"/>
              </w:rPr>
            </w:pPr>
            <w:r>
              <w:rPr>
                <w:rFonts w:ascii="Cambria" w:hAnsi="Cambria"/>
                <w:b/>
              </w:rPr>
              <w:t xml:space="preserve">Note: </w:t>
            </w:r>
            <w:r>
              <w:rPr>
                <w:rFonts w:ascii="Cambria" w:hAnsi="Cambria"/>
              </w:rPr>
              <w:t xml:space="preserve">On ensuring sufficient coverage and effectiveness of domestic public law regimes, see 1.1 above. </w:t>
            </w:r>
          </w:p>
          <w:p w:rsidR="00F276EC" w:rsidRPr="00410C64" w:rsidRDefault="0075154D" w:rsidP="0038406C">
            <w:pPr>
              <w:pStyle w:val="SingleTxtG"/>
              <w:ind w:left="0" w:right="0"/>
              <w:rPr>
                <w:rFonts w:ascii="Cambria" w:hAnsi="Cambria"/>
                <w:b/>
                <w:sz w:val="22"/>
                <w:szCs w:val="22"/>
              </w:rPr>
            </w:pPr>
            <w:r>
              <w:rPr>
                <w:rFonts w:ascii="Cambria" w:hAnsi="Cambria"/>
                <w:b/>
              </w:rPr>
              <w:t xml:space="preserve">Note: </w:t>
            </w:r>
            <w:r w:rsidR="004C75EA">
              <w:rPr>
                <w:rFonts w:ascii="Cambria" w:hAnsi="Cambria"/>
              </w:rPr>
              <w:t xml:space="preserve">On </w:t>
            </w:r>
            <w:r>
              <w:rPr>
                <w:rFonts w:ascii="Cambria" w:hAnsi="Cambria"/>
              </w:rPr>
              <w:t xml:space="preserve">ensuring </w:t>
            </w:r>
            <w:r w:rsidR="004C75EA">
              <w:rPr>
                <w:rFonts w:ascii="Cambria" w:hAnsi="Cambria"/>
              </w:rPr>
              <w:t>suitable sanctions in such cas</w:t>
            </w:r>
            <w:r w:rsidR="00917B5B">
              <w:rPr>
                <w:rFonts w:ascii="Cambria" w:hAnsi="Cambria"/>
              </w:rPr>
              <w:t>es, see further 11.1-11.5 below</w:t>
            </w:r>
            <w:r w:rsidR="004C75EA">
              <w:rPr>
                <w:rFonts w:ascii="Cambria" w:hAnsi="Cambria"/>
              </w:rPr>
              <w:t>.</w:t>
            </w:r>
          </w:p>
        </w:tc>
      </w:tr>
    </w:tbl>
    <w:p w:rsidR="00C42471" w:rsidRPr="008B11B2" w:rsidRDefault="00C4247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1.3</w:t>
      </w:r>
      <w:r w:rsidRPr="008B11B2">
        <w:rPr>
          <w:rFonts w:ascii="Cambria" w:hAnsi="Cambria"/>
          <w:b/>
          <w:sz w:val="22"/>
          <w:szCs w:val="22"/>
        </w:rPr>
        <w:tab/>
        <w:t>Corporate legal liability under domestic public law regimes does not depend, in law or in practice, on a prior successful conviction of an individual offender.</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EE070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375564">
              <w:rPr>
                <w:rFonts w:ascii="Cambria" w:hAnsi="Cambria"/>
                <w:b/>
                <w:sz w:val="22"/>
                <w:szCs w:val="22"/>
              </w:rPr>
              <w:t>s</w:t>
            </w:r>
            <w:r>
              <w:rPr>
                <w:rFonts w:ascii="Cambria" w:hAnsi="Cambria"/>
                <w:b/>
                <w:sz w:val="22"/>
                <w:szCs w:val="22"/>
              </w:rPr>
              <w:t>: 1.3</w:t>
            </w:r>
          </w:p>
          <w:p w:rsidR="00EE0701" w:rsidRPr="00EE0701" w:rsidRDefault="00917B5B" w:rsidP="00917B5B">
            <w:pPr>
              <w:pStyle w:val="SingleTxtG"/>
              <w:ind w:left="0" w:right="0"/>
              <w:rPr>
                <w:rFonts w:ascii="Cambria" w:hAnsi="Cambria"/>
              </w:rPr>
            </w:pPr>
            <w:r>
              <w:rPr>
                <w:rFonts w:ascii="Cambria" w:hAnsi="Cambria"/>
              </w:rPr>
              <w:t xml:space="preserve">A. </w:t>
            </w:r>
            <w:r w:rsidR="00EE0701">
              <w:rPr>
                <w:rFonts w:ascii="Cambria" w:hAnsi="Cambria"/>
              </w:rPr>
              <w:t>Ways to achieve greater conceptual separation between concepts of individual and corporate liability include</w:t>
            </w:r>
            <w:r w:rsidR="00174D12">
              <w:rPr>
                <w:rFonts w:ascii="Cambria" w:hAnsi="Cambria"/>
              </w:rPr>
              <w:t>;</w:t>
            </w:r>
            <w:r w:rsidR="00DD7E43" w:rsidRPr="00DD7E43">
              <w:rPr>
                <w:rFonts w:ascii="Cambria" w:hAnsi="Cambria"/>
              </w:rPr>
              <w:t xml:space="preserve"> </w:t>
            </w:r>
          </w:p>
          <w:p w:rsidR="0006191C" w:rsidRDefault="00EE0701">
            <w:pPr>
              <w:pStyle w:val="SingleTxtG"/>
              <w:numPr>
                <w:ilvl w:val="0"/>
                <w:numId w:val="45"/>
              </w:numPr>
              <w:ind w:right="0"/>
              <w:rPr>
                <w:rFonts w:ascii="Cambria" w:hAnsi="Cambria"/>
              </w:rPr>
            </w:pPr>
            <w:r>
              <w:rPr>
                <w:rFonts w:ascii="Cambria" w:hAnsi="Cambria"/>
              </w:rPr>
              <w:t xml:space="preserve"> clarifying the legal position, for instance</w:t>
            </w:r>
            <w:r w:rsidR="003B591B">
              <w:rPr>
                <w:rFonts w:ascii="Cambria" w:hAnsi="Cambria"/>
              </w:rPr>
              <w:t xml:space="preserve"> by explicitly stating</w:t>
            </w:r>
            <w:r w:rsidR="00375564">
              <w:rPr>
                <w:rFonts w:ascii="Cambria" w:hAnsi="Cambria"/>
              </w:rPr>
              <w:t xml:space="preserve"> </w:t>
            </w:r>
            <w:r>
              <w:rPr>
                <w:rFonts w:ascii="Cambria" w:hAnsi="Cambria"/>
              </w:rPr>
              <w:t xml:space="preserve">in the relevant legal regimes </w:t>
            </w:r>
            <w:r w:rsidR="00375564">
              <w:rPr>
                <w:rFonts w:ascii="Cambria" w:hAnsi="Cambria"/>
              </w:rPr>
              <w:t xml:space="preserve">that </w:t>
            </w:r>
            <w:r w:rsidR="004F60D5" w:rsidRPr="004F60D5">
              <w:rPr>
                <w:rFonts w:ascii="Cambria" w:hAnsi="Cambria"/>
              </w:rPr>
              <w:t xml:space="preserve">corporate liability </w:t>
            </w:r>
            <w:r w:rsidR="00375564">
              <w:rPr>
                <w:rFonts w:ascii="Cambria" w:hAnsi="Cambria"/>
              </w:rPr>
              <w:t xml:space="preserve">for a public law offence </w:t>
            </w:r>
            <w:r w:rsidR="004F60D5" w:rsidRPr="004F60D5">
              <w:rPr>
                <w:rFonts w:ascii="Cambria" w:hAnsi="Cambria"/>
              </w:rPr>
              <w:t>can exist irrespective of the guilt or otherwise of individual directors, officers or other representatives, and whether or not the relevant individuals can be iden</w:t>
            </w:r>
            <w:r w:rsidR="00174D12">
              <w:rPr>
                <w:rFonts w:ascii="Cambria" w:hAnsi="Cambria"/>
              </w:rPr>
              <w:t>tified or individually indicted;</w:t>
            </w:r>
          </w:p>
          <w:p w:rsidR="0006191C" w:rsidRDefault="00EE0701">
            <w:pPr>
              <w:pStyle w:val="SingleTxtG"/>
              <w:numPr>
                <w:ilvl w:val="0"/>
                <w:numId w:val="45"/>
              </w:numPr>
              <w:ind w:right="0"/>
              <w:rPr>
                <w:rFonts w:ascii="Cambria" w:hAnsi="Cambria"/>
              </w:rPr>
            </w:pPr>
            <w:r>
              <w:rPr>
                <w:rFonts w:ascii="Cambria" w:hAnsi="Cambria"/>
              </w:rPr>
              <w:t>issuing guidance (for instance by way of statutory guidance) as to how to distinguish “individual” acts from “corporate” acts;</w:t>
            </w:r>
          </w:p>
          <w:p w:rsidR="0006191C" w:rsidRDefault="00EE0701">
            <w:pPr>
              <w:pStyle w:val="SingleTxtG"/>
              <w:numPr>
                <w:ilvl w:val="0"/>
                <w:numId w:val="45"/>
              </w:numPr>
              <w:ind w:right="0"/>
              <w:rPr>
                <w:rFonts w:ascii="Cambria" w:hAnsi="Cambria"/>
              </w:rPr>
            </w:pPr>
            <w:r>
              <w:rPr>
                <w:rFonts w:ascii="Cambria" w:hAnsi="Cambria"/>
              </w:rPr>
              <w:t>in jurisdictions which do not recognise the concept of corporate crimi</w:t>
            </w:r>
            <w:r w:rsidR="00174D12">
              <w:rPr>
                <w:rFonts w:ascii="Cambria" w:hAnsi="Cambria"/>
              </w:rPr>
              <w:t>nal liability, making express</w:t>
            </w:r>
            <w:r>
              <w:rPr>
                <w:rFonts w:ascii="Cambria" w:hAnsi="Cambria"/>
              </w:rPr>
              <w:t xml:space="preserve"> provision for the imposition of administrative or regulatory sanctions on a corporate </w:t>
            </w:r>
            <w:r>
              <w:rPr>
                <w:rFonts w:ascii="Cambria" w:hAnsi="Cambria"/>
              </w:rPr>
              <w:lastRenderedPageBreak/>
              <w:t>entity, (or “protective measures”) even where the individual wrongdoer(s) cannot be identified.</w:t>
            </w:r>
          </w:p>
          <w:p w:rsidR="00EE0701" w:rsidRDefault="00917B5B" w:rsidP="00020509">
            <w:pPr>
              <w:pStyle w:val="SingleTxtG"/>
              <w:ind w:left="0" w:right="0"/>
              <w:rPr>
                <w:rFonts w:ascii="Cambria" w:hAnsi="Cambria"/>
              </w:rPr>
            </w:pPr>
            <w:r>
              <w:rPr>
                <w:rFonts w:ascii="Cambria" w:hAnsi="Cambria"/>
              </w:rPr>
              <w:t xml:space="preserve">B. </w:t>
            </w:r>
            <w:r w:rsidR="00EE0701">
              <w:rPr>
                <w:rFonts w:ascii="Cambria" w:hAnsi="Cambria"/>
              </w:rPr>
              <w:t>Note, h</w:t>
            </w:r>
            <w:r w:rsidR="00375564">
              <w:rPr>
                <w:rFonts w:ascii="Cambria" w:hAnsi="Cambria"/>
              </w:rPr>
              <w:t>owever, it may still be appropriate in some circumstances to prosecute a corporate entity and specific individuals at the same time</w:t>
            </w:r>
            <w:r w:rsidR="00D70005">
              <w:rPr>
                <w:rFonts w:ascii="Cambria" w:hAnsi="Cambria"/>
              </w:rPr>
              <w:t>; simultaneously as co-defendants, or in parallel</w:t>
            </w:r>
            <w:r w:rsidR="00375564">
              <w:rPr>
                <w:rFonts w:ascii="Cambria" w:hAnsi="Cambria"/>
              </w:rPr>
              <w:t xml:space="preserve"> </w:t>
            </w:r>
            <w:r w:rsidR="00D70005">
              <w:rPr>
                <w:rFonts w:ascii="Cambria" w:hAnsi="Cambria"/>
              </w:rPr>
              <w:t>proceedings</w:t>
            </w:r>
            <w:r w:rsidR="00375564">
              <w:rPr>
                <w:rFonts w:ascii="Cambria" w:hAnsi="Cambria"/>
              </w:rPr>
              <w:t>.</w:t>
            </w:r>
          </w:p>
          <w:p w:rsidR="00375564" w:rsidRPr="004F60D5" w:rsidRDefault="00EE0701" w:rsidP="00174D12">
            <w:pPr>
              <w:pStyle w:val="SingleTxtG"/>
              <w:ind w:left="0" w:right="0"/>
              <w:rPr>
                <w:rFonts w:ascii="Cambria" w:hAnsi="Cambria"/>
                <w:b/>
              </w:rPr>
            </w:pPr>
            <w:r>
              <w:rPr>
                <w:rFonts w:ascii="Cambria" w:hAnsi="Cambria"/>
                <w:b/>
              </w:rPr>
              <w:t>Note</w:t>
            </w:r>
            <w:r w:rsidR="00AB0829">
              <w:rPr>
                <w:rFonts w:ascii="Cambria" w:hAnsi="Cambria"/>
                <w:b/>
              </w:rPr>
              <w:t>:</w:t>
            </w:r>
            <w:r>
              <w:rPr>
                <w:rFonts w:ascii="Cambria" w:hAnsi="Cambria"/>
                <w:b/>
              </w:rPr>
              <w:t xml:space="preserve">  </w:t>
            </w:r>
            <w:r w:rsidR="006E2B61">
              <w:rPr>
                <w:rFonts w:ascii="Cambria" w:hAnsi="Cambria"/>
              </w:rPr>
              <w:t>On questions of secondary (or “complicity”) corporate liability under domestic public law regimes</w:t>
            </w:r>
            <w:r w:rsidR="00401655">
              <w:rPr>
                <w:rFonts w:ascii="Cambria" w:hAnsi="Cambria"/>
              </w:rPr>
              <w:t xml:space="preserve"> see</w:t>
            </w:r>
            <w:r w:rsidR="006E2B61">
              <w:rPr>
                <w:rFonts w:ascii="Cambria" w:hAnsi="Cambria"/>
              </w:rPr>
              <w:t xml:space="preserve"> </w:t>
            </w:r>
            <w:r w:rsidR="00A66FAD" w:rsidRPr="00A66FAD">
              <w:rPr>
                <w:rFonts w:ascii="Cambria" w:hAnsi="Cambria"/>
              </w:rPr>
              <w:t>2.1-2.3 below.</w:t>
            </w:r>
          </w:p>
        </w:tc>
      </w:tr>
    </w:tbl>
    <w:p w:rsidR="00754AB8" w:rsidRDefault="00754AB8"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1.4</w:t>
      </w:r>
      <w:r w:rsidRPr="008B11B2">
        <w:rPr>
          <w:rFonts w:ascii="Cambria" w:hAnsi="Cambria"/>
          <w:b/>
          <w:sz w:val="22"/>
          <w:szCs w:val="22"/>
        </w:rPr>
        <w:tab/>
        <w:t xml:space="preserve">Domestic public law regimes apply principles for assessing corporate legal liability that focus on the quality of corporate management and the actions, omissions and intentions of individual officers or employees. </w:t>
      </w:r>
    </w:p>
    <w:tbl>
      <w:tblPr>
        <w:tblStyle w:val="TableGrid"/>
        <w:tblW w:w="0" w:type="auto"/>
        <w:tblLook w:val="04A0" w:firstRow="1" w:lastRow="0" w:firstColumn="1" w:lastColumn="0" w:noHBand="0" w:noVBand="1"/>
      </w:tblPr>
      <w:tblGrid>
        <w:gridCol w:w="9236"/>
      </w:tblGrid>
      <w:tr w:rsidR="00C42471" w:rsidRPr="00B73862" w:rsidTr="004F60D5">
        <w:tc>
          <w:tcPr>
            <w:tcW w:w="9236" w:type="dxa"/>
            <w:shd w:val="clear" w:color="auto" w:fill="C5E0B3" w:themeFill="accent6" w:themeFillTint="66"/>
          </w:tcPr>
          <w:p w:rsidR="00595A24" w:rsidRPr="00B73862" w:rsidRDefault="00C42471" w:rsidP="009C0E62">
            <w:pPr>
              <w:pStyle w:val="SingleTxtG"/>
              <w:ind w:left="0" w:right="0"/>
              <w:rPr>
                <w:rFonts w:ascii="Cambria" w:hAnsi="Cambria"/>
              </w:rPr>
            </w:pPr>
            <w:r w:rsidRPr="00B73862">
              <w:rPr>
                <w:rFonts w:ascii="Cambria" w:hAnsi="Cambria"/>
                <w:b/>
              </w:rPr>
              <w:t>Illustrative example</w:t>
            </w:r>
            <w:r w:rsidR="00754AB8" w:rsidRPr="00B73862">
              <w:rPr>
                <w:rFonts w:ascii="Cambria" w:hAnsi="Cambria"/>
                <w:b/>
              </w:rPr>
              <w:t>s</w:t>
            </w:r>
            <w:r w:rsidRPr="00B73862">
              <w:rPr>
                <w:rFonts w:ascii="Cambria" w:hAnsi="Cambria"/>
                <w:b/>
              </w:rPr>
              <w:t>: 1.4</w:t>
            </w:r>
          </w:p>
          <w:p w:rsidR="00563D6D" w:rsidRDefault="00563D6D" w:rsidP="00754AB8">
            <w:pPr>
              <w:jc w:val="both"/>
              <w:rPr>
                <w:rFonts w:ascii="Cambria" w:hAnsi="Cambria"/>
                <w:sz w:val="20"/>
                <w:szCs w:val="20"/>
              </w:rPr>
            </w:pPr>
            <w:r>
              <w:rPr>
                <w:rFonts w:ascii="Cambria" w:hAnsi="Cambria"/>
                <w:sz w:val="20"/>
                <w:szCs w:val="20"/>
              </w:rPr>
              <w:t xml:space="preserve">A. </w:t>
            </w:r>
            <w:r w:rsidR="00EF299C">
              <w:rPr>
                <w:rFonts w:ascii="Cambria" w:hAnsi="Cambria"/>
                <w:sz w:val="20"/>
                <w:szCs w:val="20"/>
              </w:rPr>
              <w:t xml:space="preserve">Ways </w:t>
            </w:r>
            <w:r w:rsidR="00F279FC">
              <w:rPr>
                <w:rFonts w:ascii="Cambria" w:hAnsi="Cambria"/>
                <w:sz w:val="20"/>
                <w:szCs w:val="20"/>
              </w:rPr>
              <w:t xml:space="preserve">that </w:t>
            </w:r>
            <w:r>
              <w:rPr>
                <w:rFonts w:ascii="Cambria" w:hAnsi="Cambria"/>
                <w:sz w:val="20"/>
                <w:szCs w:val="20"/>
              </w:rPr>
              <w:t>actions, omissions and intentions of individual officers or employees</w:t>
            </w:r>
            <w:r w:rsidR="00975E93">
              <w:rPr>
                <w:rFonts w:ascii="Cambria" w:hAnsi="Cambria"/>
                <w:sz w:val="20"/>
                <w:szCs w:val="20"/>
              </w:rPr>
              <w:t xml:space="preserve"> </w:t>
            </w:r>
            <w:r w:rsidR="00F279FC">
              <w:rPr>
                <w:rFonts w:ascii="Cambria" w:hAnsi="Cambria"/>
                <w:sz w:val="20"/>
                <w:szCs w:val="20"/>
              </w:rPr>
              <w:t xml:space="preserve">can be relevant to corporate legal liability </w:t>
            </w:r>
            <w:r w:rsidR="00E43AF7">
              <w:rPr>
                <w:rFonts w:ascii="Cambria" w:hAnsi="Cambria"/>
                <w:sz w:val="20"/>
                <w:szCs w:val="20"/>
              </w:rPr>
              <w:t xml:space="preserve">under domestic public law regimes </w:t>
            </w:r>
            <w:r w:rsidR="00975E93">
              <w:rPr>
                <w:rFonts w:ascii="Cambria" w:hAnsi="Cambria"/>
                <w:sz w:val="20"/>
                <w:szCs w:val="20"/>
              </w:rPr>
              <w:t>include</w:t>
            </w:r>
            <w:r w:rsidR="00174D12">
              <w:rPr>
                <w:rFonts w:ascii="Cambria" w:hAnsi="Cambria"/>
                <w:sz w:val="20"/>
                <w:szCs w:val="20"/>
              </w:rPr>
              <w:t>;</w:t>
            </w:r>
          </w:p>
          <w:p w:rsidR="00563D6D" w:rsidRDefault="00563D6D" w:rsidP="00754AB8">
            <w:pPr>
              <w:jc w:val="both"/>
              <w:rPr>
                <w:rFonts w:ascii="Cambria" w:hAnsi="Cambria"/>
                <w:sz w:val="20"/>
                <w:szCs w:val="20"/>
              </w:rPr>
            </w:pPr>
          </w:p>
          <w:p w:rsidR="00563D6D"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the company of </w:t>
            </w:r>
            <w:r w:rsidR="00DC7379">
              <w:rPr>
                <w:rFonts w:ascii="Cambria" w:hAnsi="Cambria"/>
                <w:sz w:val="20"/>
                <w:szCs w:val="20"/>
              </w:rPr>
              <w:t>acts, omissions and intentions of those who can be said to represent the company’s “directing mind and will”;</w:t>
            </w:r>
          </w:p>
          <w:p w:rsidR="00DC7379" w:rsidRDefault="00DC7379" w:rsidP="00DC7379">
            <w:pPr>
              <w:pStyle w:val="ListParagraph"/>
              <w:jc w:val="both"/>
              <w:rPr>
                <w:rFonts w:ascii="Cambria" w:hAnsi="Cambria"/>
                <w:sz w:val="20"/>
                <w:szCs w:val="20"/>
              </w:rPr>
            </w:pPr>
          </w:p>
          <w:p w:rsidR="00DC7379"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the company of </w:t>
            </w:r>
            <w:r w:rsidR="00A31EBE">
              <w:rPr>
                <w:rFonts w:ascii="Cambria" w:hAnsi="Cambria"/>
                <w:sz w:val="20"/>
                <w:szCs w:val="20"/>
              </w:rPr>
              <w:t>acts, omissions and intentions of a company’s “legal representatives”;</w:t>
            </w:r>
          </w:p>
          <w:p w:rsidR="00A31EBE" w:rsidRPr="00A31EBE" w:rsidRDefault="00A31EBE" w:rsidP="00A31EBE">
            <w:pPr>
              <w:pStyle w:val="ListParagraph"/>
              <w:rPr>
                <w:rFonts w:ascii="Cambria" w:hAnsi="Cambria"/>
                <w:sz w:val="20"/>
                <w:szCs w:val="20"/>
              </w:rPr>
            </w:pPr>
          </w:p>
          <w:p w:rsidR="0006191C" w:rsidRDefault="009C1A23" w:rsidP="00174D12">
            <w:pPr>
              <w:pStyle w:val="ListParagraph"/>
              <w:numPr>
                <w:ilvl w:val="0"/>
                <w:numId w:val="5"/>
              </w:numPr>
              <w:jc w:val="both"/>
              <w:rPr>
                <w:rFonts w:ascii="Cambria" w:hAnsi="Cambria"/>
                <w:sz w:val="20"/>
                <w:szCs w:val="20"/>
              </w:rPr>
            </w:pPr>
            <w:r>
              <w:rPr>
                <w:rFonts w:ascii="Cambria" w:hAnsi="Cambria"/>
                <w:sz w:val="20"/>
                <w:szCs w:val="20"/>
              </w:rPr>
              <w:t>attribution to the company of acts, omissions and intentions of those exercising certain functions</w:t>
            </w:r>
            <w:r w:rsidR="00174D12">
              <w:rPr>
                <w:rFonts w:ascii="Cambria" w:hAnsi="Cambria"/>
                <w:sz w:val="20"/>
                <w:szCs w:val="20"/>
              </w:rPr>
              <w:t>;</w:t>
            </w:r>
          </w:p>
          <w:p w:rsidR="00174D12" w:rsidRPr="00174D12" w:rsidRDefault="00174D12" w:rsidP="00174D12">
            <w:pPr>
              <w:jc w:val="both"/>
              <w:rPr>
                <w:rFonts w:ascii="Cambria" w:hAnsi="Cambria"/>
                <w:sz w:val="20"/>
                <w:szCs w:val="20"/>
              </w:rPr>
            </w:pPr>
          </w:p>
          <w:p w:rsidR="00A31EBE"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the company of acts, omissions and intentions of those exercising </w:t>
            </w:r>
            <w:r w:rsidR="00A31EBE" w:rsidRPr="00B73862">
              <w:rPr>
                <w:rFonts w:ascii="Cambria" w:hAnsi="Cambria"/>
                <w:sz w:val="20"/>
                <w:szCs w:val="20"/>
              </w:rPr>
              <w:t>“decisive influence”  over the mana</w:t>
            </w:r>
            <w:r w:rsidR="00A31EBE">
              <w:rPr>
                <w:rFonts w:ascii="Cambria" w:hAnsi="Cambria"/>
                <w:sz w:val="20"/>
                <w:szCs w:val="20"/>
              </w:rPr>
              <w:t xml:space="preserve">gement of </w:t>
            </w:r>
            <w:r w:rsidR="00AB0829">
              <w:rPr>
                <w:rFonts w:ascii="Cambria" w:hAnsi="Cambria"/>
                <w:sz w:val="20"/>
                <w:szCs w:val="20"/>
              </w:rPr>
              <w:t>that company</w:t>
            </w:r>
            <w:r w:rsidR="00174D12">
              <w:rPr>
                <w:rFonts w:ascii="Cambria" w:hAnsi="Cambria"/>
                <w:sz w:val="20"/>
                <w:szCs w:val="20"/>
              </w:rPr>
              <w:t>;</w:t>
            </w:r>
          </w:p>
          <w:p w:rsidR="00A31EBE" w:rsidRPr="00A31EBE" w:rsidRDefault="00A31EBE" w:rsidP="00A31EBE">
            <w:pPr>
              <w:pStyle w:val="ListParagraph"/>
              <w:rPr>
                <w:rFonts w:ascii="Cambria" w:hAnsi="Cambria"/>
                <w:sz w:val="20"/>
                <w:szCs w:val="20"/>
              </w:rPr>
            </w:pPr>
          </w:p>
          <w:p w:rsidR="00923D62"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company of acts, omissions and intentions </w:t>
            </w:r>
            <w:r w:rsidR="00975E93">
              <w:rPr>
                <w:rFonts w:ascii="Cambria" w:hAnsi="Cambria"/>
                <w:sz w:val="20"/>
                <w:szCs w:val="20"/>
              </w:rPr>
              <w:t xml:space="preserve">of certain </w:t>
            </w:r>
            <w:r w:rsidR="00A31EBE" w:rsidRPr="00A31EBE">
              <w:rPr>
                <w:rFonts w:ascii="Cambria" w:hAnsi="Cambria"/>
                <w:sz w:val="20"/>
                <w:szCs w:val="20"/>
              </w:rPr>
              <w:t>employees or agents under theor</w:t>
            </w:r>
            <w:r w:rsidR="00AB0829">
              <w:rPr>
                <w:rFonts w:ascii="Cambria" w:hAnsi="Cambria"/>
                <w:sz w:val="20"/>
                <w:szCs w:val="20"/>
              </w:rPr>
              <w:t>ies of “vicarious liab</w:t>
            </w:r>
            <w:r w:rsidR="00174D12">
              <w:rPr>
                <w:rFonts w:ascii="Cambria" w:hAnsi="Cambria"/>
                <w:sz w:val="20"/>
                <w:szCs w:val="20"/>
              </w:rPr>
              <w:t>ility”;</w:t>
            </w:r>
          </w:p>
          <w:p w:rsidR="0006191C" w:rsidRDefault="0006191C">
            <w:pPr>
              <w:pStyle w:val="ListParagraph"/>
              <w:rPr>
                <w:rFonts w:ascii="Cambria" w:hAnsi="Cambria"/>
                <w:sz w:val="20"/>
                <w:szCs w:val="20"/>
              </w:rPr>
            </w:pPr>
          </w:p>
          <w:p w:rsidR="00975E93" w:rsidRDefault="00975E93" w:rsidP="00E623C2">
            <w:pPr>
              <w:pStyle w:val="ListParagraph"/>
              <w:numPr>
                <w:ilvl w:val="0"/>
                <w:numId w:val="5"/>
              </w:numPr>
              <w:jc w:val="both"/>
              <w:rPr>
                <w:rFonts w:ascii="Cambria" w:hAnsi="Cambria"/>
                <w:sz w:val="20"/>
                <w:szCs w:val="20"/>
              </w:rPr>
            </w:pPr>
            <w:r>
              <w:rPr>
                <w:rFonts w:ascii="Cambria" w:hAnsi="Cambria"/>
                <w:sz w:val="20"/>
                <w:szCs w:val="20"/>
              </w:rPr>
              <w:t>attribution to company of acts, omissions and intentions of certain other contractors</w:t>
            </w:r>
            <w:r w:rsidRPr="00A31EBE">
              <w:rPr>
                <w:rFonts w:ascii="Cambria" w:hAnsi="Cambria"/>
                <w:sz w:val="20"/>
                <w:szCs w:val="20"/>
              </w:rPr>
              <w:t xml:space="preserve"> under theories of “vicarious liability”</w:t>
            </w:r>
            <w:r w:rsidR="00174D12">
              <w:rPr>
                <w:rFonts w:ascii="Cambria" w:hAnsi="Cambria"/>
                <w:sz w:val="20"/>
                <w:szCs w:val="20"/>
              </w:rPr>
              <w:t>;</w:t>
            </w:r>
            <w:r w:rsidRPr="00A31EBE">
              <w:rPr>
                <w:rFonts w:ascii="Cambria" w:hAnsi="Cambria"/>
                <w:sz w:val="20"/>
                <w:szCs w:val="20"/>
              </w:rPr>
              <w:t xml:space="preserve"> </w:t>
            </w:r>
          </w:p>
          <w:p w:rsidR="0006191C" w:rsidRDefault="0006191C">
            <w:pPr>
              <w:pStyle w:val="ListParagraph"/>
              <w:rPr>
                <w:rFonts w:ascii="Cambria" w:hAnsi="Cambria"/>
                <w:sz w:val="20"/>
                <w:szCs w:val="20"/>
              </w:rPr>
            </w:pPr>
          </w:p>
          <w:p w:rsidR="00975E93" w:rsidRDefault="00975E93" w:rsidP="00E623C2">
            <w:pPr>
              <w:pStyle w:val="ListParagraph"/>
              <w:numPr>
                <w:ilvl w:val="0"/>
                <w:numId w:val="5"/>
              </w:numPr>
              <w:jc w:val="both"/>
              <w:rPr>
                <w:rFonts w:ascii="Cambria" w:hAnsi="Cambria"/>
                <w:sz w:val="20"/>
                <w:szCs w:val="20"/>
              </w:rPr>
            </w:pPr>
            <w:r w:rsidRPr="00A31EBE">
              <w:rPr>
                <w:rFonts w:ascii="Cambria" w:hAnsi="Cambria"/>
                <w:sz w:val="20"/>
                <w:szCs w:val="20"/>
              </w:rPr>
              <w:t xml:space="preserve"> </w:t>
            </w:r>
            <w:r>
              <w:rPr>
                <w:rFonts w:ascii="Cambria" w:hAnsi="Cambria"/>
                <w:sz w:val="20"/>
                <w:szCs w:val="20"/>
              </w:rPr>
              <w:t xml:space="preserve">attribution to company of acts, omissions and intentions of certain other natural or legal persons that, </w:t>
            </w:r>
            <w:r w:rsidRPr="00923D62">
              <w:rPr>
                <w:rFonts w:ascii="Cambria" w:hAnsi="Cambria"/>
                <w:sz w:val="20"/>
                <w:szCs w:val="20"/>
              </w:rPr>
              <w:t xml:space="preserve">from surrounding circumstances, the corporate entity </w:t>
            </w:r>
            <w:r>
              <w:rPr>
                <w:rFonts w:ascii="Cambria" w:hAnsi="Cambria"/>
                <w:sz w:val="20"/>
                <w:szCs w:val="20"/>
              </w:rPr>
              <w:t>appears</w:t>
            </w:r>
            <w:r w:rsidRPr="00923D62">
              <w:rPr>
                <w:rFonts w:ascii="Cambria" w:hAnsi="Cambria"/>
                <w:sz w:val="20"/>
                <w:szCs w:val="20"/>
              </w:rPr>
              <w:t xml:space="preserve"> to have “acc</w:t>
            </w:r>
            <w:r w:rsidR="00AB0829">
              <w:rPr>
                <w:rFonts w:ascii="Cambria" w:hAnsi="Cambria"/>
                <w:sz w:val="20"/>
                <w:szCs w:val="20"/>
              </w:rPr>
              <w:t>epted” or “ratified” as its own.</w:t>
            </w:r>
          </w:p>
          <w:p w:rsidR="00563D6D" w:rsidRDefault="00563D6D" w:rsidP="00754AB8">
            <w:pPr>
              <w:jc w:val="both"/>
              <w:rPr>
                <w:rFonts w:ascii="Cambria" w:hAnsi="Cambria"/>
                <w:sz w:val="20"/>
                <w:szCs w:val="20"/>
              </w:rPr>
            </w:pPr>
          </w:p>
          <w:p w:rsidR="00563D6D" w:rsidRDefault="00563D6D" w:rsidP="00754AB8">
            <w:pPr>
              <w:jc w:val="both"/>
              <w:rPr>
                <w:rFonts w:ascii="Cambria" w:hAnsi="Cambria"/>
                <w:sz w:val="20"/>
                <w:szCs w:val="20"/>
              </w:rPr>
            </w:pPr>
            <w:r>
              <w:rPr>
                <w:rFonts w:ascii="Cambria" w:hAnsi="Cambria"/>
                <w:sz w:val="20"/>
                <w:szCs w:val="20"/>
              </w:rPr>
              <w:t xml:space="preserve">B. </w:t>
            </w:r>
            <w:r w:rsidR="00F279FC">
              <w:rPr>
                <w:rFonts w:ascii="Cambria" w:hAnsi="Cambria"/>
                <w:sz w:val="20"/>
                <w:szCs w:val="20"/>
              </w:rPr>
              <w:t xml:space="preserve">Ways that the </w:t>
            </w:r>
            <w:r>
              <w:rPr>
                <w:rFonts w:ascii="Cambria" w:hAnsi="Cambria"/>
                <w:sz w:val="20"/>
                <w:szCs w:val="20"/>
              </w:rPr>
              <w:t>quality of corporate management</w:t>
            </w:r>
            <w:r w:rsidR="00975E93">
              <w:rPr>
                <w:rFonts w:ascii="Cambria" w:hAnsi="Cambria"/>
                <w:sz w:val="20"/>
                <w:szCs w:val="20"/>
              </w:rPr>
              <w:t xml:space="preserve"> </w:t>
            </w:r>
            <w:r w:rsidR="00F279FC">
              <w:rPr>
                <w:rFonts w:ascii="Cambria" w:hAnsi="Cambria"/>
                <w:sz w:val="20"/>
                <w:szCs w:val="20"/>
              </w:rPr>
              <w:t>can be relevant to corporate legal liability</w:t>
            </w:r>
            <w:r w:rsidR="00E43AF7">
              <w:rPr>
                <w:rFonts w:ascii="Cambria" w:hAnsi="Cambria"/>
                <w:sz w:val="20"/>
                <w:szCs w:val="20"/>
              </w:rPr>
              <w:t xml:space="preserve"> under domestic public law regimes </w:t>
            </w:r>
            <w:r w:rsidR="00F279FC">
              <w:rPr>
                <w:rFonts w:ascii="Cambria" w:hAnsi="Cambria"/>
                <w:sz w:val="20"/>
                <w:szCs w:val="20"/>
              </w:rPr>
              <w:t xml:space="preserve"> </w:t>
            </w:r>
            <w:r w:rsidR="00975E93">
              <w:rPr>
                <w:rFonts w:ascii="Cambria" w:hAnsi="Cambria"/>
                <w:sz w:val="20"/>
                <w:szCs w:val="20"/>
              </w:rPr>
              <w:t>include</w:t>
            </w:r>
            <w:r w:rsidR="00506A4C">
              <w:rPr>
                <w:rFonts w:ascii="Cambria" w:hAnsi="Cambria"/>
                <w:sz w:val="20"/>
                <w:szCs w:val="20"/>
              </w:rPr>
              <w:t>:</w:t>
            </w:r>
          </w:p>
          <w:p w:rsidR="00917B5B" w:rsidRDefault="00917B5B" w:rsidP="00917B5B">
            <w:pPr>
              <w:rPr>
                <w:rFonts w:ascii="Cambria" w:hAnsi="Cambria"/>
                <w:sz w:val="20"/>
                <w:szCs w:val="20"/>
              </w:rPr>
            </w:pPr>
          </w:p>
          <w:p w:rsidR="00917B5B" w:rsidRPr="00917B5B" w:rsidRDefault="00174D12" w:rsidP="00917B5B">
            <w:pPr>
              <w:pStyle w:val="ListParagraph"/>
              <w:numPr>
                <w:ilvl w:val="0"/>
                <w:numId w:val="82"/>
              </w:numPr>
              <w:rPr>
                <w:rFonts w:ascii="Cambria" w:hAnsi="Cambria"/>
                <w:i/>
                <w:sz w:val="20"/>
                <w:szCs w:val="20"/>
              </w:rPr>
            </w:pPr>
            <w:r>
              <w:rPr>
                <w:rFonts w:ascii="Cambria" w:hAnsi="Cambria"/>
                <w:sz w:val="20"/>
                <w:szCs w:val="20"/>
              </w:rPr>
              <w:t>t</w:t>
            </w:r>
            <w:r w:rsidR="00975E93" w:rsidRPr="00917B5B">
              <w:rPr>
                <w:rFonts w:ascii="Cambria" w:hAnsi="Cambria"/>
                <w:sz w:val="20"/>
                <w:szCs w:val="20"/>
              </w:rPr>
              <w:t>reat</w:t>
            </w:r>
            <w:r w:rsidR="00F164D8" w:rsidRPr="00917B5B">
              <w:rPr>
                <w:rFonts w:ascii="Cambria" w:hAnsi="Cambria"/>
                <w:sz w:val="20"/>
                <w:szCs w:val="20"/>
              </w:rPr>
              <w:t>ing</w:t>
            </w:r>
            <w:r w:rsidR="00975E93" w:rsidRPr="00917B5B">
              <w:rPr>
                <w:rFonts w:ascii="Cambria" w:hAnsi="Cambria"/>
                <w:sz w:val="20"/>
                <w:szCs w:val="20"/>
              </w:rPr>
              <w:t xml:space="preserve"> c</w:t>
            </w:r>
            <w:r w:rsidR="00A31EBE" w:rsidRPr="00917B5B">
              <w:rPr>
                <w:rFonts w:ascii="Cambria" w:hAnsi="Cambria"/>
                <w:sz w:val="20"/>
                <w:szCs w:val="20"/>
              </w:rPr>
              <w:t xml:space="preserve">ollective decisions </w:t>
            </w:r>
            <w:r w:rsidR="00667FD4" w:rsidRPr="00917B5B">
              <w:rPr>
                <w:rFonts w:ascii="Cambria" w:hAnsi="Cambria"/>
                <w:sz w:val="20"/>
                <w:szCs w:val="20"/>
              </w:rPr>
              <w:t>as “corporate acts”</w:t>
            </w:r>
            <w:r w:rsidR="00917B5B" w:rsidRPr="00917B5B">
              <w:rPr>
                <w:rFonts w:ascii="Cambria" w:hAnsi="Cambria"/>
                <w:i/>
                <w:sz w:val="20"/>
                <w:szCs w:val="20"/>
              </w:rPr>
              <w:t>;</w:t>
            </w:r>
          </w:p>
          <w:p w:rsidR="00923D62" w:rsidRPr="00923D62" w:rsidRDefault="00A31EBE" w:rsidP="00923D62">
            <w:pPr>
              <w:pStyle w:val="ListParagraph"/>
              <w:rPr>
                <w:rFonts w:ascii="Cambria" w:hAnsi="Cambria"/>
                <w:sz w:val="20"/>
                <w:szCs w:val="20"/>
              </w:rPr>
            </w:pPr>
            <w:r w:rsidRPr="00A31EBE">
              <w:rPr>
                <w:rFonts w:ascii="Cambria" w:hAnsi="Cambria"/>
                <w:sz w:val="20"/>
                <w:szCs w:val="20"/>
              </w:rPr>
              <w:t xml:space="preserve"> </w:t>
            </w:r>
          </w:p>
          <w:p w:rsidR="00F164D8" w:rsidRPr="00F164D8" w:rsidRDefault="00174D12" w:rsidP="00F164D8">
            <w:pPr>
              <w:pStyle w:val="ListParagraph"/>
              <w:numPr>
                <w:ilvl w:val="0"/>
                <w:numId w:val="5"/>
              </w:numPr>
              <w:jc w:val="both"/>
              <w:rPr>
                <w:rFonts w:ascii="Cambria" w:hAnsi="Cambria"/>
                <w:sz w:val="20"/>
                <w:szCs w:val="20"/>
              </w:rPr>
            </w:pPr>
            <w:proofErr w:type="gramStart"/>
            <w:r>
              <w:rPr>
                <w:rFonts w:ascii="Cambria" w:hAnsi="Cambria"/>
                <w:sz w:val="20"/>
                <w:szCs w:val="20"/>
              </w:rPr>
              <w:t>a</w:t>
            </w:r>
            <w:r w:rsidR="00923D62" w:rsidRPr="00923D62">
              <w:rPr>
                <w:rFonts w:ascii="Cambria" w:hAnsi="Cambria"/>
                <w:sz w:val="20"/>
                <w:szCs w:val="20"/>
              </w:rPr>
              <w:t>ggregat</w:t>
            </w:r>
            <w:r w:rsidR="00975E93">
              <w:rPr>
                <w:rFonts w:ascii="Cambria" w:hAnsi="Cambria"/>
                <w:sz w:val="20"/>
                <w:szCs w:val="20"/>
              </w:rPr>
              <w:t>ing</w:t>
            </w:r>
            <w:proofErr w:type="gramEnd"/>
            <w:r w:rsidR="00923D62" w:rsidRPr="00923D62">
              <w:rPr>
                <w:rFonts w:ascii="Cambria" w:hAnsi="Cambria"/>
                <w:sz w:val="20"/>
                <w:szCs w:val="20"/>
              </w:rPr>
              <w:t xml:space="preserve"> the knowledge and intentions and actions of a group of individuals (e.g. senior managers or certain employees).  </w:t>
            </w:r>
            <w:r w:rsidR="00975E93">
              <w:rPr>
                <w:rFonts w:ascii="Cambria" w:hAnsi="Cambria"/>
                <w:sz w:val="20"/>
                <w:szCs w:val="20"/>
              </w:rPr>
              <w:t>(</w:t>
            </w:r>
            <w:r w:rsidR="00DD7E43" w:rsidRPr="00DD7E43">
              <w:rPr>
                <w:rFonts w:ascii="Cambria" w:hAnsi="Cambria"/>
                <w:b/>
                <w:sz w:val="20"/>
                <w:szCs w:val="20"/>
              </w:rPr>
              <w:t>Note:</w:t>
            </w:r>
            <w:r w:rsidR="00975E93">
              <w:rPr>
                <w:rFonts w:ascii="Cambria" w:hAnsi="Cambria"/>
                <w:sz w:val="20"/>
                <w:szCs w:val="20"/>
              </w:rPr>
              <w:t xml:space="preserve"> </w:t>
            </w:r>
            <w:r w:rsidR="00923D62" w:rsidRPr="00923D62">
              <w:rPr>
                <w:rFonts w:ascii="Cambria" w:hAnsi="Cambria"/>
                <w:sz w:val="20"/>
                <w:szCs w:val="20"/>
              </w:rPr>
              <w:t>This approach is referred to as “collective fault” approach</w:t>
            </w:r>
            <w:r w:rsidR="00923D62" w:rsidRPr="00E23A39">
              <w:rPr>
                <w:rFonts w:ascii="Cambria" w:hAnsi="Cambria"/>
                <w:sz w:val="20"/>
                <w:szCs w:val="20"/>
              </w:rPr>
              <w:t>. Under such regimes it is not necessary for a single person to have committed the entire wrongful act for a company to be liable</w:t>
            </w:r>
            <w:r w:rsidR="00975E93">
              <w:rPr>
                <w:rFonts w:ascii="Cambria" w:hAnsi="Cambria"/>
                <w:sz w:val="20"/>
                <w:szCs w:val="20"/>
              </w:rPr>
              <w:t>)</w:t>
            </w:r>
            <w:r>
              <w:rPr>
                <w:rFonts w:ascii="Cambria" w:hAnsi="Cambria"/>
                <w:sz w:val="20"/>
                <w:szCs w:val="20"/>
              </w:rPr>
              <w:t>;</w:t>
            </w:r>
          </w:p>
          <w:p w:rsidR="00E23A39" w:rsidRPr="00E23A39" w:rsidRDefault="00E23A39" w:rsidP="00E23A39">
            <w:pPr>
              <w:pStyle w:val="ListParagraph"/>
              <w:rPr>
                <w:rFonts w:ascii="Cambria" w:hAnsi="Cambria"/>
                <w:sz w:val="20"/>
                <w:szCs w:val="20"/>
              </w:rPr>
            </w:pPr>
          </w:p>
          <w:p w:rsidR="00917B5B" w:rsidRDefault="00174D12" w:rsidP="00917B5B">
            <w:pPr>
              <w:pStyle w:val="ListParagraph"/>
              <w:numPr>
                <w:ilvl w:val="0"/>
                <w:numId w:val="5"/>
              </w:numPr>
              <w:jc w:val="both"/>
              <w:rPr>
                <w:rFonts w:ascii="Cambria" w:hAnsi="Cambria"/>
                <w:sz w:val="20"/>
                <w:szCs w:val="20"/>
              </w:rPr>
            </w:pPr>
            <w:r>
              <w:rPr>
                <w:rFonts w:ascii="Cambria" w:hAnsi="Cambria"/>
                <w:sz w:val="20"/>
                <w:szCs w:val="20"/>
              </w:rPr>
              <w:t>m</w:t>
            </w:r>
            <w:r w:rsidR="00EF299C">
              <w:rPr>
                <w:rFonts w:ascii="Cambria" w:hAnsi="Cambria"/>
                <w:sz w:val="20"/>
                <w:szCs w:val="20"/>
              </w:rPr>
              <w:t xml:space="preserve">aking </w:t>
            </w:r>
            <w:r w:rsidR="00E23A39" w:rsidRPr="00E23A39">
              <w:rPr>
                <w:rFonts w:ascii="Cambria" w:hAnsi="Cambria"/>
                <w:sz w:val="20"/>
                <w:szCs w:val="20"/>
              </w:rPr>
              <w:t xml:space="preserve">negligent management, defective organization, poor internal control systems, or </w:t>
            </w:r>
            <w:r w:rsidR="00F279FC">
              <w:rPr>
                <w:rFonts w:ascii="Cambria" w:hAnsi="Cambria"/>
                <w:sz w:val="20"/>
                <w:szCs w:val="20"/>
              </w:rPr>
              <w:t xml:space="preserve">a </w:t>
            </w:r>
            <w:r w:rsidR="00E23A39" w:rsidRPr="00E23A39">
              <w:rPr>
                <w:rFonts w:ascii="Cambria" w:hAnsi="Cambria"/>
                <w:sz w:val="20"/>
                <w:szCs w:val="20"/>
              </w:rPr>
              <w:t xml:space="preserve">poor “corporate culture” </w:t>
            </w:r>
            <w:r w:rsidR="00F279FC">
              <w:rPr>
                <w:rFonts w:ascii="Cambria" w:hAnsi="Cambria"/>
                <w:sz w:val="20"/>
                <w:szCs w:val="20"/>
              </w:rPr>
              <w:t>part of the elements of a primary offence</w:t>
            </w:r>
            <w:r>
              <w:rPr>
                <w:rFonts w:ascii="Cambria" w:hAnsi="Cambria"/>
                <w:sz w:val="20"/>
                <w:szCs w:val="20"/>
              </w:rPr>
              <w:t>;</w:t>
            </w:r>
          </w:p>
          <w:p w:rsidR="00917B5B" w:rsidRPr="00917B5B" w:rsidRDefault="00917B5B" w:rsidP="00917B5B">
            <w:pPr>
              <w:pStyle w:val="ListParagraph"/>
              <w:rPr>
                <w:rFonts w:ascii="Cambria" w:hAnsi="Cambria"/>
                <w:sz w:val="20"/>
                <w:szCs w:val="20"/>
              </w:rPr>
            </w:pPr>
          </w:p>
          <w:p w:rsidR="00F164D8" w:rsidRPr="00917B5B" w:rsidRDefault="00174D12" w:rsidP="00917B5B">
            <w:pPr>
              <w:pStyle w:val="ListParagraph"/>
              <w:numPr>
                <w:ilvl w:val="0"/>
                <w:numId w:val="5"/>
              </w:numPr>
              <w:jc w:val="both"/>
              <w:rPr>
                <w:rFonts w:ascii="Cambria" w:hAnsi="Cambria"/>
                <w:sz w:val="20"/>
                <w:szCs w:val="20"/>
              </w:rPr>
            </w:pPr>
            <w:proofErr w:type="gramStart"/>
            <w:r>
              <w:rPr>
                <w:rFonts w:ascii="Cambria" w:hAnsi="Cambria"/>
                <w:sz w:val="20"/>
                <w:szCs w:val="20"/>
              </w:rPr>
              <w:t>p</w:t>
            </w:r>
            <w:r w:rsidR="00F279FC" w:rsidRPr="00917B5B">
              <w:rPr>
                <w:rFonts w:ascii="Cambria" w:hAnsi="Cambria"/>
                <w:sz w:val="20"/>
                <w:szCs w:val="20"/>
              </w:rPr>
              <w:t>roviding</w:t>
            </w:r>
            <w:proofErr w:type="gramEnd"/>
            <w:r w:rsidR="00F279FC" w:rsidRPr="00917B5B">
              <w:rPr>
                <w:rFonts w:ascii="Cambria" w:hAnsi="Cambria"/>
                <w:sz w:val="20"/>
                <w:szCs w:val="20"/>
              </w:rPr>
              <w:t xml:space="preserve"> for sound management, good organisation, good internal control systems and good systems for supervision of employees to be used as a basis of a defence to an allegation that the company has committed public law offence. </w:t>
            </w:r>
          </w:p>
          <w:p w:rsidR="00917B5B" w:rsidRPr="00917B5B" w:rsidRDefault="00917B5B" w:rsidP="00917B5B">
            <w:pPr>
              <w:jc w:val="both"/>
              <w:rPr>
                <w:rFonts w:ascii="Cambria" w:hAnsi="Cambria"/>
                <w:sz w:val="20"/>
                <w:szCs w:val="20"/>
              </w:rPr>
            </w:pPr>
          </w:p>
          <w:p w:rsidR="00B53146" w:rsidRPr="00B73862" w:rsidRDefault="00B53146" w:rsidP="00174D12">
            <w:pPr>
              <w:pStyle w:val="SingleTxtG"/>
              <w:ind w:left="0" w:right="0"/>
              <w:rPr>
                <w:rFonts w:ascii="Cambria" w:hAnsi="Cambria"/>
              </w:rPr>
            </w:pPr>
            <w:r w:rsidRPr="00F279FC">
              <w:rPr>
                <w:rFonts w:ascii="Cambria" w:hAnsi="Cambria"/>
                <w:b/>
                <w:i/>
              </w:rPr>
              <w:t xml:space="preserve">Note: In practice, </w:t>
            </w:r>
            <w:r w:rsidR="000F067B" w:rsidRPr="00F279FC">
              <w:rPr>
                <w:rFonts w:ascii="Cambria" w:hAnsi="Cambria"/>
                <w:b/>
                <w:i/>
              </w:rPr>
              <w:t>domestic public law regimes</w:t>
            </w:r>
            <w:r w:rsidRPr="00F279FC">
              <w:rPr>
                <w:rFonts w:ascii="Cambria" w:hAnsi="Cambria"/>
                <w:b/>
                <w:i/>
              </w:rPr>
              <w:t xml:space="preserve"> do not </w:t>
            </w:r>
            <w:r w:rsidR="000F067B" w:rsidRPr="00F279FC">
              <w:rPr>
                <w:rFonts w:ascii="Cambria" w:hAnsi="Cambria"/>
                <w:b/>
                <w:i/>
              </w:rPr>
              <w:t xml:space="preserve">use </w:t>
            </w:r>
            <w:r w:rsidRPr="00F279FC">
              <w:rPr>
                <w:rFonts w:ascii="Cambria" w:hAnsi="Cambria"/>
                <w:b/>
                <w:i/>
              </w:rPr>
              <w:t>one or other approach</w:t>
            </w:r>
            <w:r w:rsidR="000F067B" w:rsidRPr="00F279FC">
              <w:rPr>
                <w:rFonts w:ascii="Cambria" w:hAnsi="Cambria"/>
                <w:b/>
                <w:i/>
              </w:rPr>
              <w:t xml:space="preserve"> exclusively</w:t>
            </w:r>
            <w:r w:rsidRPr="00F279FC">
              <w:rPr>
                <w:rFonts w:ascii="Cambria" w:hAnsi="Cambria"/>
                <w:b/>
                <w:i/>
              </w:rPr>
              <w:t xml:space="preserve">.  Instead, different </w:t>
            </w:r>
            <w:r w:rsidR="005967AB">
              <w:rPr>
                <w:rFonts w:ascii="Cambria" w:hAnsi="Cambria"/>
                <w:b/>
                <w:i/>
              </w:rPr>
              <w:t>methods</w:t>
            </w:r>
            <w:r w:rsidRPr="0087408A">
              <w:rPr>
                <w:rFonts w:ascii="Cambria" w:hAnsi="Cambria"/>
                <w:b/>
                <w:i/>
              </w:rPr>
              <w:t xml:space="preserve"> may be used in combination, or in the alternative, depending on </w:t>
            </w:r>
            <w:r w:rsidR="00506A4C" w:rsidRPr="0087408A">
              <w:rPr>
                <w:rFonts w:ascii="Cambria" w:hAnsi="Cambria"/>
                <w:b/>
                <w:i/>
              </w:rPr>
              <w:t xml:space="preserve">the relevant policy objectives and </w:t>
            </w:r>
            <w:r w:rsidRPr="0087408A">
              <w:rPr>
                <w:rFonts w:ascii="Cambria" w:hAnsi="Cambria"/>
                <w:b/>
                <w:i/>
              </w:rPr>
              <w:t>regulatory needs.</w:t>
            </w:r>
          </w:p>
        </w:tc>
      </w:tr>
    </w:tbl>
    <w:p w:rsidR="00C42471" w:rsidRDefault="008B11B2" w:rsidP="00C42471">
      <w:pPr>
        <w:pStyle w:val="SingleTxtG"/>
        <w:ind w:left="0" w:right="0"/>
        <w:rPr>
          <w:rFonts w:ascii="Cambria" w:hAnsi="Cambria"/>
          <w:b/>
          <w:sz w:val="22"/>
          <w:szCs w:val="22"/>
        </w:rPr>
      </w:pPr>
      <w:r w:rsidRPr="008B11B2">
        <w:rPr>
          <w:rFonts w:ascii="Cambria" w:hAnsi="Cambria"/>
          <w:b/>
          <w:sz w:val="22"/>
          <w:szCs w:val="22"/>
        </w:rPr>
        <w:lastRenderedPageBreak/>
        <w:t>1.5</w:t>
      </w:r>
      <w:r w:rsidRPr="008B11B2">
        <w:rPr>
          <w:rFonts w:ascii="Cambria" w:hAnsi="Cambria"/>
          <w:b/>
          <w:sz w:val="22"/>
          <w:szCs w:val="22"/>
        </w:rPr>
        <w:tab/>
        <w:t>Domestic public law regimes communicate clearly the standards of management and supervision expected of different corporate constituents of group business enterprises with respect to the identification, prevention and mitigation of human rights impacts associated with or arising from group operations, on the basis of their role and position within the group business enterprise, and take appropriate account of the diversity of relationships and linkages through which business enterprises may operate, including equity-based and contract-based relationships.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A92921" w:rsidRDefault="00C42471" w:rsidP="00020509">
            <w:pPr>
              <w:pStyle w:val="SingleTxtG"/>
              <w:ind w:left="0" w:right="0"/>
              <w:rPr>
                <w:rFonts w:ascii="Cambria" w:hAnsi="Cambria"/>
                <w:b/>
              </w:rPr>
            </w:pPr>
            <w:r>
              <w:rPr>
                <w:rFonts w:ascii="Cambria" w:hAnsi="Cambria"/>
                <w:b/>
                <w:sz w:val="22"/>
                <w:szCs w:val="22"/>
              </w:rPr>
              <w:t>Illustrative example</w:t>
            </w:r>
            <w:r w:rsidR="00020509">
              <w:rPr>
                <w:rFonts w:ascii="Cambria" w:hAnsi="Cambria"/>
                <w:b/>
                <w:sz w:val="22"/>
                <w:szCs w:val="22"/>
              </w:rPr>
              <w:t>s</w:t>
            </w:r>
            <w:r>
              <w:rPr>
                <w:rFonts w:ascii="Cambria" w:hAnsi="Cambria"/>
                <w:b/>
                <w:sz w:val="22"/>
                <w:szCs w:val="22"/>
              </w:rPr>
              <w:t>: 1.5</w:t>
            </w:r>
          </w:p>
          <w:p w:rsidR="00506A4C" w:rsidRPr="00A92921" w:rsidRDefault="00917B5B" w:rsidP="00020509">
            <w:pPr>
              <w:pStyle w:val="SingleTxtG"/>
              <w:ind w:left="0" w:right="0"/>
              <w:rPr>
                <w:rFonts w:ascii="Cambria" w:hAnsi="Cambria"/>
                <w:b/>
              </w:rPr>
            </w:pPr>
            <w:r>
              <w:rPr>
                <w:rFonts w:ascii="Cambria" w:hAnsi="Cambria"/>
              </w:rPr>
              <w:t xml:space="preserve">A. </w:t>
            </w:r>
            <w:r w:rsidR="00EA2E9C">
              <w:rPr>
                <w:rFonts w:ascii="Cambria" w:hAnsi="Cambria"/>
              </w:rPr>
              <w:t>Ways to</w:t>
            </w:r>
            <w:r w:rsidR="001469EC">
              <w:rPr>
                <w:rFonts w:ascii="Cambria" w:hAnsi="Cambria"/>
              </w:rPr>
              <w:t xml:space="preserve"> </w:t>
            </w:r>
            <w:r w:rsidR="00506A4C" w:rsidRPr="00506A4C">
              <w:rPr>
                <w:rFonts w:ascii="Cambria" w:hAnsi="Cambria"/>
              </w:rPr>
              <w:t>communicate the standards of management and supervision expected of different corporate constituents of group business enterprises with respect to the identification, prevention and mitigation of human rights impacts</w:t>
            </w:r>
            <w:r w:rsidR="00EA2E9C">
              <w:rPr>
                <w:rFonts w:ascii="Cambria" w:hAnsi="Cambria"/>
              </w:rPr>
              <w:t xml:space="preserve"> include</w:t>
            </w:r>
            <w:r w:rsidR="00912032">
              <w:rPr>
                <w:rFonts w:ascii="Cambria" w:hAnsi="Cambria"/>
              </w:rPr>
              <w:t>;</w:t>
            </w:r>
          </w:p>
          <w:p w:rsidR="00F00AF1" w:rsidRDefault="00912032" w:rsidP="00E623C2">
            <w:pPr>
              <w:pStyle w:val="SingleTxtG"/>
              <w:numPr>
                <w:ilvl w:val="0"/>
                <w:numId w:val="6"/>
              </w:numPr>
              <w:ind w:right="0"/>
              <w:rPr>
                <w:rFonts w:ascii="Cambria" w:hAnsi="Cambria"/>
              </w:rPr>
            </w:pPr>
            <w:proofErr w:type="gramStart"/>
            <w:r>
              <w:rPr>
                <w:rFonts w:ascii="Cambria" w:hAnsi="Cambria"/>
              </w:rPr>
              <w:t>l</w:t>
            </w:r>
            <w:r w:rsidR="004F60D5" w:rsidRPr="00F32E8D">
              <w:rPr>
                <w:rFonts w:ascii="Cambria" w:hAnsi="Cambria"/>
              </w:rPr>
              <w:t>egislative</w:t>
            </w:r>
            <w:proofErr w:type="gramEnd"/>
            <w:r w:rsidR="004F60D5" w:rsidRPr="00F32E8D">
              <w:rPr>
                <w:rFonts w:ascii="Cambria" w:hAnsi="Cambria"/>
              </w:rPr>
              <w:t xml:space="preserve"> provisions regarding corporate management requirements, compliance with which </w:t>
            </w:r>
            <w:r>
              <w:rPr>
                <w:rFonts w:ascii="Cambria" w:hAnsi="Cambria"/>
              </w:rPr>
              <w:t>may</w:t>
            </w:r>
            <w:r w:rsidR="004F60D5" w:rsidRPr="00F32E8D">
              <w:rPr>
                <w:rFonts w:ascii="Cambria" w:hAnsi="Cambria"/>
              </w:rPr>
              <w:t xml:space="preserve"> provide the basis of a complete or partial defence to a </w:t>
            </w:r>
            <w:r w:rsidR="00A92921">
              <w:rPr>
                <w:rFonts w:ascii="Cambria" w:hAnsi="Cambria"/>
              </w:rPr>
              <w:t>public law</w:t>
            </w:r>
            <w:r w:rsidR="004F60D5" w:rsidRPr="00F32E8D">
              <w:rPr>
                <w:rFonts w:ascii="Cambria" w:hAnsi="Cambria"/>
              </w:rPr>
              <w:t xml:space="preserve"> offence.  These may include requirements as to management and risk control systems, training of personnel, internal communication systems, periodic effectiveness and performance reviews, and systems to identify and implement appropriate corrections to deficient systems.</w:t>
            </w:r>
            <w:r w:rsidR="00F17FCB">
              <w:rPr>
                <w:rFonts w:ascii="Cambria" w:hAnsi="Cambria"/>
              </w:rPr>
              <w:t xml:space="preserve">  (</w:t>
            </w:r>
            <w:r w:rsidR="00EA2E9C" w:rsidRPr="00EA2E9C">
              <w:rPr>
                <w:rFonts w:ascii="Cambria" w:hAnsi="Cambria"/>
                <w:b/>
              </w:rPr>
              <w:t>Note:</w:t>
            </w:r>
            <w:r w:rsidR="00EA2E9C">
              <w:rPr>
                <w:rFonts w:ascii="Cambria" w:hAnsi="Cambria"/>
              </w:rPr>
              <w:t xml:space="preserve"> On the relevance of human rights due diligence to corporate legal liability, s</w:t>
            </w:r>
            <w:r>
              <w:rPr>
                <w:rFonts w:ascii="Cambria" w:hAnsi="Cambria"/>
              </w:rPr>
              <w:t>ee further 3.1 below);</w:t>
            </w:r>
          </w:p>
          <w:p w:rsidR="00F00AF1" w:rsidRPr="001469EC" w:rsidRDefault="00912032" w:rsidP="00E623C2">
            <w:pPr>
              <w:pStyle w:val="SingleTxtG"/>
              <w:numPr>
                <w:ilvl w:val="0"/>
                <w:numId w:val="6"/>
              </w:numPr>
              <w:ind w:right="0"/>
              <w:rPr>
                <w:rFonts w:ascii="Cambria" w:hAnsi="Cambria"/>
              </w:rPr>
            </w:pPr>
            <w:proofErr w:type="gramStart"/>
            <w:r>
              <w:rPr>
                <w:rFonts w:ascii="Cambria" w:hAnsi="Cambria" w:cs="Arial"/>
              </w:rPr>
              <w:t>s</w:t>
            </w:r>
            <w:r w:rsidR="00506A4C">
              <w:rPr>
                <w:rFonts w:ascii="Cambria" w:hAnsi="Cambria" w:cs="Arial"/>
              </w:rPr>
              <w:t>tatutory</w:t>
            </w:r>
            <w:proofErr w:type="gramEnd"/>
            <w:r w:rsidR="00506A4C">
              <w:rPr>
                <w:rFonts w:ascii="Cambria" w:hAnsi="Cambria" w:cs="Arial"/>
              </w:rPr>
              <w:t xml:space="preserve"> duties of care which</w:t>
            </w:r>
            <w:r w:rsidR="004F60D5" w:rsidRPr="00506A4C">
              <w:rPr>
                <w:rFonts w:ascii="Cambria" w:hAnsi="Cambria" w:cs="Arial"/>
              </w:rPr>
              <w:t xml:space="preserve"> clarify the nature and extent of the management and supervisory </w:t>
            </w:r>
            <w:r w:rsidR="004F60D5" w:rsidRPr="00506A4C">
              <w:rPr>
                <w:rFonts w:ascii="Cambria" w:hAnsi="Cambria"/>
              </w:rPr>
              <w:t>responsibilities</w:t>
            </w:r>
            <w:r w:rsidR="004F60D5" w:rsidRPr="00506A4C">
              <w:rPr>
                <w:rFonts w:ascii="Cambria" w:hAnsi="Cambria" w:cs="Arial"/>
              </w:rPr>
              <w:t xml:space="preserve"> of companies and their management</w:t>
            </w:r>
            <w:r w:rsidR="00B952E6">
              <w:rPr>
                <w:rFonts w:ascii="Cambria" w:hAnsi="Cambria" w:cs="Arial"/>
              </w:rPr>
              <w:t xml:space="preserve"> in specific business contexts</w:t>
            </w:r>
            <w:r w:rsidR="00AB0829">
              <w:rPr>
                <w:rFonts w:ascii="Cambria" w:hAnsi="Cambria" w:cs="Arial"/>
              </w:rPr>
              <w:t>.</w:t>
            </w:r>
          </w:p>
          <w:p w:rsidR="001469EC" w:rsidRPr="001469EC" w:rsidRDefault="001469EC" w:rsidP="00E623C2">
            <w:pPr>
              <w:pStyle w:val="SingleTxtG"/>
              <w:numPr>
                <w:ilvl w:val="0"/>
                <w:numId w:val="6"/>
              </w:numPr>
              <w:ind w:right="0"/>
              <w:rPr>
                <w:rFonts w:ascii="Cambria" w:hAnsi="Cambria"/>
              </w:rPr>
            </w:pPr>
            <w:r w:rsidRPr="001469EC">
              <w:rPr>
                <w:rFonts w:ascii="Cambria" w:hAnsi="Cambria"/>
              </w:rPr>
              <w:t xml:space="preserve"> </w:t>
            </w:r>
            <w:proofErr w:type="gramStart"/>
            <w:r w:rsidRPr="001469EC">
              <w:rPr>
                <w:rFonts w:ascii="Cambria" w:hAnsi="Cambria"/>
              </w:rPr>
              <w:t>legislative</w:t>
            </w:r>
            <w:proofErr w:type="gramEnd"/>
            <w:r w:rsidRPr="001469EC">
              <w:rPr>
                <w:rFonts w:ascii="Cambria" w:hAnsi="Cambria"/>
              </w:rPr>
              <w:t xml:space="preserve"> provisions regarding the extent to which companies may be liable for the act</w:t>
            </w:r>
            <w:r>
              <w:rPr>
                <w:rFonts w:ascii="Cambria" w:hAnsi="Cambria"/>
              </w:rPr>
              <w:t>s</w:t>
            </w:r>
            <w:r w:rsidRPr="001469EC">
              <w:rPr>
                <w:rFonts w:ascii="Cambria" w:hAnsi="Cambria"/>
              </w:rPr>
              <w:t xml:space="preserve"> or omissions of contractors </w:t>
            </w:r>
            <w:r>
              <w:rPr>
                <w:rFonts w:ascii="Cambria" w:hAnsi="Cambria"/>
              </w:rPr>
              <w:t>(</w:t>
            </w:r>
            <w:r w:rsidRPr="001469EC">
              <w:rPr>
                <w:rFonts w:ascii="Cambria" w:hAnsi="Cambria"/>
              </w:rPr>
              <w:t xml:space="preserve">e.g. where instructions to </w:t>
            </w:r>
            <w:r w:rsidR="00912032">
              <w:rPr>
                <w:rFonts w:ascii="Cambria" w:hAnsi="Cambria"/>
              </w:rPr>
              <w:t xml:space="preserve">a </w:t>
            </w:r>
            <w:r w:rsidRPr="001469EC">
              <w:rPr>
                <w:rFonts w:ascii="Cambria" w:hAnsi="Cambria"/>
              </w:rPr>
              <w:t>contractor were not sufficiently clear, or where supervisory arrangements were not sufficiently robust</w:t>
            </w:r>
            <w:r w:rsidR="00B952E6">
              <w:rPr>
                <w:rFonts w:ascii="Cambria" w:hAnsi="Cambria"/>
              </w:rPr>
              <w:t xml:space="preserve">).  </w:t>
            </w:r>
            <w:r w:rsidR="00AB0829">
              <w:rPr>
                <w:rFonts w:ascii="Cambria" w:hAnsi="Cambria"/>
                <w:b/>
              </w:rPr>
              <w:t>Note</w:t>
            </w:r>
            <w:r w:rsidR="00DD7E43" w:rsidRPr="00DD7E43">
              <w:rPr>
                <w:rFonts w:ascii="Cambria" w:hAnsi="Cambria"/>
                <w:b/>
              </w:rPr>
              <w:t>:</w:t>
            </w:r>
            <w:r w:rsidR="00EA2E9C">
              <w:rPr>
                <w:rFonts w:ascii="Cambria" w:hAnsi="Cambria"/>
              </w:rPr>
              <w:t xml:space="preserve"> </w:t>
            </w:r>
            <w:r>
              <w:rPr>
                <w:rFonts w:ascii="Cambria" w:hAnsi="Cambria"/>
              </w:rPr>
              <w:t>On the relevance of human rights due diligence as a possible defence to corporate legal liability, see fu</w:t>
            </w:r>
            <w:r w:rsidR="00912032">
              <w:rPr>
                <w:rFonts w:ascii="Cambria" w:hAnsi="Cambria"/>
              </w:rPr>
              <w:t>rther 3.1 below;</w:t>
            </w:r>
          </w:p>
          <w:p w:rsidR="001469EC" w:rsidRPr="001469EC" w:rsidRDefault="00912032" w:rsidP="00E623C2">
            <w:pPr>
              <w:pStyle w:val="SingleTxtG"/>
              <w:numPr>
                <w:ilvl w:val="0"/>
                <w:numId w:val="6"/>
              </w:numPr>
              <w:ind w:right="0"/>
              <w:rPr>
                <w:rFonts w:ascii="Cambria" w:hAnsi="Cambria"/>
              </w:rPr>
            </w:pPr>
            <w:r>
              <w:rPr>
                <w:rFonts w:ascii="Cambria" w:hAnsi="Cambria"/>
              </w:rPr>
              <w:t>i</w:t>
            </w:r>
            <w:r w:rsidR="001469EC" w:rsidRPr="00924F02">
              <w:rPr>
                <w:rFonts w:ascii="Cambria" w:hAnsi="Cambria"/>
              </w:rPr>
              <w:t xml:space="preserve">nclusion in the Criminal Code of provisions setting out the circumstances in </w:t>
            </w:r>
            <w:r w:rsidR="001469EC">
              <w:rPr>
                <w:rFonts w:ascii="Cambria" w:hAnsi="Cambria"/>
              </w:rPr>
              <w:t xml:space="preserve">which </w:t>
            </w:r>
            <w:r w:rsidR="001469EC" w:rsidRPr="00924F02">
              <w:rPr>
                <w:rFonts w:ascii="Cambria" w:hAnsi="Cambria"/>
              </w:rPr>
              <w:t xml:space="preserve">companies </w:t>
            </w:r>
            <w:r w:rsidR="00B952E6">
              <w:rPr>
                <w:rFonts w:ascii="Cambria" w:hAnsi="Cambria"/>
              </w:rPr>
              <w:t xml:space="preserve">with the ability to exercise </w:t>
            </w:r>
            <w:r w:rsidR="001469EC" w:rsidRPr="00924F02">
              <w:rPr>
                <w:rFonts w:ascii="Cambria" w:hAnsi="Cambria"/>
              </w:rPr>
              <w:t xml:space="preserve">control </w:t>
            </w:r>
            <w:r w:rsidR="00B952E6">
              <w:rPr>
                <w:rFonts w:ascii="Cambria" w:hAnsi="Cambria"/>
              </w:rPr>
              <w:t>or influence over</w:t>
            </w:r>
            <w:r w:rsidR="001469EC" w:rsidRPr="00924F02">
              <w:rPr>
                <w:rFonts w:ascii="Cambria" w:hAnsi="Cambria"/>
              </w:rPr>
              <w:t xml:space="preserve"> other companies </w:t>
            </w:r>
            <w:r w:rsidR="00B952E6">
              <w:rPr>
                <w:rFonts w:ascii="Cambria" w:hAnsi="Cambria"/>
              </w:rPr>
              <w:t xml:space="preserve">(e.g. on the basis of a shareholding) </w:t>
            </w:r>
            <w:r w:rsidR="001469EC" w:rsidRPr="00924F02">
              <w:rPr>
                <w:rFonts w:ascii="Cambria" w:hAnsi="Cambria"/>
              </w:rPr>
              <w:t>or companies whi</w:t>
            </w:r>
            <w:r w:rsidR="00B952E6">
              <w:rPr>
                <w:rFonts w:ascii="Cambria" w:hAnsi="Cambria"/>
              </w:rPr>
              <w:t xml:space="preserve">ch take part in the management </w:t>
            </w:r>
            <w:r w:rsidR="001469EC" w:rsidRPr="00924F02">
              <w:rPr>
                <w:rFonts w:ascii="Cambria" w:hAnsi="Cambria"/>
              </w:rPr>
              <w:t>of other companies or which provide finance to the activities of other companies can be liable for the actions of those other companies</w:t>
            </w:r>
            <w:r w:rsidR="001469EC">
              <w:rPr>
                <w:rFonts w:ascii="Cambria" w:hAnsi="Cambria"/>
              </w:rPr>
              <w:t>, including the meaning of “control” in different contexts</w:t>
            </w:r>
            <w:r>
              <w:rPr>
                <w:rFonts w:ascii="Cambria" w:hAnsi="Cambria"/>
              </w:rPr>
              <w:t>;</w:t>
            </w:r>
          </w:p>
          <w:p w:rsidR="00F17FCB" w:rsidRDefault="00912032" w:rsidP="00E623C2">
            <w:pPr>
              <w:pStyle w:val="SingleTxtG"/>
              <w:numPr>
                <w:ilvl w:val="0"/>
                <w:numId w:val="6"/>
              </w:numPr>
              <w:ind w:right="0"/>
              <w:rPr>
                <w:rFonts w:ascii="Cambria" w:hAnsi="Cambria"/>
              </w:rPr>
            </w:pPr>
            <w:r>
              <w:rPr>
                <w:rFonts w:ascii="Cambria" w:hAnsi="Cambria"/>
              </w:rPr>
              <w:t>f</w:t>
            </w:r>
            <w:r w:rsidR="00F17FCB">
              <w:rPr>
                <w:rFonts w:ascii="Cambria" w:hAnsi="Cambria"/>
              </w:rPr>
              <w:t xml:space="preserve">or business activities that require a licence, inclusion of </w:t>
            </w:r>
            <w:r w:rsidR="00924F02">
              <w:rPr>
                <w:rFonts w:ascii="Cambria" w:hAnsi="Cambria"/>
              </w:rPr>
              <w:t xml:space="preserve">provisions as to the licensee’s </w:t>
            </w:r>
            <w:r w:rsidR="00A717C7">
              <w:rPr>
                <w:rFonts w:ascii="Cambria" w:hAnsi="Cambria"/>
              </w:rPr>
              <w:t xml:space="preserve">managerial </w:t>
            </w:r>
            <w:r w:rsidR="00924F02">
              <w:rPr>
                <w:rFonts w:ascii="Cambria" w:hAnsi="Cambria"/>
              </w:rPr>
              <w:t xml:space="preserve">responsibilities </w:t>
            </w:r>
            <w:r w:rsidR="00A717C7">
              <w:rPr>
                <w:rFonts w:ascii="Cambria" w:hAnsi="Cambria"/>
              </w:rPr>
              <w:t>(including responsibilities for activities that are “contracted out”)</w:t>
            </w:r>
            <w:r w:rsidR="00924F02">
              <w:rPr>
                <w:rFonts w:ascii="Cambria" w:hAnsi="Cambria"/>
              </w:rPr>
              <w:t xml:space="preserve"> as </w:t>
            </w:r>
            <w:r w:rsidR="00F17FCB">
              <w:rPr>
                <w:rFonts w:ascii="Cambria" w:hAnsi="Cambria"/>
              </w:rPr>
              <w:t>express licence term</w:t>
            </w:r>
            <w:r w:rsidR="00924F02">
              <w:rPr>
                <w:rFonts w:ascii="Cambria" w:hAnsi="Cambria"/>
              </w:rPr>
              <w:t>s</w:t>
            </w:r>
            <w:r>
              <w:rPr>
                <w:rFonts w:ascii="Cambria" w:hAnsi="Cambria"/>
              </w:rPr>
              <w:t>;</w:t>
            </w:r>
          </w:p>
          <w:p w:rsidR="00924F02" w:rsidRDefault="00912032" w:rsidP="00E623C2">
            <w:pPr>
              <w:pStyle w:val="SingleTxtG"/>
              <w:numPr>
                <w:ilvl w:val="0"/>
                <w:numId w:val="6"/>
              </w:numPr>
              <w:ind w:right="0"/>
              <w:rPr>
                <w:rFonts w:ascii="Cambria" w:hAnsi="Cambria"/>
              </w:rPr>
            </w:pPr>
            <w:r>
              <w:rPr>
                <w:rFonts w:ascii="Cambria" w:hAnsi="Cambria"/>
              </w:rPr>
              <w:t>f</w:t>
            </w:r>
            <w:r w:rsidR="00924F02">
              <w:rPr>
                <w:rFonts w:ascii="Cambria" w:hAnsi="Cambria"/>
              </w:rPr>
              <w:t>or business activities that require a licence, inclusion of provisions regarding the submission and maintenance</w:t>
            </w:r>
            <w:r w:rsidR="00B952E6">
              <w:rPr>
                <w:rFonts w:ascii="Cambria" w:hAnsi="Cambria"/>
              </w:rPr>
              <w:t xml:space="preserve"> of suitable </w:t>
            </w:r>
            <w:r w:rsidR="00924F02">
              <w:rPr>
                <w:rFonts w:ascii="Cambria" w:hAnsi="Cambria"/>
              </w:rPr>
              <w:t xml:space="preserve">risk management plans as a pre-condition for grant of a licence, compliance with which then becomes </w:t>
            </w:r>
            <w:r w:rsidR="00B952E6">
              <w:rPr>
                <w:rFonts w:ascii="Cambria" w:hAnsi="Cambria"/>
              </w:rPr>
              <w:t xml:space="preserve">either a statutory requirement or is </w:t>
            </w:r>
            <w:r w:rsidR="00924F02">
              <w:rPr>
                <w:rFonts w:ascii="Cambria" w:hAnsi="Cambria"/>
              </w:rPr>
              <w:t>i</w:t>
            </w:r>
            <w:r>
              <w:rPr>
                <w:rFonts w:ascii="Cambria" w:hAnsi="Cambria"/>
              </w:rPr>
              <w:t>ncorporated into licence terms;</w:t>
            </w:r>
          </w:p>
          <w:p w:rsidR="001469EC" w:rsidRPr="00506A4C" w:rsidRDefault="00912032" w:rsidP="00E623C2">
            <w:pPr>
              <w:pStyle w:val="SingleTxtG"/>
              <w:numPr>
                <w:ilvl w:val="0"/>
                <w:numId w:val="6"/>
              </w:numPr>
              <w:ind w:right="0"/>
              <w:rPr>
                <w:rFonts w:ascii="Cambria" w:hAnsi="Cambria"/>
              </w:rPr>
            </w:pPr>
            <w:proofErr w:type="gramStart"/>
            <w:r>
              <w:rPr>
                <w:rFonts w:ascii="Cambria" w:hAnsi="Cambria"/>
              </w:rPr>
              <w:t>i</w:t>
            </w:r>
            <w:r w:rsidR="00B73CB6">
              <w:rPr>
                <w:rFonts w:ascii="Cambria" w:hAnsi="Cambria"/>
              </w:rPr>
              <w:t>nclusion</w:t>
            </w:r>
            <w:proofErr w:type="gramEnd"/>
            <w:r w:rsidR="00B73CB6">
              <w:rPr>
                <w:rFonts w:ascii="Cambria" w:hAnsi="Cambria"/>
              </w:rPr>
              <w:t xml:space="preserve"> of requirements in domestic public law regimes to publicly report on measures taken to identify, prevent and mitigate social, environmental and human rights risks within group business enterprises).</w:t>
            </w:r>
          </w:p>
          <w:p w:rsidR="0006191C" w:rsidRDefault="00DD7E43" w:rsidP="00912032">
            <w:pPr>
              <w:pStyle w:val="SingleTxtG"/>
              <w:ind w:left="0" w:right="0"/>
              <w:rPr>
                <w:rFonts w:ascii="Cambria" w:hAnsi="Cambria"/>
              </w:rPr>
            </w:pPr>
            <w:r w:rsidRPr="00DD7E43">
              <w:rPr>
                <w:rFonts w:ascii="Cambria" w:hAnsi="Cambria"/>
                <w:b/>
              </w:rPr>
              <w:t>Note:</w:t>
            </w:r>
            <w:r w:rsidR="00EA2E9C">
              <w:rPr>
                <w:rFonts w:ascii="Cambria" w:hAnsi="Cambria"/>
              </w:rPr>
              <w:t xml:space="preserve"> </w:t>
            </w:r>
            <w:r w:rsidR="00912032">
              <w:rPr>
                <w:rFonts w:ascii="Cambria" w:hAnsi="Cambria"/>
              </w:rPr>
              <w:t xml:space="preserve"> T</w:t>
            </w:r>
            <w:r w:rsidR="00F00AF1" w:rsidRPr="00506A4C">
              <w:rPr>
                <w:rFonts w:ascii="Cambria" w:hAnsi="Cambria"/>
              </w:rPr>
              <w:t xml:space="preserve">heories of secondary liability are </w:t>
            </w:r>
            <w:r w:rsidR="001469EC">
              <w:rPr>
                <w:rFonts w:ascii="Cambria" w:hAnsi="Cambria"/>
              </w:rPr>
              <w:t xml:space="preserve">also </w:t>
            </w:r>
            <w:r w:rsidR="00F00AF1" w:rsidRPr="00506A4C">
              <w:rPr>
                <w:rFonts w:ascii="Cambria" w:hAnsi="Cambria"/>
              </w:rPr>
              <w:t>potentially relevant to the allocation of legal liability among members of group business enterprises.  See fur</w:t>
            </w:r>
            <w:r w:rsidR="0099149C" w:rsidRPr="00506A4C">
              <w:rPr>
                <w:rFonts w:ascii="Cambria" w:hAnsi="Cambria"/>
              </w:rPr>
              <w:t>ther 2.1</w:t>
            </w:r>
            <w:r w:rsidR="001E34A8">
              <w:rPr>
                <w:rFonts w:ascii="Cambria" w:hAnsi="Cambria"/>
              </w:rPr>
              <w:t>-2.3</w:t>
            </w:r>
            <w:r w:rsidR="00F17FCB">
              <w:rPr>
                <w:rFonts w:ascii="Cambria" w:hAnsi="Cambria"/>
              </w:rPr>
              <w:t xml:space="preserve"> below.</w:t>
            </w:r>
          </w:p>
          <w:p w:rsidR="0006191C" w:rsidRDefault="007D707B" w:rsidP="00912032">
            <w:pPr>
              <w:pStyle w:val="SingleTxtG"/>
              <w:ind w:left="0" w:right="0"/>
              <w:rPr>
                <w:rFonts w:ascii="Cambria" w:hAnsi="Cambria"/>
              </w:rPr>
            </w:pPr>
            <w:r w:rsidRPr="00F279FC">
              <w:rPr>
                <w:rFonts w:ascii="Cambria" w:hAnsi="Cambria"/>
                <w:b/>
                <w:i/>
              </w:rPr>
              <w:t xml:space="preserve">Note: In practice, domestic public law regimes do not use one or other approach exclusively.  Instead, different </w:t>
            </w:r>
            <w:r w:rsidR="005967AB">
              <w:rPr>
                <w:rFonts w:ascii="Cambria" w:hAnsi="Cambria"/>
                <w:b/>
                <w:i/>
              </w:rPr>
              <w:t>methods</w:t>
            </w:r>
            <w:r w:rsidRPr="0087408A">
              <w:rPr>
                <w:rFonts w:ascii="Cambria" w:hAnsi="Cambria"/>
                <w:b/>
                <w:i/>
              </w:rPr>
              <w:t xml:space="preserve"> may be used in combination, or in the alternative, depending on the relevant policy objectives and regulatory needs.</w:t>
            </w:r>
          </w:p>
          <w:p w:rsidR="0006191C" w:rsidRDefault="0006191C">
            <w:pPr>
              <w:pStyle w:val="SingleTxtG"/>
              <w:ind w:left="0" w:right="0"/>
              <w:rPr>
                <w:rFonts w:ascii="Cambria" w:hAnsi="Cambria"/>
              </w:rPr>
            </w:pPr>
          </w:p>
        </w:tc>
      </w:tr>
    </w:tbl>
    <w:p w:rsidR="00C42471" w:rsidRPr="008B11B2" w:rsidRDefault="00C42471"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1.6</w:t>
      </w:r>
      <w:r w:rsidRPr="008B11B2">
        <w:rPr>
          <w:rFonts w:ascii="Cambria" w:hAnsi="Cambria"/>
          <w:b/>
          <w:sz w:val="22"/>
          <w:szCs w:val="22"/>
        </w:rPr>
        <w:tab/>
        <w:t xml:space="preserve">Domestic public law regimes communicate clearly the standards of management and supervision expected of business enterprises with respect to the identification, prevention and mitigation of any human rights impacts within their supply chains that a </w:t>
      </w:r>
      <w:r w:rsidRPr="008B11B2">
        <w:rPr>
          <w:rFonts w:ascii="Cambria" w:hAnsi="Cambria"/>
          <w:b/>
          <w:sz w:val="22"/>
          <w:szCs w:val="22"/>
        </w:rPr>
        <w:lastRenderedPageBreak/>
        <w:t>business enterprise may cause or contribute to as a result of its policies practices or operations.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8F39A3">
              <w:rPr>
                <w:rFonts w:ascii="Cambria" w:hAnsi="Cambria"/>
                <w:b/>
                <w:sz w:val="22"/>
                <w:szCs w:val="22"/>
              </w:rPr>
              <w:t>s</w:t>
            </w:r>
            <w:r>
              <w:rPr>
                <w:rFonts w:ascii="Cambria" w:hAnsi="Cambria"/>
                <w:b/>
                <w:sz w:val="22"/>
                <w:szCs w:val="22"/>
              </w:rPr>
              <w:t>: 1.6</w:t>
            </w:r>
          </w:p>
          <w:p w:rsidR="00B952E6" w:rsidRDefault="00917B5B" w:rsidP="00EB575A">
            <w:pPr>
              <w:pStyle w:val="SingleTxtG"/>
              <w:ind w:left="0" w:right="0"/>
              <w:rPr>
                <w:rFonts w:ascii="Cambria" w:hAnsi="Cambria"/>
              </w:rPr>
            </w:pPr>
            <w:r>
              <w:t xml:space="preserve">A. </w:t>
            </w:r>
            <w:r w:rsidR="00534473">
              <w:t>Ways</w:t>
            </w:r>
            <w:r w:rsidR="00B952E6">
              <w:t xml:space="preserve"> to </w:t>
            </w:r>
            <w:r w:rsidR="00B952E6" w:rsidRPr="00B952E6">
              <w:rPr>
                <w:rFonts w:ascii="Cambria" w:hAnsi="Cambria"/>
              </w:rPr>
              <w:t xml:space="preserve">communicate </w:t>
            </w:r>
            <w:r w:rsidR="008B5A17">
              <w:rPr>
                <w:rFonts w:ascii="Cambria" w:hAnsi="Cambria"/>
              </w:rPr>
              <w:t>t</w:t>
            </w:r>
            <w:r w:rsidR="00B952E6" w:rsidRPr="00B952E6">
              <w:rPr>
                <w:rFonts w:ascii="Cambria" w:hAnsi="Cambria"/>
              </w:rPr>
              <w:t>he standards of management and supervision expected of business enterprises with respect to the identification, prevention and mitigation of any human rights impacts within their supply chains</w:t>
            </w:r>
            <w:r w:rsidR="00912032">
              <w:rPr>
                <w:rFonts w:ascii="Cambria" w:hAnsi="Cambria"/>
              </w:rPr>
              <w:t xml:space="preserve"> include;</w:t>
            </w:r>
          </w:p>
          <w:p w:rsidR="00B952E6" w:rsidRPr="001469EC" w:rsidRDefault="00912032" w:rsidP="00E623C2">
            <w:pPr>
              <w:pStyle w:val="SingleTxtG"/>
              <w:numPr>
                <w:ilvl w:val="0"/>
                <w:numId w:val="6"/>
              </w:numPr>
              <w:ind w:right="0"/>
              <w:rPr>
                <w:rFonts w:ascii="Cambria" w:hAnsi="Cambria"/>
              </w:rPr>
            </w:pPr>
            <w:proofErr w:type="gramStart"/>
            <w:r>
              <w:rPr>
                <w:rFonts w:ascii="Cambria" w:hAnsi="Cambria" w:cs="Arial"/>
              </w:rPr>
              <w:t>s</w:t>
            </w:r>
            <w:r w:rsidR="00B952E6">
              <w:rPr>
                <w:rFonts w:ascii="Cambria" w:hAnsi="Cambria" w:cs="Arial"/>
              </w:rPr>
              <w:t>tatutory</w:t>
            </w:r>
            <w:proofErr w:type="gramEnd"/>
            <w:r w:rsidR="00B952E6">
              <w:rPr>
                <w:rFonts w:ascii="Cambria" w:hAnsi="Cambria" w:cs="Arial"/>
              </w:rPr>
              <w:t xml:space="preserve"> duties of care which</w:t>
            </w:r>
            <w:r w:rsidR="00B952E6" w:rsidRPr="00506A4C">
              <w:rPr>
                <w:rFonts w:ascii="Cambria" w:hAnsi="Cambria" w:cs="Arial"/>
              </w:rPr>
              <w:t xml:space="preserve"> clarify the nature and extent of the management and supervisory </w:t>
            </w:r>
            <w:r w:rsidR="00B952E6" w:rsidRPr="00506A4C">
              <w:rPr>
                <w:rFonts w:ascii="Cambria" w:hAnsi="Cambria"/>
              </w:rPr>
              <w:t>responsibilities</w:t>
            </w:r>
            <w:r w:rsidR="00B952E6" w:rsidRPr="00506A4C">
              <w:rPr>
                <w:rFonts w:ascii="Cambria" w:hAnsi="Cambria" w:cs="Arial"/>
              </w:rPr>
              <w:t xml:space="preserve"> of companies and their management</w:t>
            </w:r>
            <w:r w:rsidR="00B952E6">
              <w:rPr>
                <w:rFonts w:ascii="Cambria" w:hAnsi="Cambria" w:cs="Arial"/>
              </w:rPr>
              <w:t xml:space="preserve"> in specific business contexts</w:t>
            </w:r>
            <w:r w:rsidR="00B952E6" w:rsidRPr="00506A4C">
              <w:rPr>
                <w:rFonts w:ascii="Cambria" w:hAnsi="Cambria" w:cs="Arial"/>
              </w:rPr>
              <w:t>.</w:t>
            </w:r>
          </w:p>
          <w:p w:rsidR="00B952E6" w:rsidRPr="001469EC" w:rsidRDefault="00912032" w:rsidP="00E623C2">
            <w:pPr>
              <w:pStyle w:val="SingleTxtG"/>
              <w:numPr>
                <w:ilvl w:val="0"/>
                <w:numId w:val="6"/>
              </w:numPr>
              <w:ind w:right="0"/>
              <w:rPr>
                <w:rFonts w:ascii="Cambria" w:hAnsi="Cambria"/>
              </w:rPr>
            </w:pPr>
            <w:proofErr w:type="gramStart"/>
            <w:r>
              <w:rPr>
                <w:rFonts w:ascii="Cambria" w:hAnsi="Cambria"/>
              </w:rPr>
              <w:t>l</w:t>
            </w:r>
            <w:r w:rsidR="00B952E6" w:rsidRPr="001469EC">
              <w:rPr>
                <w:rFonts w:ascii="Cambria" w:hAnsi="Cambria"/>
              </w:rPr>
              <w:t>egislative</w:t>
            </w:r>
            <w:proofErr w:type="gramEnd"/>
            <w:r w:rsidR="00B952E6" w:rsidRPr="001469EC">
              <w:rPr>
                <w:rFonts w:ascii="Cambria" w:hAnsi="Cambria"/>
              </w:rPr>
              <w:t xml:space="preserve"> provisions regarding the extent to which companies may be liable for the act</w:t>
            </w:r>
            <w:r w:rsidR="00B952E6">
              <w:rPr>
                <w:rFonts w:ascii="Cambria" w:hAnsi="Cambria"/>
              </w:rPr>
              <w:t>s</w:t>
            </w:r>
            <w:r w:rsidR="00B952E6" w:rsidRPr="001469EC">
              <w:rPr>
                <w:rFonts w:ascii="Cambria" w:hAnsi="Cambria"/>
              </w:rPr>
              <w:t xml:space="preserve"> or omissions of </w:t>
            </w:r>
            <w:r w:rsidR="008B5A17">
              <w:rPr>
                <w:rFonts w:ascii="Cambria" w:hAnsi="Cambria"/>
              </w:rPr>
              <w:t xml:space="preserve">suppliers and/or </w:t>
            </w:r>
            <w:r w:rsidR="00B952E6" w:rsidRPr="001469EC">
              <w:rPr>
                <w:rFonts w:ascii="Cambria" w:hAnsi="Cambria"/>
              </w:rPr>
              <w:t xml:space="preserve">contractors </w:t>
            </w:r>
            <w:r w:rsidR="00B952E6">
              <w:rPr>
                <w:rFonts w:ascii="Cambria" w:hAnsi="Cambria"/>
              </w:rPr>
              <w:t>(</w:t>
            </w:r>
            <w:r w:rsidR="00B952E6" w:rsidRPr="001469EC">
              <w:rPr>
                <w:rFonts w:ascii="Cambria" w:hAnsi="Cambria"/>
              </w:rPr>
              <w:t xml:space="preserve">e.g. where instructions to </w:t>
            </w:r>
            <w:r>
              <w:rPr>
                <w:rFonts w:ascii="Cambria" w:hAnsi="Cambria"/>
              </w:rPr>
              <w:t xml:space="preserve">a </w:t>
            </w:r>
            <w:r w:rsidR="00B952E6" w:rsidRPr="001469EC">
              <w:rPr>
                <w:rFonts w:ascii="Cambria" w:hAnsi="Cambria"/>
              </w:rPr>
              <w:t>contractor were not sufficiently clear, or where supervisory arrangements were not sufficiently robust</w:t>
            </w:r>
            <w:r w:rsidR="00B952E6">
              <w:rPr>
                <w:rFonts w:ascii="Cambria" w:hAnsi="Cambria"/>
              </w:rPr>
              <w:t xml:space="preserve">).  </w:t>
            </w:r>
            <w:r w:rsidR="00DD7E43" w:rsidRPr="00DD7E43">
              <w:rPr>
                <w:rFonts w:ascii="Cambria" w:hAnsi="Cambria"/>
                <w:b/>
              </w:rPr>
              <w:t>Note:</w:t>
            </w:r>
            <w:r w:rsidR="00534473">
              <w:rPr>
                <w:rFonts w:ascii="Cambria" w:hAnsi="Cambria"/>
              </w:rPr>
              <w:t xml:space="preserve"> </w:t>
            </w:r>
            <w:r w:rsidR="00B952E6">
              <w:rPr>
                <w:rFonts w:ascii="Cambria" w:hAnsi="Cambria"/>
              </w:rPr>
              <w:t>On the relevance of human rights due diligence as a possible defence to corporate legal liability, see further 3.1 below.</w:t>
            </w:r>
          </w:p>
          <w:p w:rsidR="00B952E6" w:rsidRDefault="00912032" w:rsidP="00E623C2">
            <w:pPr>
              <w:pStyle w:val="SingleTxtG"/>
              <w:numPr>
                <w:ilvl w:val="0"/>
                <w:numId w:val="6"/>
              </w:numPr>
              <w:ind w:right="0"/>
              <w:rPr>
                <w:rFonts w:ascii="Cambria" w:hAnsi="Cambria"/>
              </w:rPr>
            </w:pPr>
            <w:proofErr w:type="gramStart"/>
            <w:r>
              <w:rPr>
                <w:rFonts w:ascii="Cambria" w:hAnsi="Cambria"/>
              </w:rPr>
              <w:t>f</w:t>
            </w:r>
            <w:r w:rsidR="00B952E6">
              <w:rPr>
                <w:rFonts w:ascii="Cambria" w:hAnsi="Cambria"/>
              </w:rPr>
              <w:t>or</w:t>
            </w:r>
            <w:proofErr w:type="gramEnd"/>
            <w:r w:rsidR="00B952E6">
              <w:rPr>
                <w:rFonts w:ascii="Cambria" w:hAnsi="Cambria"/>
              </w:rPr>
              <w:t xml:space="preserve"> business activities that require a licence, inclusion of provisions as to the licensee’s managerial responsibilities (including responsibilities for activities that are “contracted out”) as express licence terms.</w:t>
            </w:r>
          </w:p>
          <w:p w:rsidR="00B952E6" w:rsidRDefault="00912032" w:rsidP="00E623C2">
            <w:pPr>
              <w:pStyle w:val="SingleTxtG"/>
              <w:numPr>
                <w:ilvl w:val="0"/>
                <w:numId w:val="6"/>
              </w:numPr>
              <w:ind w:right="0"/>
              <w:rPr>
                <w:rFonts w:ascii="Cambria" w:hAnsi="Cambria"/>
              </w:rPr>
            </w:pPr>
            <w:r>
              <w:rPr>
                <w:rFonts w:ascii="Cambria" w:hAnsi="Cambria"/>
              </w:rPr>
              <w:t>f</w:t>
            </w:r>
            <w:r w:rsidR="00B952E6">
              <w:rPr>
                <w:rFonts w:ascii="Cambria" w:hAnsi="Cambria"/>
              </w:rPr>
              <w:t>or business activities that require a licence, inclusion of provisions regarding the submission and maintenance of suitable risk management plans as a pre-condition for grant of a licence, compliance with which then becomes either a statutory requirement or is i</w:t>
            </w:r>
            <w:r w:rsidR="00AB0829">
              <w:rPr>
                <w:rFonts w:ascii="Cambria" w:hAnsi="Cambria"/>
              </w:rPr>
              <w:t xml:space="preserve">ncorporated into licence terms </w:t>
            </w:r>
            <w:r w:rsidR="00B952E6">
              <w:rPr>
                <w:rFonts w:ascii="Cambria" w:hAnsi="Cambria"/>
              </w:rPr>
              <w:t>.</w:t>
            </w:r>
          </w:p>
          <w:p w:rsidR="00B952E6" w:rsidRPr="00506A4C" w:rsidRDefault="00912032" w:rsidP="00E623C2">
            <w:pPr>
              <w:pStyle w:val="SingleTxtG"/>
              <w:numPr>
                <w:ilvl w:val="0"/>
                <w:numId w:val="6"/>
              </w:numPr>
              <w:ind w:right="0"/>
              <w:rPr>
                <w:rFonts w:ascii="Cambria" w:hAnsi="Cambria"/>
              </w:rPr>
            </w:pPr>
            <w:r>
              <w:rPr>
                <w:rFonts w:ascii="Cambria" w:hAnsi="Cambria"/>
              </w:rPr>
              <w:t>i</w:t>
            </w:r>
            <w:r w:rsidR="00B952E6">
              <w:rPr>
                <w:rFonts w:ascii="Cambria" w:hAnsi="Cambria"/>
              </w:rPr>
              <w:t>nclusion of requirements in domestic public law regimes to publicly report on measures taken to identify, prevent and mitigate social, environmental and human rights risks within supply chains.</w:t>
            </w:r>
          </w:p>
          <w:p w:rsidR="0006191C" w:rsidRDefault="00DD7E43" w:rsidP="00912032">
            <w:pPr>
              <w:pStyle w:val="SingleTxtG"/>
              <w:ind w:left="0" w:right="0"/>
              <w:rPr>
                <w:rFonts w:ascii="Cambria" w:hAnsi="Cambria"/>
              </w:rPr>
            </w:pPr>
            <w:r w:rsidRPr="00DD7E43">
              <w:rPr>
                <w:rFonts w:ascii="Cambria" w:hAnsi="Cambria"/>
                <w:b/>
              </w:rPr>
              <w:t>Note:</w:t>
            </w:r>
            <w:r w:rsidR="00534473">
              <w:rPr>
                <w:rFonts w:ascii="Cambria" w:hAnsi="Cambria"/>
              </w:rPr>
              <w:t xml:space="preserve"> </w:t>
            </w:r>
            <w:r w:rsidR="00912032">
              <w:rPr>
                <w:rFonts w:ascii="Cambria" w:hAnsi="Cambria"/>
              </w:rPr>
              <w:t>T</w:t>
            </w:r>
            <w:r w:rsidR="00B952E6" w:rsidRPr="00506A4C">
              <w:rPr>
                <w:rFonts w:ascii="Cambria" w:hAnsi="Cambria"/>
              </w:rPr>
              <w:t xml:space="preserve">heories of secondary liability are </w:t>
            </w:r>
            <w:r w:rsidR="00B952E6">
              <w:rPr>
                <w:rFonts w:ascii="Cambria" w:hAnsi="Cambria"/>
              </w:rPr>
              <w:t xml:space="preserve">also </w:t>
            </w:r>
            <w:r w:rsidR="00B952E6" w:rsidRPr="00506A4C">
              <w:rPr>
                <w:rFonts w:ascii="Cambria" w:hAnsi="Cambria"/>
              </w:rPr>
              <w:t>potentially relevant to the</w:t>
            </w:r>
            <w:r w:rsidR="00B952E6">
              <w:rPr>
                <w:rFonts w:ascii="Cambria" w:hAnsi="Cambria"/>
              </w:rPr>
              <w:t xml:space="preserve"> liability of business enterprises for human rights abuses taking place within a supply chain</w:t>
            </w:r>
            <w:r w:rsidR="00B952E6" w:rsidRPr="00506A4C">
              <w:rPr>
                <w:rFonts w:ascii="Cambria" w:hAnsi="Cambria"/>
              </w:rPr>
              <w:t>.  See further 2.1</w:t>
            </w:r>
            <w:r w:rsidR="00B952E6">
              <w:rPr>
                <w:rFonts w:ascii="Cambria" w:hAnsi="Cambria"/>
              </w:rPr>
              <w:t xml:space="preserve"> below</w:t>
            </w:r>
          </w:p>
          <w:p w:rsidR="0006191C" w:rsidRPr="00912032" w:rsidRDefault="005967AB" w:rsidP="00912032">
            <w:pPr>
              <w:pStyle w:val="SingleTxtG"/>
              <w:ind w:left="0" w:right="0"/>
              <w:rPr>
                <w:rFonts w:ascii="Cambria" w:hAnsi="Cambria"/>
                <w:b/>
                <w:i/>
              </w:rPr>
            </w:pPr>
            <w:r w:rsidRPr="00F279FC">
              <w:rPr>
                <w:rFonts w:ascii="Cambria" w:hAnsi="Cambria"/>
                <w:b/>
                <w:i/>
              </w:rPr>
              <w:t>Note: In practice, domestic public law regimes do not use one or other approach exclusively</w:t>
            </w:r>
            <w:r>
              <w:rPr>
                <w:rFonts w:ascii="Cambria" w:hAnsi="Cambria"/>
                <w:b/>
                <w:i/>
              </w:rPr>
              <w:t>.  Instead, different methods</w:t>
            </w:r>
            <w:r w:rsidRPr="0087408A">
              <w:rPr>
                <w:rFonts w:ascii="Cambria" w:hAnsi="Cambria"/>
                <w:b/>
                <w:i/>
              </w:rPr>
              <w:t xml:space="preserve"> may be used in combination, or in the alternative, depending on the relevant policy objectives and regulatory needs.</w:t>
            </w:r>
          </w:p>
        </w:tc>
      </w:tr>
    </w:tbl>
    <w:p w:rsidR="00C42471" w:rsidRPr="008B11B2" w:rsidRDefault="00C4247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w:t>
      </w:r>
      <w:r w:rsidRPr="008B11B2">
        <w:rPr>
          <w:rFonts w:ascii="Cambria" w:hAnsi="Cambria"/>
          <w:b/>
          <w:sz w:val="22"/>
          <w:szCs w:val="22"/>
        </w:rPr>
        <w:tab/>
        <w:t>In the distribution of evidential burdens of proof between an enforcement agency and a defendant company, domestic public law regimes strike an appropriate balance between considerations of access to remedy and fairness to all parties.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8B5A17">
              <w:rPr>
                <w:rFonts w:ascii="Cambria" w:hAnsi="Cambria"/>
                <w:b/>
                <w:sz w:val="22"/>
                <w:szCs w:val="22"/>
              </w:rPr>
              <w:t>s</w:t>
            </w:r>
            <w:r>
              <w:rPr>
                <w:rFonts w:ascii="Cambria" w:hAnsi="Cambria"/>
                <w:b/>
                <w:sz w:val="22"/>
                <w:szCs w:val="22"/>
              </w:rPr>
              <w:t>: 1.7</w:t>
            </w:r>
          </w:p>
          <w:p w:rsidR="005967AB" w:rsidRDefault="00917B5B" w:rsidP="00136F34">
            <w:pPr>
              <w:pStyle w:val="SingleTxtG"/>
              <w:ind w:left="0" w:right="0"/>
              <w:rPr>
                <w:rFonts w:ascii="Cambria" w:hAnsi="Cambria" w:cs="Arial"/>
              </w:rPr>
            </w:pPr>
            <w:r>
              <w:rPr>
                <w:rFonts w:ascii="Cambria" w:hAnsi="Cambria" w:cs="Arial"/>
              </w:rPr>
              <w:t xml:space="preserve">A. </w:t>
            </w:r>
            <w:r w:rsidR="005967AB">
              <w:rPr>
                <w:rFonts w:ascii="Cambria" w:hAnsi="Cambria" w:cs="Arial"/>
              </w:rPr>
              <w:t>Ways to strike an appropriate balance between considerations of access to rem</w:t>
            </w:r>
            <w:r w:rsidR="00912032">
              <w:rPr>
                <w:rFonts w:ascii="Cambria" w:hAnsi="Cambria" w:cs="Arial"/>
              </w:rPr>
              <w:t>edy and fairness to all parties;</w:t>
            </w:r>
          </w:p>
          <w:p w:rsidR="0006191C" w:rsidRDefault="005967AB">
            <w:pPr>
              <w:pStyle w:val="SingleTxtG"/>
              <w:numPr>
                <w:ilvl w:val="0"/>
                <w:numId w:val="47"/>
              </w:numPr>
              <w:ind w:right="0"/>
              <w:rPr>
                <w:rFonts w:ascii="Cambria" w:hAnsi="Cambria" w:cs="Arial"/>
              </w:rPr>
            </w:pPr>
            <w:r>
              <w:rPr>
                <w:rFonts w:ascii="Cambria" w:hAnsi="Cambria" w:cs="Arial"/>
              </w:rPr>
              <w:t xml:space="preserve">adjustments to standards of proof for certain types of offences,  For instance, </w:t>
            </w:r>
            <w:r w:rsidR="00AB0829">
              <w:rPr>
                <w:rFonts w:ascii="Cambria" w:hAnsi="Cambria" w:cs="Arial"/>
              </w:rPr>
              <w:t>w</w:t>
            </w:r>
            <w:r>
              <w:rPr>
                <w:rFonts w:ascii="Cambria" w:hAnsi="Cambria" w:cs="Arial"/>
              </w:rPr>
              <w:t>hereas i</w:t>
            </w:r>
            <w:r w:rsidR="0031766A">
              <w:rPr>
                <w:rFonts w:ascii="Cambria" w:hAnsi="Cambria" w:cs="Arial"/>
              </w:rPr>
              <w:t xml:space="preserve">n criminal cases, </w:t>
            </w:r>
            <w:r>
              <w:rPr>
                <w:rFonts w:ascii="Cambria" w:hAnsi="Cambria" w:cs="Arial"/>
              </w:rPr>
              <w:t xml:space="preserve">the standard of proof </w:t>
            </w:r>
            <w:r w:rsidR="0031766A">
              <w:rPr>
                <w:rFonts w:ascii="Cambria" w:hAnsi="Cambria" w:cs="Arial"/>
              </w:rPr>
              <w:t>is likely to be an onerous one (e.g. “beyond reasonable doubt”) to protect the rights of the defendant</w:t>
            </w:r>
            <w:r>
              <w:rPr>
                <w:rFonts w:ascii="Cambria" w:hAnsi="Cambria" w:cs="Arial"/>
              </w:rPr>
              <w:t>,</w:t>
            </w:r>
            <w:r w:rsidR="0031766A">
              <w:rPr>
                <w:rFonts w:ascii="Cambria" w:hAnsi="Cambria" w:cs="Arial"/>
              </w:rPr>
              <w:t xml:space="preserve"> in </w:t>
            </w:r>
            <w:r w:rsidR="006D0353">
              <w:rPr>
                <w:rFonts w:ascii="Cambria" w:hAnsi="Cambria" w:cs="Arial"/>
              </w:rPr>
              <w:t xml:space="preserve">the case of </w:t>
            </w:r>
            <w:r w:rsidR="0031766A">
              <w:rPr>
                <w:rFonts w:ascii="Cambria" w:hAnsi="Cambria" w:cs="Arial"/>
              </w:rPr>
              <w:t xml:space="preserve">quasi-criminal, administrative or regulatory </w:t>
            </w:r>
            <w:r w:rsidR="006D0353">
              <w:rPr>
                <w:rFonts w:ascii="Cambria" w:hAnsi="Cambria" w:cs="Arial"/>
              </w:rPr>
              <w:t>offences,</w:t>
            </w:r>
            <w:r w:rsidR="0031766A">
              <w:rPr>
                <w:rFonts w:ascii="Cambria" w:hAnsi="Cambria" w:cs="Arial"/>
              </w:rPr>
              <w:t xml:space="preserve"> the burden of proof may be a lesser one (e.g</w:t>
            </w:r>
            <w:r w:rsidR="00912032">
              <w:rPr>
                <w:rFonts w:ascii="Cambria" w:hAnsi="Cambria" w:cs="Arial"/>
              </w:rPr>
              <w:t>. “balance of probabilities”);</w:t>
            </w:r>
          </w:p>
          <w:p w:rsidR="0048676E" w:rsidRPr="00917B5B" w:rsidRDefault="005967AB" w:rsidP="00917B5B">
            <w:pPr>
              <w:pStyle w:val="SingleTxtG"/>
              <w:numPr>
                <w:ilvl w:val="0"/>
                <w:numId w:val="47"/>
              </w:numPr>
              <w:ind w:right="0"/>
              <w:rPr>
                <w:rFonts w:ascii="Cambria" w:hAnsi="Cambria" w:cs="Arial"/>
              </w:rPr>
            </w:pPr>
            <w:proofErr w:type="gramStart"/>
            <w:r w:rsidRPr="00917B5B">
              <w:rPr>
                <w:rFonts w:ascii="Cambria" w:hAnsi="Cambria" w:cs="Arial"/>
              </w:rPr>
              <w:t>adjustm</w:t>
            </w:r>
            <w:r w:rsidR="00DD7E43" w:rsidRPr="00917B5B">
              <w:rPr>
                <w:rFonts w:ascii="Cambria" w:hAnsi="Cambria" w:cs="Arial"/>
              </w:rPr>
              <w:t>ents</w:t>
            </w:r>
            <w:proofErr w:type="gramEnd"/>
            <w:r w:rsidR="00DD7E43" w:rsidRPr="00917B5B">
              <w:rPr>
                <w:rFonts w:ascii="Cambria" w:hAnsi="Cambria" w:cs="Arial"/>
              </w:rPr>
              <w:t xml:space="preserve"> to burdens of proof for certain types of offences or in certain cases.  For instance, </w:t>
            </w:r>
            <w:r w:rsidRPr="00917B5B">
              <w:rPr>
                <w:rFonts w:ascii="Cambria" w:hAnsi="Cambria" w:cs="Arial"/>
              </w:rPr>
              <w:t>s</w:t>
            </w:r>
            <w:r w:rsidR="00C700E4" w:rsidRPr="00917B5B">
              <w:rPr>
                <w:rFonts w:ascii="Cambria" w:hAnsi="Cambria" w:cs="Arial"/>
              </w:rPr>
              <w:t xml:space="preserve">ome </w:t>
            </w:r>
            <w:r w:rsidR="0031766A" w:rsidRPr="00917B5B">
              <w:rPr>
                <w:rFonts w:ascii="Cambria" w:hAnsi="Cambria" w:cs="Arial"/>
              </w:rPr>
              <w:t xml:space="preserve">domestic </w:t>
            </w:r>
            <w:r w:rsidR="00033D9C" w:rsidRPr="00917B5B">
              <w:rPr>
                <w:rFonts w:ascii="Cambria" w:hAnsi="Cambria" w:cs="Arial"/>
              </w:rPr>
              <w:t xml:space="preserve">public </w:t>
            </w:r>
            <w:r w:rsidR="0031766A" w:rsidRPr="00917B5B">
              <w:rPr>
                <w:rFonts w:ascii="Cambria" w:hAnsi="Cambria" w:cs="Arial"/>
              </w:rPr>
              <w:t>law regimes</w:t>
            </w:r>
            <w:r w:rsidR="00C700E4" w:rsidRPr="00917B5B">
              <w:rPr>
                <w:rFonts w:ascii="Cambria" w:hAnsi="Cambria" w:cs="Arial"/>
              </w:rPr>
              <w:t xml:space="preserve"> dispense with the need for enforcement agencies to prove matters such as intent and/or causation, or reverse traditional burdens of proof such that, instead of enforcement agencies needing to prove all elements of a public law offence, the onus is placed on the defendant company to prove that it was not responsible for </w:t>
            </w:r>
            <w:r w:rsidR="00B64967" w:rsidRPr="00917B5B">
              <w:rPr>
                <w:rFonts w:ascii="Cambria" w:hAnsi="Cambria" w:cs="Arial"/>
              </w:rPr>
              <w:t>the occurrence of a harmful event</w:t>
            </w:r>
            <w:r w:rsidR="00C700E4" w:rsidRPr="00917B5B">
              <w:rPr>
                <w:rFonts w:ascii="Cambria" w:hAnsi="Cambria" w:cs="Arial"/>
              </w:rPr>
              <w:t>, and/or should not be held accountable in the circumstances.  These types of offences are often referred to as offences of “st</w:t>
            </w:r>
            <w:r w:rsidR="00136F34" w:rsidRPr="00917B5B">
              <w:rPr>
                <w:rFonts w:ascii="Cambria" w:hAnsi="Cambria" w:cs="Arial"/>
              </w:rPr>
              <w:t>rict” or “absolute” liability</w:t>
            </w:r>
            <w:r w:rsidR="0031766A" w:rsidRPr="00917B5B">
              <w:rPr>
                <w:rFonts w:ascii="Cambria" w:hAnsi="Cambria" w:cs="Arial"/>
              </w:rPr>
              <w:t>.  (</w:t>
            </w:r>
            <w:r w:rsidR="00C700E4" w:rsidRPr="00917B5B">
              <w:rPr>
                <w:rFonts w:ascii="Cambria" w:hAnsi="Cambria" w:cs="Arial"/>
              </w:rPr>
              <w:t>S</w:t>
            </w:r>
            <w:r w:rsidR="00136F34" w:rsidRPr="00917B5B">
              <w:rPr>
                <w:rFonts w:ascii="Cambria" w:hAnsi="Cambria" w:cs="Arial"/>
              </w:rPr>
              <w:t>ee further A/HRC/32/19/Add.1, Box 1</w:t>
            </w:r>
            <w:r w:rsidR="0031766A" w:rsidRPr="00917B5B">
              <w:rPr>
                <w:rFonts w:ascii="Cambria" w:hAnsi="Cambria" w:cs="Arial"/>
              </w:rPr>
              <w:t>)</w:t>
            </w:r>
            <w:r w:rsidR="00136F34" w:rsidRPr="00917B5B">
              <w:rPr>
                <w:rFonts w:ascii="Cambria" w:hAnsi="Cambria" w:cs="Arial"/>
              </w:rPr>
              <w:t>.</w:t>
            </w:r>
          </w:p>
        </w:tc>
      </w:tr>
    </w:tbl>
    <w:p w:rsidR="00C42471" w:rsidRPr="008B11B2" w:rsidRDefault="00C42471" w:rsidP="00C42471">
      <w:pPr>
        <w:pStyle w:val="SingleTxtG"/>
        <w:ind w:left="0" w:right="0"/>
        <w:rPr>
          <w:rFonts w:ascii="Cambria" w:hAnsi="Cambria"/>
          <w:b/>
          <w:sz w:val="22"/>
          <w:szCs w:val="22"/>
        </w:rPr>
      </w:pPr>
    </w:p>
    <w:p w:rsidR="00912032" w:rsidRDefault="00912032">
      <w:pPr>
        <w:rPr>
          <w:rFonts w:ascii="Cambria" w:eastAsia="Times New Roman" w:hAnsi="Cambria" w:cs="Times New Roman"/>
          <w:b/>
          <w:sz w:val="22"/>
          <w:szCs w:val="22"/>
          <w:lang w:val="en-GB"/>
        </w:rPr>
      </w:pPr>
      <w:r>
        <w:rPr>
          <w:rFonts w:ascii="Cambria" w:hAnsi="Cambria"/>
          <w:b/>
          <w:sz w:val="22"/>
          <w:szCs w:val="22"/>
        </w:rPr>
        <w:br w:type="page"/>
      </w:r>
    </w:p>
    <w:p w:rsidR="00C42471" w:rsidRPr="008B11B2" w:rsidRDefault="008B11B2" w:rsidP="005967AB">
      <w:pPr>
        <w:pStyle w:val="SingleTxtG"/>
        <w:ind w:left="0" w:right="0"/>
        <w:rPr>
          <w:rFonts w:ascii="Cambria" w:hAnsi="Cambria"/>
          <w:b/>
          <w:sz w:val="22"/>
          <w:szCs w:val="22"/>
        </w:rPr>
      </w:pPr>
      <w:r w:rsidRPr="008B11B2">
        <w:rPr>
          <w:rFonts w:ascii="Cambria" w:hAnsi="Cambria"/>
          <w:b/>
          <w:sz w:val="22"/>
          <w:szCs w:val="22"/>
        </w:rPr>
        <w:lastRenderedPageBreak/>
        <w:t>1.8</w:t>
      </w:r>
      <w:r w:rsidRPr="008B11B2">
        <w:rPr>
          <w:rFonts w:ascii="Cambria" w:hAnsi="Cambria"/>
          <w:b/>
          <w:sz w:val="22"/>
          <w:szCs w:val="22"/>
        </w:rPr>
        <w:tab/>
        <w:t>Domestic public law regimes are clear as to their geographic scope.</w:t>
      </w:r>
      <w:r w:rsidR="005967AB" w:rsidDel="005967AB">
        <w:rPr>
          <w:rFonts w:ascii="Cambria" w:hAnsi="Cambria"/>
          <w:b/>
          <w:sz w:val="22"/>
          <w:szCs w:val="22"/>
        </w:rPr>
        <w:t xml:space="preserve"> </w:t>
      </w: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1.9</w:t>
      </w:r>
      <w:r w:rsidRPr="008B11B2">
        <w:rPr>
          <w:rFonts w:ascii="Cambria" w:hAnsi="Cambria"/>
          <w:b/>
          <w:sz w:val="22"/>
          <w:szCs w:val="22"/>
        </w:rPr>
        <w:tab/>
        <w:t>The State regularly reviews whether its domestic public law regimes provide the necessary coverage and the appropriate range of approaches with respect to business-related human rights impacts in the light of evolving circumstances and the State’s obligations under international human rights treaties and takes the necessary legislative and/or policy steps to correct any deficiencies in coverage or approach.</w:t>
      </w:r>
    </w:p>
    <w:p w:rsidR="00C42471" w:rsidRDefault="00C42471" w:rsidP="00C4247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 1.9</w:t>
            </w:r>
          </w:p>
          <w:p w:rsidR="00C42471" w:rsidRDefault="001A59B7" w:rsidP="001A59B7">
            <w:pPr>
              <w:pStyle w:val="SingleTxtG"/>
              <w:ind w:left="0" w:right="0"/>
              <w:rPr>
                <w:rFonts w:ascii="Cambria" w:hAnsi="Cambria"/>
                <w:b/>
                <w:sz w:val="22"/>
                <w:szCs w:val="22"/>
              </w:rPr>
            </w:pPr>
            <w:r>
              <w:rPr>
                <w:rFonts w:ascii="Cambria" w:hAnsi="Cambria"/>
                <w:sz w:val="22"/>
                <w:szCs w:val="22"/>
              </w:rPr>
              <w:t>See A/HRC/32/19/Add.1, pp. 5-6 for model terms of reference.</w:t>
            </w:r>
          </w:p>
        </w:tc>
      </w:tr>
    </w:tbl>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F00AF1">
            <w:pPr>
              <w:pStyle w:val="SingleTxtG"/>
              <w:ind w:left="0" w:right="0"/>
              <w:rPr>
                <w:rFonts w:ascii="Cambria" w:hAnsi="Cambria"/>
                <w:b/>
                <w:sz w:val="22"/>
                <w:szCs w:val="22"/>
              </w:rPr>
            </w:pPr>
            <w:r w:rsidRPr="008B11B2">
              <w:rPr>
                <w:rFonts w:ascii="Cambria" w:hAnsi="Cambria"/>
                <w:b/>
                <w:sz w:val="22"/>
                <w:szCs w:val="22"/>
              </w:rPr>
              <w:t>Policy objective 2: Domestic public law regimes are sufficiently robust to ensure that there is both effective deterrence from and remedy in the event of corporate contributions to business-related human rights abuses perpetrated by third parties.</w:t>
            </w:r>
          </w:p>
        </w:tc>
      </w:tr>
    </w:tbl>
    <w:p w:rsidR="008B11B2" w:rsidRDefault="008B11B2" w:rsidP="008B11B2">
      <w:pPr>
        <w:pStyle w:val="SingleTxtG"/>
        <w:ind w:left="0" w:right="0"/>
        <w:rPr>
          <w:rFonts w:ascii="Cambria" w:hAnsi="Cambria"/>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2.1</w:t>
      </w:r>
      <w:r w:rsidRPr="008B11B2">
        <w:rPr>
          <w:rFonts w:ascii="Cambria" w:hAnsi="Cambria"/>
          <w:b/>
          <w:sz w:val="22"/>
          <w:szCs w:val="22"/>
        </w:rPr>
        <w:tab/>
        <w:t>Domestic public law regimes (a) communicate clearly the different modes and degrees of contribution to harms perpetrated by a third party that will give rise to secondary legal liability; and (b) are clear about the extent to which the principles for assessing secondary liability are applicable to companies.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Pr="00F32E8D" w:rsidRDefault="00C42471" w:rsidP="004F60D5">
            <w:pPr>
              <w:pStyle w:val="SingleTxtG"/>
              <w:ind w:left="0" w:right="0"/>
              <w:rPr>
                <w:rFonts w:ascii="Cambria" w:hAnsi="Cambria"/>
                <w:b/>
              </w:rPr>
            </w:pPr>
            <w:r>
              <w:rPr>
                <w:rFonts w:ascii="Cambria" w:hAnsi="Cambria"/>
                <w:b/>
                <w:sz w:val="22"/>
                <w:szCs w:val="22"/>
              </w:rPr>
              <w:t>Illustrative example</w:t>
            </w:r>
            <w:r w:rsidR="00020509">
              <w:rPr>
                <w:rFonts w:ascii="Cambria" w:hAnsi="Cambria"/>
                <w:b/>
                <w:sz w:val="22"/>
                <w:szCs w:val="22"/>
              </w:rPr>
              <w:t>s</w:t>
            </w:r>
            <w:r>
              <w:rPr>
                <w:rFonts w:ascii="Cambria" w:hAnsi="Cambria"/>
                <w:b/>
                <w:sz w:val="22"/>
                <w:szCs w:val="22"/>
              </w:rPr>
              <w:t>: 2.1</w:t>
            </w:r>
          </w:p>
          <w:p w:rsidR="00E16CFA" w:rsidRDefault="00020509" w:rsidP="00F00AF1">
            <w:pPr>
              <w:pStyle w:val="SingleTxtG"/>
              <w:ind w:left="0" w:right="0"/>
              <w:rPr>
                <w:rFonts w:ascii="Cambria" w:hAnsi="Cambria"/>
              </w:rPr>
            </w:pPr>
            <w:r>
              <w:rPr>
                <w:rFonts w:ascii="Cambria" w:hAnsi="Cambria"/>
              </w:rPr>
              <w:t xml:space="preserve">A. </w:t>
            </w:r>
            <w:r w:rsidR="00E16CFA">
              <w:rPr>
                <w:rFonts w:ascii="Cambria" w:hAnsi="Cambria"/>
              </w:rPr>
              <w:t>Modes of contribution to harm that may give rise to corporate legal liability under domestic public law regimes on the basis of secondary (or “complicity”) liability</w:t>
            </w:r>
            <w:r w:rsidR="00402294">
              <w:rPr>
                <w:rFonts w:ascii="Cambria" w:hAnsi="Cambria"/>
              </w:rPr>
              <w:t xml:space="preserve"> include</w:t>
            </w:r>
            <w:r w:rsidR="00C15B8F">
              <w:rPr>
                <w:rFonts w:ascii="Cambria" w:hAnsi="Cambria"/>
              </w:rPr>
              <w:t>;</w:t>
            </w:r>
          </w:p>
          <w:p w:rsidR="00E16CFA" w:rsidRDefault="00E16CFA" w:rsidP="00E623C2">
            <w:pPr>
              <w:pStyle w:val="SingleTxtG"/>
              <w:numPr>
                <w:ilvl w:val="0"/>
                <w:numId w:val="8"/>
              </w:numPr>
              <w:ind w:right="0"/>
              <w:rPr>
                <w:rFonts w:ascii="Cambria" w:hAnsi="Cambria"/>
              </w:rPr>
            </w:pPr>
            <w:r>
              <w:rPr>
                <w:rFonts w:ascii="Cambria" w:hAnsi="Cambria"/>
              </w:rPr>
              <w:t>“aiding and abetting” an offence;</w:t>
            </w:r>
          </w:p>
          <w:p w:rsidR="00E16CFA" w:rsidRDefault="00E16CFA" w:rsidP="00E623C2">
            <w:pPr>
              <w:pStyle w:val="SingleTxtG"/>
              <w:numPr>
                <w:ilvl w:val="0"/>
                <w:numId w:val="8"/>
              </w:numPr>
              <w:ind w:right="0"/>
              <w:rPr>
                <w:rFonts w:ascii="Cambria" w:hAnsi="Cambria"/>
              </w:rPr>
            </w:pPr>
            <w:r>
              <w:rPr>
                <w:rFonts w:ascii="Cambria" w:hAnsi="Cambria"/>
              </w:rPr>
              <w:t>“inciting” or “encouraging” an offence;</w:t>
            </w:r>
          </w:p>
          <w:p w:rsidR="00E16CFA" w:rsidRDefault="00E16CFA" w:rsidP="00E623C2">
            <w:pPr>
              <w:pStyle w:val="SingleTxtG"/>
              <w:numPr>
                <w:ilvl w:val="0"/>
                <w:numId w:val="8"/>
              </w:numPr>
              <w:ind w:right="0"/>
              <w:rPr>
                <w:rFonts w:ascii="Cambria" w:hAnsi="Cambria"/>
              </w:rPr>
            </w:pPr>
            <w:r>
              <w:rPr>
                <w:rFonts w:ascii="Cambria" w:hAnsi="Cambria"/>
              </w:rPr>
              <w:t>“instigating” an offence;</w:t>
            </w:r>
          </w:p>
          <w:p w:rsidR="00E16CFA" w:rsidRDefault="00E16CFA" w:rsidP="00E623C2">
            <w:pPr>
              <w:pStyle w:val="SingleTxtG"/>
              <w:numPr>
                <w:ilvl w:val="0"/>
                <w:numId w:val="8"/>
              </w:numPr>
              <w:ind w:right="0"/>
              <w:rPr>
                <w:rFonts w:ascii="Cambria" w:hAnsi="Cambria"/>
              </w:rPr>
            </w:pPr>
            <w:r>
              <w:rPr>
                <w:rFonts w:ascii="Cambria" w:hAnsi="Cambria"/>
              </w:rPr>
              <w:t>being an “accessory”</w:t>
            </w:r>
            <w:r w:rsidR="00D06986">
              <w:rPr>
                <w:rFonts w:ascii="Cambria" w:hAnsi="Cambria"/>
              </w:rPr>
              <w:t xml:space="preserve"> or an “accomplice”</w:t>
            </w:r>
            <w:r>
              <w:rPr>
                <w:rFonts w:ascii="Cambria" w:hAnsi="Cambria"/>
              </w:rPr>
              <w:t xml:space="preserve"> (i.e. providing assistance to an offender) either before or after the offence;</w:t>
            </w:r>
          </w:p>
          <w:p w:rsidR="00E16CFA" w:rsidRDefault="00D06986" w:rsidP="00E623C2">
            <w:pPr>
              <w:pStyle w:val="SingleTxtG"/>
              <w:numPr>
                <w:ilvl w:val="0"/>
                <w:numId w:val="8"/>
              </w:numPr>
              <w:ind w:right="0"/>
              <w:rPr>
                <w:rFonts w:ascii="Cambria" w:hAnsi="Cambria"/>
              </w:rPr>
            </w:pPr>
            <w:r>
              <w:rPr>
                <w:rFonts w:ascii="Cambria" w:hAnsi="Cambria"/>
              </w:rPr>
              <w:t>“conspiring” to commit an offence;</w:t>
            </w:r>
          </w:p>
          <w:p w:rsidR="00E16CFA" w:rsidRDefault="00D06986" w:rsidP="00E623C2">
            <w:pPr>
              <w:pStyle w:val="SingleTxtG"/>
              <w:numPr>
                <w:ilvl w:val="0"/>
                <w:numId w:val="8"/>
              </w:numPr>
              <w:ind w:right="0"/>
              <w:rPr>
                <w:rFonts w:ascii="Cambria" w:hAnsi="Cambria"/>
              </w:rPr>
            </w:pPr>
            <w:r>
              <w:rPr>
                <w:rFonts w:ascii="Cambria" w:hAnsi="Cambria"/>
              </w:rPr>
              <w:t>being party to a “joint criminal enterprise”;</w:t>
            </w:r>
          </w:p>
          <w:p w:rsidR="00D06986" w:rsidRPr="00D06986" w:rsidRDefault="00D06986" w:rsidP="00E623C2">
            <w:pPr>
              <w:pStyle w:val="SingleTxtG"/>
              <w:numPr>
                <w:ilvl w:val="0"/>
                <w:numId w:val="8"/>
              </w:numPr>
              <w:ind w:right="0"/>
              <w:rPr>
                <w:rFonts w:ascii="Cambria" w:hAnsi="Cambria"/>
              </w:rPr>
            </w:pPr>
            <w:proofErr w:type="gramStart"/>
            <w:r>
              <w:rPr>
                <w:rFonts w:ascii="Cambria" w:hAnsi="Cambria"/>
              </w:rPr>
              <w:t>subsequent</w:t>
            </w:r>
            <w:proofErr w:type="gramEnd"/>
            <w:r>
              <w:rPr>
                <w:rFonts w:ascii="Cambria" w:hAnsi="Cambria"/>
              </w:rPr>
              <w:t xml:space="preserve"> “authorisation” or “approval” or “ratification” of an offence.</w:t>
            </w:r>
          </w:p>
          <w:p w:rsidR="00E16CFA" w:rsidRDefault="00E16CFA" w:rsidP="00F00AF1">
            <w:pPr>
              <w:pStyle w:val="SingleTxtG"/>
              <w:ind w:left="0" w:right="0"/>
              <w:rPr>
                <w:rFonts w:ascii="Cambria" w:hAnsi="Cambria"/>
              </w:rPr>
            </w:pPr>
            <w:r>
              <w:rPr>
                <w:rFonts w:ascii="Cambria" w:hAnsi="Cambria"/>
              </w:rPr>
              <w:t>B.  Degrees of contribution to harm that may give rise to corporate legal liability under domestic public law regimes on the basis of secondary (or “complicity”) liability</w:t>
            </w:r>
            <w:r w:rsidR="00D06986">
              <w:rPr>
                <w:rFonts w:ascii="Cambria" w:hAnsi="Cambria"/>
              </w:rPr>
              <w:t xml:space="preserve"> (i.e. the physical aspects of the offence)</w:t>
            </w:r>
            <w:r w:rsidR="00C15B8F">
              <w:rPr>
                <w:rFonts w:ascii="Cambria" w:hAnsi="Cambria"/>
              </w:rPr>
              <w:t>;</w:t>
            </w:r>
          </w:p>
          <w:p w:rsidR="00E16CFA" w:rsidRDefault="00D06986" w:rsidP="00E623C2">
            <w:pPr>
              <w:pStyle w:val="SingleTxtG"/>
              <w:numPr>
                <w:ilvl w:val="0"/>
                <w:numId w:val="8"/>
              </w:numPr>
              <w:ind w:right="0"/>
              <w:rPr>
                <w:rFonts w:ascii="Cambria" w:hAnsi="Cambria"/>
              </w:rPr>
            </w:pPr>
            <w:r>
              <w:rPr>
                <w:rFonts w:ascii="Cambria" w:hAnsi="Cambria"/>
              </w:rPr>
              <w:t>“material” assistance (e.g. offence would not have happened but for the contribution of the secondary party);</w:t>
            </w:r>
          </w:p>
          <w:p w:rsidR="00D06986" w:rsidRDefault="00D06986" w:rsidP="00E623C2">
            <w:pPr>
              <w:pStyle w:val="SingleTxtG"/>
              <w:numPr>
                <w:ilvl w:val="0"/>
                <w:numId w:val="8"/>
              </w:numPr>
              <w:ind w:right="0"/>
              <w:rPr>
                <w:rFonts w:ascii="Cambria" w:hAnsi="Cambria"/>
              </w:rPr>
            </w:pPr>
            <w:r>
              <w:rPr>
                <w:rFonts w:ascii="Cambria" w:hAnsi="Cambria"/>
              </w:rPr>
              <w:t>“</w:t>
            </w:r>
            <w:proofErr w:type="gramStart"/>
            <w:r>
              <w:rPr>
                <w:rFonts w:ascii="Cambria" w:hAnsi="Cambria"/>
              </w:rPr>
              <w:t>substantial</w:t>
            </w:r>
            <w:proofErr w:type="gramEnd"/>
            <w:r>
              <w:rPr>
                <w:rFonts w:ascii="Cambria" w:hAnsi="Cambria"/>
              </w:rPr>
              <w:t>” assistance.</w:t>
            </w:r>
          </w:p>
          <w:p w:rsidR="00D06986" w:rsidRDefault="00D06986" w:rsidP="00D06986">
            <w:pPr>
              <w:pStyle w:val="SingleTxtG"/>
              <w:ind w:left="0" w:right="0"/>
              <w:rPr>
                <w:rFonts w:ascii="Cambria" w:hAnsi="Cambria"/>
              </w:rPr>
            </w:pPr>
            <w:r>
              <w:rPr>
                <w:rFonts w:ascii="Cambria" w:hAnsi="Cambria"/>
              </w:rPr>
              <w:t>C.  Degrees of culpability that may give rise to corporate legal liability under domestic public law regimes on the basis of secondary (“complicity”) liability (i.e. the mental aspects of the offence):</w:t>
            </w:r>
          </w:p>
          <w:p w:rsidR="00D06986" w:rsidRDefault="00D06986" w:rsidP="00E623C2">
            <w:pPr>
              <w:pStyle w:val="SingleTxtG"/>
              <w:numPr>
                <w:ilvl w:val="0"/>
                <w:numId w:val="8"/>
              </w:numPr>
              <w:ind w:right="0"/>
              <w:rPr>
                <w:rFonts w:ascii="Cambria" w:hAnsi="Cambria"/>
              </w:rPr>
            </w:pPr>
            <w:r>
              <w:rPr>
                <w:rFonts w:ascii="Cambria" w:hAnsi="Cambria"/>
              </w:rPr>
              <w:t>“intentional” assistance (i.e. the secondary party and the main perp</w:t>
            </w:r>
            <w:r w:rsidR="00C15B8F">
              <w:rPr>
                <w:rFonts w:ascii="Cambria" w:hAnsi="Cambria"/>
              </w:rPr>
              <w:t>etrator share a common purpose);</w:t>
            </w:r>
          </w:p>
          <w:p w:rsidR="00D06986" w:rsidRDefault="00D06986" w:rsidP="00E623C2">
            <w:pPr>
              <w:pStyle w:val="SingleTxtG"/>
              <w:numPr>
                <w:ilvl w:val="0"/>
                <w:numId w:val="8"/>
              </w:numPr>
              <w:ind w:right="0"/>
              <w:rPr>
                <w:rFonts w:ascii="Cambria" w:hAnsi="Cambria"/>
              </w:rPr>
            </w:pPr>
            <w:r>
              <w:rPr>
                <w:rFonts w:ascii="Cambria" w:hAnsi="Cambria"/>
              </w:rPr>
              <w:t>“knowing” assistance;</w:t>
            </w:r>
          </w:p>
          <w:p w:rsidR="00D06986" w:rsidRPr="00D06986" w:rsidRDefault="00D06986" w:rsidP="00E623C2">
            <w:pPr>
              <w:pStyle w:val="SingleTxtG"/>
              <w:numPr>
                <w:ilvl w:val="0"/>
                <w:numId w:val="8"/>
              </w:numPr>
              <w:ind w:right="0"/>
              <w:rPr>
                <w:rFonts w:ascii="Cambria" w:hAnsi="Cambria"/>
              </w:rPr>
            </w:pPr>
            <w:r>
              <w:rPr>
                <w:rFonts w:ascii="Cambria" w:hAnsi="Cambria"/>
              </w:rPr>
              <w:t>“</w:t>
            </w:r>
            <w:proofErr w:type="gramStart"/>
            <w:r>
              <w:rPr>
                <w:rFonts w:ascii="Cambria" w:hAnsi="Cambria"/>
              </w:rPr>
              <w:t>negligent</w:t>
            </w:r>
            <w:proofErr w:type="gramEnd"/>
            <w:r>
              <w:rPr>
                <w:rFonts w:ascii="Cambria" w:hAnsi="Cambria"/>
              </w:rPr>
              <w:t>” or “reckless” assistance.</w:t>
            </w:r>
          </w:p>
          <w:p w:rsidR="0087408A" w:rsidRDefault="00D06986" w:rsidP="00C15B8F">
            <w:pPr>
              <w:pStyle w:val="SingleTxtG"/>
              <w:ind w:left="0" w:right="0"/>
              <w:rPr>
                <w:rFonts w:ascii="Cambria" w:hAnsi="Cambria"/>
                <w:b/>
                <w:sz w:val="22"/>
                <w:szCs w:val="22"/>
              </w:rPr>
            </w:pPr>
            <w:r w:rsidRPr="0087408A">
              <w:rPr>
                <w:rFonts w:ascii="Cambria" w:hAnsi="Cambria"/>
                <w:b/>
                <w:i/>
              </w:rPr>
              <w:t xml:space="preserve">Note: In practice, domestic public law regimes do not use one or other approach exclusively.  Instead, different tests </w:t>
            </w:r>
            <w:r w:rsidR="0087408A">
              <w:rPr>
                <w:rFonts w:ascii="Cambria" w:hAnsi="Cambria"/>
                <w:b/>
                <w:i/>
              </w:rPr>
              <w:t xml:space="preserve">for secondary (or “complicity”) liability </w:t>
            </w:r>
            <w:r w:rsidRPr="0087408A">
              <w:rPr>
                <w:rFonts w:ascii="Cambria" w:hAnsi="Cambria"/>
                <w:b/>
                <w:i/>
              </w:rPr>
              <w:t>may be used in combination, or in the alternative, depending on the relevant policy objectives and regulatory needs.</w:t>
            </w:r>
          </w:p>
        </w:tc>
      </w:tr>
    </w:tbl>
    <w:p w:rsidR="00C42471" w:rsidRDefault="008B11B2" w:rsidP="00C42471">
      <w:pPr>
        <w:pStyle w:val="SingleTxtG"/>
        <w:ind w:left="0" w:right="0"/>
        <w:rPr>
          <w:rFonts w:ascii="Cambria" w:hAnsi="Cambria"/>
          <w:b/>
          <w:sz w:val="22"/>
          <w:szCs w:val="22"/>
        </w:rPr>
      </w:pPr>
      <w:r w:rsidRPr="008B11B2">
        <w:rPr>
          <w:rFonts w:ascii="Cambria" w:hAnsi="Cambria"/>
          <w:b/>
          <w:sz w:val="22"/>
          <w:szCs w:val="22"/>
        </w:rPr>
        <w:lastRenderedPageBreak/>
        <w:t>2.2</w:t>
      </w:r>
      <w:r w:rsidRPr="008B11B2">
        <w:rPr>
          <w:rFonts w:ascii="Cambria" w:hAnsi="Cambria"/>
          <w:b/>
          <w:sz w:val="22"/>
          <w:szCs w:val="22"/>
        </w:rPr>
        <w:tab/>
        <w:t>Domestic public law regimes are clear as to the principles used to attribute knowledge, intentions, actions and omissions to a company for the purposes of assessing corporate legal liability on the basis of theories of secondary liability.</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 2.2</w:t>
            </w:r>
          </w:p>
          <w:p w:rsidR="00C42471" w:rsidRDefault="00306D0E" w:rsidP="00A1140F">
            <w:pPr>
              <w:pStyle w:val="SingleTxtG"/>
              <w:ind w:left="0" w:right="0"/>
              <w:rPr>
                <w:rFonts w:ascii="Cambria" w:hAnsi="Cambria"/>
                <w:b/>
                <w:sz w:val="22"/>
                <w:szCs w:val="22"/>
              </w:rPr>
            </w:pPr>
            <w:r>
              <w:rPr>
                <w:rFonts w:ascii="Cambria" w:hAnsi="Cambria"/>
              </w:rPr>
              <w:t>Refer to</w:t>
            </w:r>
            <w:r w:rsidRPr="00306D0E">
              <w:rPr>
                <w:rFonts w:ascii="Cambria" w:hAnsi="Cambria"/>
              </w:rPr>
              <w:t xml:space="preserve"> 1.4 above</w:t>
            </w:r>
            <w:r>
              <w:rPr>
                <w:rFonts w:ascii="Cambria" w:hAnsi="Cambria"/>
              </w:rPr>
              <w:t xml:space="preserve"> for examples of the different </w:t>
            </w:r>
            <w:r w:rsidR="00A1140F">
              <w:rPr>
                <w:rFonts w:ascii="Cambria" w:hAnsi="Cambria"/>
              </w:rPr>
              <w:t>methods used</w:t>
            </w:r>
            <w:r>
              <w:rPr>
                <w:rFonts w:ascii="Cambria" w:hAnsi="Cambria"/>
              </w:rPr>
              <w:t xml:space="preserve"> to attribute knowledge, intentions, actions and omissions to companies for the purposes of assessing corporate legal liability under domestic public law regimes</w:t>
            </w:r>
            <w:r w:rsidRPr="00306D0E">
              <w:rPr>
                <w:rFonts w:ascii="Cambria" w:hAnsi="Cambria"/>
              </w:rPr>
              <w:t>.</w:t>
            </w:r>
          </w:p>
        </w:tc>
      </w:tr>
    </w:tbl>
    <w:p w:rsidR="00C42471" w:rsidRPr="008B11B2" w:rsidRDefault="00C42471"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2.3</w:t>
      </w:r>
      <w:r w:rsidRPr="008B11B2">
        <w:rPr>
          <w:rFonts w:ascii="Cambria" w:hAnsi="Cambria"/>
          <w:b/>
          <w:sz w:val="22"/>
          <w:szCs w:val="22"/>
        </w:rPr>
        <w:tab/>
        <w:t xml:space="preserve">Domestic public law regimes treat offences based on theories of secondary liability (a) with the same level of seriousness as the relevant primary offence; and (b) as distinct offences, conceptually and procedurally separate from any primary offences committed by the main perpetrator. As such, a finding of secondary liability is not contingent, in law or in practice, on any judicial determination of liability on the part of the main perpetrator. </w:t>
      </w:r>
    </w:p>
    <w:tbl>
      <w:tblPr>
        <w:tblStyle w:val="TableGrid"/>
        <w:tblW w:w="0" w:type="auto"/>
        <w:tblLook w:val="04A0" w:firstRow="1" w:lastRow="0" w:firstColumn="1" w:lastColumn="0" w:noHBand="0" w:noVBand="1"/>
      </w:tblPr>
      <w:tblGrid>
        <w:gridCol w:w="9236"/>
      </w:tblGrid>
      <w:tr w:rsidR="00C42471" w:rsidTr="00876024">
        <w:trPr>
          <w:trHeight w:val="1262"/>
        </w:trPr>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3E2044">
              <w:rPr>
                <w:rFonts w:ascii="Cambria" w:hAnsi="Cambria"/>
                <w:b/>
                <w:sz w:val="22"/>
                <w:szCs w:val="22"/>
              </w:rPr>
              <w:t>s</w:t>
            </w:r>
            <w:r>
              <w:rPr>
                <w:rFonts w:ascii="Cambria" w:hAnsi="Cambria"/>
                <w:b/>
                <w:sz w:val="22"/>
                <w:szCs w:val="22"/>
              </w:rPr>
              <w:t>: 2.3</w:t>
            </w:r>
          </w:p>
          <w:p w:rsidR="003E2044" w:rsidRDefault="0055259C" w:rsidP="00876024">
            <w:pPr>
              <w:ind w:right="1179"/>
              <w:jc w:val="both"/>
              <w:rPr>
                <w:rFonts w:ascii="Cambria" w:hAnsi="Cambria"/>
                <w:sz w:val="20"/>
                <w:szCs w:val="20"/>
              </w:rPr>
            </w:pPr>
            <w:r>
              <w:rPr>
                <w:rFonts w:ascii="Cambria" w:hAnsi="Cambria"/>
                <w:sz w:val="20"/>
                <w:szCs w:val="20"/>
              </w:rPr>
              <w:t xml:space="preserve">A. </w:t>
            </w:r>
            <w:r w:rsidR="003E2044">
              <w:rPr>
                <w:rFonts w:ascii="Cambria" w:hAnsi="Cambria"/>
                <w:sz w:val="20"/>
                <w:szCs w:val="20"/>
              </w:rPr>
              <w:t xml:space="preserve">Ways to ensure legal and conceptual separation between </w:t>
            </w:r>
            <w:r w:rsidR="00B32373">
              <w:rPr>
                <w:rFonts w:ascii="Cambria" w:hAnsi="Cambria"/>
                <w:sz w:val="20"/>
                <w:szCs w:val="20"/>
              </w:rPr>
              <w:t>primary and secondary liability;</w:t>
            </w:r>
          </w:p>
          <w:p w:rsidR="003E2044" w:rsidRDefault="003E2044" w:rsidP="00876024">
            <w:pPr>
              <w:ind w:right="1179"/>
              <w:jc w:val="both"/>
              <w:rPr>
                <w:rFonts w:ascii="Cambria" w:hAnsi="Cambria"/>
                <w:sz w:val="20"/>
                <w:szCs w:val="20"/>
              </w:rPr>
            </w:pPr>
          </w:p>
          <w:p w:rsidR="0006191C" w:rsidRDefault="003E2044" w:rsidP="00917B5B">
            <w:pPr>
              <w:pStyle w:val="ListParagraph"/>
              <w:numPr>
                <w:ilvl w:val="0"/>
                <w:numId w:val="83"/>
              </w:numPr>
              <w:ind w:right="1179"/>
              <w:jc w:val="both"/>
              <w:rPr>
                <w:rFonts w:ascii="Cambria" w:hAnsi="Cambria"/>
                <w:sz w:val="20"/>
                <w:szCs w:val="20"/>
              </w:rPr>
            </w:pPr>
            <w:r w:rsidRPr="00917B5B">
              <w:rPr>
                <w:rFonts w:ascii="Cambria" w:hAnsi="Cambria"/>
                <w:sz w:val="20"/>
                <w:szCs w:val="20"/>
              </w:rPr>
              <w:t>inclusion in d</w:t>
            </w:r>
            <w:r w:rsidR="0076629E" w:rsidRPr="00917B5B">
              <w:rPr>
                <w:rFonts w:ascii="Cambria" w:hAnsi="Cambria"/>
                <w:sz w:val="20"/>
                <w:szCs w:val="20"/>
              </w:rPr>
              <w:t xml:space="preserve">omestic criminal codes </w:t>
            </w:r>
            <w:r w:rsidRPr="00917B5B">
              <w:rPr>
                <w:rFonts w:ascii="Cambria" w:hAnsi="Cambria"/>
                <w:sz w:val="20"/>
                <w:szCs w:val="20"/>
              </w:rPr>
              <w:t xml:space="preserve">of </w:t>
            </w:r>
            <w:r w:rsidR="0076629E" w:rsidRPr="00917B5B">
              <w:rPr>
                <w:rFonts w:ascii="Cambria" w:hAnsi="Cambria"/>
                <w:sz w:val="20"/>
                <w:szCs w:val="20"/>
              </w:rPr>
              <w:t xml:space="preserve"> a discrete set of provisions setting out the elements of secondary liability</w:t>
            </w:r>
            <w:r w:rsidRPr="00917B5B">
              <w:rPr>
                <w:rFonts w:ascii="Cambria" w:hAnsi="Cambria"/>
                <w:sz w:val="20"/>
                <w:szCs w:val="20"/>
              </w:rPr>
              <w:t>;</w:t>
            </w:r>
          </w:p>
          <w:p w:rsidR="00B32373" w:rsidRPr="00B32373" w:rsidRDefault="00B32373" w:rsidP="00B32373">
            <w:pPr>
              <w:ind w:left="360" w:right="1179"/>
              <w:jc w:val="both"/>
              <w:rPr>
                <w:rFonts w:ascii="Cambria" w:hAnsi="Cambria"/>
                <w:sz w:val="20"/>
                <w:szCs w:val="20"/>
              </w:rPr>
            </w:pPr>
          </w:p>
          <w:p w:rsidR="000E7C3A" w:rsidRDefault="00DD7E43" w:rsidP="003E2044">
            <w:pPr>
              <w:pStyle w:val="ListParagraph"/>
              <w:numPr>
                <w:ilvl w:val="0"/>
                <w:numId w:val="83"/>
              </w:numPr>
              <w:ind w:right="1179"/>
              <w:jc w:val="both"/>
              <w:rPr>
                <w:rFonts w:ascii="Cambria" w:hAnsi="Cambria"/>
                <w:sz w:val="20"/>
                <w:szCs w:val="20"/>
              </w:rPr>
            </w:pPr>
            <w:r w:rsidRPr="00917B5B">
              <w:rPr>
                <w:rFonts w:ascii="Cambria" w:hAnsi="Cambria"/>
                <w:sz w:val="20"/>
                <w:szCs w:val="20"/>
              </w:rPr>
              <w:t>clarifying in domestic criminal regimes that</w:t>
            </w:r>
            <w:r w:rsidR="003E2044" w:rsidRPr="00917B5B">
              <w:rPr>
                <w:rFonts w:ascii="Cambria" w:hAnsi="Cambria"/>
                <w:sz w:val="20"/>
                <w:szCs w:val="20"/>
              </w:rPr>
              <w:t xml:space="preserve"> </w:t>
            </w:r>
            <w:r w:rsidRPr="00917B5B">
              <w:rPr>
                <w:rFonts w:ascii="Cambria" w:hAnsi="Cambria"/>
                <w:sz w:val="20"/>
                <w:szCs w:val="20"/>
              </w:rPr>
              <w:t>the crimes of “instigating a criminal offence” or “aiding and abetting” or “conspiracy” are treated as a crimes in their own right, with a specific set of requirements (e.g. with respect to the defendant’s knowledge and/or intentions, and the degree of causation between the defendant’s actions and the occurrence of the offence) that must be proved in order to establish liability</w:t>
            </w:r>
            <w:r w:rsidR="003E2044" w:rsidRPr="00917B5B">
              <w:rPr>
                <w:rFonts w:ascii="Cambria" w:hAnsi="Cambria"/>
                <w:sz w:val="20"/>
                <w:szCs w:val="20"/>
              </w:rPr>
              <w:t>.</w:t>
            </w:r>
          </w:p>
          <w:p w:rsidR="00917B5B" w:rsidRPr="00917B5B" w:rsidRDefault="00917B5B" w:rsidP="00917B5B">
            <w:pPr>
              <w:pStyle w:val="ListParagraph"/>
              <w:ind w:right="1179"/>
              <w:jc w:val="both"/>
              <w:rPr>
                <w:rFonts w:ascii="Cambria" w:hAnsi="Cambria"/>
                <w:sz w:val="20"/>
                <w:szCs w:val="20"/>
              </w:rPr>
            </w:pPr>
          </w:p>
          <w:p w:rsidR="0055259C" w:rsidRPr="0055259C" w:rsidRDefault="00DD7E43" w:rsidP="003E2044">
            <w:pPr>
              <w:ind w:right="1179"/>
              <w:jc w:val="both"/>
              <w:rPr>
                <w:rFonts w:ascii="Cambria" w:hAnsi="Cambria"/>
                <w:sz w:val="20"/>
                <w:szCs w:val="20"/>
              </w:rPr>
            </w:pPr>
            <w:r w:rsidRPr="00DD7E43">
              <w:rPr>
                <w:rFonts w:ascii="Cambria" w:hAnsi="Cambria"/>
                <w:sz w:val="20"/>
                <w:szCs w:val="20"/>
              </w:rPr>
              <w:t>B.  Ways to ensure that offences based on theories of secondary liability are treated with sufficient seriousness include</w:t>
            </w:r>
            <w:r w:rsidR="00B32373">
              <w:rPr>
                <w:rFonts w:ascii="Cambria" w:hAnsi="Cambria"/>
                <w:sz w:val="20"/>
                <w:szCs w:val="20"/>
              </w:rPr>
              <w:t>;</w:t>
            </w:r>
          </w:p>
          <w:p w:rsidR="0055259C" w:rsidRDefault="0055259C" w:rsidP="003E2044">
            <w:pPr>
              <w:ind w:right="1179"/>
              <w:jc w:val="both"/>
              <w:rPr>
                <w:rFonts w:ascii="Cambria" w:hAnsi="Cambria"/>
                <w:b/>
                <w:sz w:val="20"/>
                <w:szCs w:val="20"/>
              </w:rPr>
            </w:pPr>
          </w:p>
          <w:p w:rsidR="0006191C" w:rsidRDefault="0055259C">
            <w:pPr>
              <w:pStyle w:val="ListParagraph"/>
              <w:numPr>
                <w:ilvl w:val="0"/>
                <w:numId w:val="68"/>
              </w:numPr>
              <w:ind w:right="1179"/>
              <w:jc w:val="both"/>
              <w:rPr>
                <w:rFonts w:ascii="Cambria" w:hAnsi="Cambria"/>
                <w:sz w:val="20"/>
                <w:szCs w:val="20"/>
              </w:rPr>
            </w:pPr>
            <w:r>
              <w:rPr>
                <w:rFonts w:ascii="Cambria" w:hAnsi="Cambria"/>
                <w:sz w:val="20"/>
                <w:szCs w:val="20"/>
              </w:rPr>
              <w:t xml:space="preserve">Clarification by way of domestic public law regimes and/or sentencing policies that individuals and companies found to be accessories or “complicit” in the commission of an offence will potentially be subject to the same or similar sanctions and remedies as those that would be imposed on that company if it were the main perpetrator. </w:t>
            </w:r>
            <w:r w:rsidR="00B32373">
              <w:rPr>
                <w:rFonts w:ascii="Cambria" w:hAnsi="Cambria"/>
                <w:b/>
                <w:sz w:val="20"/>
                <w:szCs w:val="20"/>
              </w:rPr>
              <w:t>Note</w:t>
            </w:r>
            <w:r w:rsidR="00DD7E43" w:rsidRPr="00DD7E43">
              <w:rPr>
                <w:rFonts w:ascii="Cambria" w:hAnsi="Cambria"/>
                <w:b/>
                <w:sz w:val="20"/>
                <w:szCs w:val="20"/>
              </w:rPr>
              <w:t xml:space="preserve">: </w:t>
            </w:r>
            <w:r w:rsidR="00DD7E43" w:rsidRPr="00DD7E43">
              <w:rPr>
                <w:rFonts w:ascii="Cambria" w:hAnsi="Cambria"/>
                <w:sz w:val="20"/>
                <w:szCs w:val="20"/>
              </w:rPr>
              <w:t xml:space="preserve">On sanctions and remedies </w:t>
            </w:r>
            <w:r>
              <w:rPr>
                <w:rFonts w:ascii="Cambria" w:hAnsi="Cambria"/>
                <w:sz w:val="20"/>
                <w:szCs w:val="20"/>
              </w:rPr>
              <w:t>generally</w:t>
            </w:r>
            <w:r w:rsidR="00DD7E43" w:rsidRPr="00DD7E43">
              <w:rPr>
                <w:rFonts w:ascii="Cambria" w:hAnsi="Cambria"/>
                <w:sz w:val="20"/>
                <w:szCs w:val="20"/>
              </w:rPr>
              <w:t>, see 11.1-11.5 below.</w:t>
            </w:r>
          </w:p>
          <w:p w:rsidR="00876024" w:rsidRDefault="00876024" w:rsidP="003E2044">
            <w:pPr>
              <w:ind w:right="1179"/>
              <w:jc w:val="both"/>
              <w:rPr>
                <w:rFonts w:ascii="Cambria" w:hAnsi="Cambria"/>
                <w:b/>
                <w:sz w:val="22"/>
                <w:szCs w:val="22"/>
              </w:rPr>
            </w:pPr>
          </w:p>
        </w:tc>
      </w:tr>
    </w:tbl>
    <w:p w:rsidR="00C42471" w:rsidRDefault="00C4247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3: The principles for assessing corporate liability under domestic public law regimes are properly aligned with the responsibility of companies to exercise human rights due diligence across their operations.</w:t>
            </w:r>
          </w:p>
        </w:tc>
      </w:tr>
    </w:tbl>
    <w:p w:rsidR="00EF5D9A" w:rsidRDefault="00EF5D9A" w:rsidP="008B11B2">
      <w:pPr>
        <w:pStyle w:val="SingleTxtG"/>
        <w:ind w:left="0" w:right="0"/>
        <w:rPr>
          <w:rFonts w:ascii="Cambria" w:hAnsi="Cambria"/>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3.1</w:t>
      </w:r>
      <w:r w:rsidRPr="008B11B2">
        <w:rPr>
          <w:rFonts w:ascii="Cambria" w:hAnsi="Cambria"/>
          <w:b/>
          <w:sz w:val="22"/>
          <w:szCs w:val="22"/>
        </w:rPr>
        <w:tab/>
        <w:t>Domestic public law regimes take appropriate account of effective measures by companies to identify, prevent and mitigate the adverse human rights impacts of their activities.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4F60D5" w:rsidRPr="000000D7" w:rsidRDefault="00EF5D9A" w:rsidP="009D0F38">
            <w:pPr>
              <w:pStyle w:val="SingleTxtG"/>
              <w:ind w:left="0" w:right="0"/>
              <w:rPr>
                <w:rFonts w:ascii="Cambria" w:hAnsi="Cambria"/>
                <w:b/>
              </w:rPr>
            </w:pPr>
            <w:r w:rsidRPr="000000D7">
              <w:rPr>
                <w:rFonts w:ascii="Cambria" w:hAnsi="Cambria"/>
                <w:b/>
                <w:sz w:val="22"/>
                <w:szCs w:val="22"/>
              </w:rPr>
              <w:t>Illustrative example</w:t>
            </w:r>
            <w:r w:rsidR="00876024" w:rsidRPr="000000D7">
              <w:rPr>
                <w:rFonts w:ascii="Cambria" w:hAnsi="Cambria"/>
                <w:b/>
                <w:sz w:val="22"/>
                <w:szCs w:val="22"/>
              </w:rPr>
              <w:t>s</w:t>
            </w:r>
            <w:r w:rsidRPr="000000D7">
              <w:rPr>
                <w:rFonts w:ascii="Cambria" w:hAnsi="Cambria"/>
                <w:b/>
                <w:sz w:val="22"/>
                <w:szCs w:val="22"/>
              </w:rPr>
              <w:t>: 3.1</w:t>
            </w:r>
          </w:p>
          <w:p w:rsidR="001945ED" w:rsidRPr="000000D7" w:rsidRDefault="00917B5B" w:rsidP="004F60D5">
            <w:pPr>
              <w:ind w:right="1179"/>
              <w:jc w:val="both"/>
              <w:rPr>
                <w:rFonts w:ascii="Cambria" w:hAnsi="Cambria" w:cs="Arial"/>
                <w:sz w:val="20"/>
                <w:szCs w:val="20"/>
              </w:rPr>
            </w:pPr>
            <w:r>
              <w:rPr>
                <w:rFonts w:ascii="Cambria" w:hAnsi="Cambria" w:cs="Arial"/>
                <w:sz w:val="20"/>
                <w:szCs w:val="20"/>
              </w:rPr>
              <w:t xml:space="preserve">A. </w:t>
            </w:r>
            <w:r w:rsidR="000000D7" w:rsidRPr="000000D7">
              <w:rPr>
                <w:rFonts w:ascii="Cambria" w:hAnsi="Cambria" w:cs="Arial"/>
                <w:sz w:val="20"/>
                <w:szCs w:val="20"/>
              </w:rPr>
              <w:t xml:space="preserve">Ways to </w:t>
            </w:r>
            <w:r w:rsidR="001945ED" w:rsidRPr="000000D7">
              <w:rPr>
                <w:rFonts w:ascii="Cambria" w:hAnsi="Cambria" w:cs="Arial"/>
                <w:sz w:val="20"/>
                <w:szCs w:val="20"/>
              </w:rPr>
              <w:t xml:space="preserve">encourage effective measures by companies to identify, prevent and mitigate various kinds of risk (e.g. risks of non-compliance with legal standards, risks of harm to people, risks of harm to the environment) </w:t>
            </w:r>
            <w:r w:rsidR="00407C20">
              <w:rPr>
                <w:rFonts w:ascii="Cambria" w:hAnsi="Cambria" w:cs="Arial"/>
                <w:sz w:val="20"/>
                <w:szCs w:val="20"/>
              </w:rPr>
              <w:t>include;</w:t>
            </w:r>
          </w:p>
          <w:p w:rsidR="00902D9C" w:rsidRPr="000000D7" w:rsidRDefault="00902D9C" w:rsidP="004F60D5">
            <w:pPr>
              <w:ind w:right="1179"/>
              <w:jc w:val="both"/>
              <w:rPr>
                <w:rFonts w:ascii="Cambria" w:hAnsi="Cambria" w:cs="Arial"/>
                <w:sz w:val="20"/>
                <w:szCs w:val="20"/>
              </w:rPr>
            </w:pPr>
          </w:p>
          <w:p w:rsidR="0006191C" w:rsidRDefault="00407C20">
            <w:pPr>
              <w:pStyle w:val="ListParagraph"/>
              <w:numPr>
                <w:ilvl w:val="0"/>
                <w:numId w:val="50"/>
              </w:numPr>
              <w:ind w:right="1179"/>
              <w:jc w:val="both"/>
              <w:rPr>
                <w:rFonts w:ascii="Cambria" w:hAnsi="Cambria" w:cs="Arial"/>
                <w:i/>
                <w:sz w:val="20"/>
                <w:szCs w:val="20"/>
              </w:rPr>
            </w:pPr>
            <w:r>
              <w:rPr>
                <w:rFonts w:ascii="Cambria" w:hAnsi="Cambria" w:cs="Arial"/>
                <w:sz w:val="20"/>
                <w:szCs w:val="20"/>
              </w:rPr>
              <w:t>m</w:t>
            </w:r>
            <w:r w:rsidR="00DD7E43" w:rsidRPr="00DD7E43">
              <w:rPr>
                <w:rFonts w:ascii="Cambria" w:hAnsi="Cambria" w:cs="Arial"/>
                <w:sz w:val="20"/>
                <w:szCs w:val="20"/>
              </w:rPr>
              <w:t>aking the exercise of due diligence</w:t>
            </w:r>
            <w:r w:rsidR="008E2ABD">
              <w:rPr>
                <w:rFonts w:ascii="Cambria" w:hAnsi="Cambria" w:cs="Arial"/>
                <w:sz w:val="20"/>
                <w:szCs w:val="20"/>
              </w:rPr>
              <w:t xml:space="preserve"> </w:t>
            </w:r>
            <w:r w:rsidR="008E2ABD" w:rsidRPr="000000D7">
              <w:rPr>
                <w:rFonts w:ascii="Cambria" w:hAnsi="Cambria" w:cs="Arial"/>
                <w:sz w:val="20"/>
                <w:szCs w:val="20"/>
              </w:rPr>
              <w:t xml:space="preserve">to avoid </w:t>
            </w:r>
            <w:r w:rsidR="008E2ABD">
              <w:rPr>
                <w:rFonts w:ascii="Cambria" w:hAnsi="Cambria" w:cs="Arial"/>
                <w:sz w:val="20"/>
                <w:szCs w:val="20"/>
              </w:rPr>
              <w:t xml:space="preserve">certain prohibited outcomes (e.g. </w:t>
            </w:r>
            <w:r w:rsidR="008E2ABD">
              <w:rPr>
                <w:rFonts w:ascii="Cambria" w:hAnsi="Cambria" w:cs="Arial"/>
                <w:sz w:val="20"/>
                <w:szCs w:val="20"/>
              </w:rPr>
              <w:lastRenderedPageBreak/>
              <w:t>environmental damage, use of child labour)</w:t>
            </w:r>
            <w:r w:rsidR="008E2ABD" w:rsidRPr="000000D7">
              <w:rPr>
                <w:rFonts w:ascii="Cambria" w:hAnsi="Cambria" w:cs="Arial"/>
                <w:sz w:val="20"/>
                <w:szCs w:val="20"/>
              </w:rPr>
              <w:t xml:space="preserve">  </w:t>
            </w:r>
            <w:r w:rsidR="008E2ABD">
              <w:rPr>
                <w:rFonts w:ascii="Cambria" w:hAnsi="Cambria" w:cs="Arial"/>
                <w:sz w:val="20"/>
                <w:szCs w:val="20"/>
              </w:rPr>
              <w:t xml:space="preserve">an explicit </w:t>
            </w:r>
            <w:r w:rsidR="00DD7E43" w:rsidRPr="00DD7E43">
              <w:rPr>
                <w:rFonts w:ascii="Cambria" w:hAnsi="Cambria" w:cs="Arial"/>
                <w:sz w:val="20"/>
                <w:szCs w:val="20"/>
              </w:rPr>
              <w:t xml:space="preserve">legal requirement (and/or, conversely, </w:t>
            </w:r>
            <w:r w:rsidR="008E2ABD">
              <w:rPr>
                <w:rFonts w:ascii="Cambria" w:hAnsi="Cambria" w:cs="Arial"/>
                <w:sz w:val="20"/>
                <w:szCs w:val="20"/>
              </w:rPr>
              <w:t xml:space="preserve">making </w:t>
            </w:r>
            <w:r w:rsidR="00DD7E43" w:rsidRPr="00DD7E43">
              <w:rPr>
                <w:rFonts w:ascii="Cambria" w:hAnsi="Cambria" w:cs="Arial"/>
                <w:sz w:val="20"/>
                <w:szCs w:val="20"/>
              </w:rPr>
              <w:t>the lack of due diligence a key element of a public law offence)</w:t>
            </w:r>
            <w:r w:rsidR="000000D7" w:rsidRPr="000000D7">
              <w:rPr>
                <w:rFonts w:ascii="Cambria" w:hAnsi="Cambria" w:cs="Arial"/>
                <w:sz w:val="20"/>
                <w:szCs w:val="20"/>
              </w:rPr>
              <w:t>;</w:t>
            </w:r>
          </w:p>
          <w:p w:rsidR="0006191C" w:rsidRDefault="0006191C">
            <w:pPr>
              <w:ind w:right="1179"/>
              <w:jc w:val="both"/>
              <w:rPr>
                <w:rFonts w:ascii="Cambria" w:hAnsi="Cambria" w:cs="Arial"/>
                <w:i/>
                <w:sz w:val="20"/>
                <w:szCs w:val="20"/>
              </w:rPr>
            </w:pPr>
          </w:p>
          <w:p w:rsidR="0006191C" w:rsidRDefault="00407C20">
            <w:pPr>
              <w:pStyle w:val="ListParagraph"/>
              <w:numPr>
                <w:ilvl w:val="0"/>
                <w:numId w:val="50"/>
              </w:numPr>
              <w:ind w:right="1179"/>
              <w:jc w:val="both"/>
              <w:rPr>
                <w:rFonts w:ascii="Cambria" w:hAnsi="Cambria" w:cs="Arial"/>
                <w:i/>
                <w:sz w:val="20"/>
                <w:szCs w:val="20"/>
              </w:rPr>
            </w:pPr>
            <w:r>
              <w:rPr>
                <w:rFonts w:ascii="Cambria" w:hAnsi="Cambria"/>
                <w:sz w:val="20"/>
                <w:szCs w:val="20"/>
              </w:rPr>
              <w:t>providing guidance (e.g.</w:t>
            </w:r>
            <w:r w:rsidR="008E2ABD">
              <w:rPr>
                <w:rFonts w:ascii="Cambria" w:hAnsi="Cambria"/>
                <w:sz w:val="20"/>
                <w:szCs w:val="20"/>
              </w:rPr>
              <w:t xml:space="preserve"> by way of statutory provisions or supplementary statutory guidance) </w:t>
            </w:r>
            <w:r w:rsidR="00DD7E43" w:rsidRPr="00DD7E43">
              <w:rPr>
                <w:rFonts w:ascii="Cambria" w:hAnsi="Cambria"/>
                <w:sz w:val="20"/>
                <w:szCs w:val="20"/>
              </w:rPr>
              <w:t>as to the required components of management and internal control systems in specific operational contexts, including provisions with respect to scope, training and implementation, internal communication, and internal sanctions for non-compliance</w:t>
            </w:r>
            <w:r>
              <w:rPr>
                <w:rFonts w:ascii="Cambria" w:hAnsi="Cambria"/>
                <w:sz w:val="20"/>
                <w:szCs w:val="20"/>
              </w:rPr>
              <w:t>;</w:t>
            </w:r>
          </w:p>
          <w:p w:rsidR="0006191C" w:rsidRDefault="0006191C">
            <w:pPr>
              <w:pStyle w:val="ListParagraph"/>
              <w:rPr>
                <w:rFonts w:ascii="Cambria" w:hAnsi="Cambria" w:cs="Arial"/>
                <w:i/>
                <w:sz w:val="20"/>
                <w:szCs w:val="20"/>
              </w:rPr>
            </w:pPr>
          </w:p>
          <w:p w:rsidR="007E2F0F" w:rsidRPr="000000D7" w:rsidRDefault="00407C20" w:rsidP="00E623C2">
            <w:pPr>
              <w:pStyle w:val="ListParagraph"/>
              <w:numPr>
                <w:ilvl w:val="0"/>
                <w:numId w:val="9"/>
              </w:numPr>
              <w:ind w:right="1179"/>
              <w:jc w:val="both"/>
              <w:rPr>
                <w:rFonts w:ascii="Cambria" w:hAnsi="Cambria" w:cs="Arial"/>
                <w:i/>
                <w:sz w:val="20"/>
                <w:szCs w:val="20"/>
              </w:rPr>
            </w:pPr>
            <w:proofErr w:type="gramStart"/>
            <w:r>
              <w:rPr>
                <w:rFonts w:ascii="Cambria" w:hAnsi="Cambria"/>
                <w:sz w:val="20"/>
                <w:szCs w:val="20"/>
              </w:rPr>
              <w:t>p</w:t>
            </w:r>
            <w:r w:rsidR="008E2ABD">
              <w:rPr>
                <w:rFonts w:ascii="Cambria" w:hAnsi="Cambria"/>
                <w:sz w:val="20"/>
                <w:szCs w:val="20"/>
              </w:rPr>
              <w:t>roviding</w:t>
            </w:r>
            <w:proofErr w:type="gramEnd"/>
            <w:r w:rsidR="008E2ABD">
              <w:rPr>
                <w:rFonts w:ascii="Cambria" w:hAnsi="Cambria"/>
                <w:sz w:val="20"/>
                <w:szCs w:val="20"/>
              </w:rPr>
              <w:t xml:space="preserve"> for </w:t>
            </w:r>
            <w:r w:rsidR="007E2F0F" w:rsidRPr="000000D7">
              <w:rPr>
                <w:rFonts w:ascii="Cambria" w:hAnsi="Cambria"/>
                <w:sz w:val="20"/>
                <w:szCs w:val="20"/>
              </w:rPr>
              <w:t xml:space="preserve"> a complete or partial </w:t>
            </w:r>
            <w:proofErr w:type="spellStart"/>
            <w:r w:rsidR="007E2F0F" w:rsidRPr="000000D7">
              <w:rPr>
                <w:rFonts w:ascii="Cambria" w:hAnsi="Cambria"/>
                <w:sz w:val="20"/>
                <w:szCs w:val="20"/>
              </w:rPr>
              <w:t>defense</w:t>
            </w:r>
            <w:proofErr w:type="spellEnd"/>
            <w:r w:rsidR="007E2F0F" w:rsidRPr="000000D7">
              <w:rPr>
                <w:rFonts w:ascii="Cambria" w:hAnsi="Cambria"/>
                <w:sz w:val="20"/>
                <w:szCs w:val="20"/>
              </w:rPr>
              <w:t xml:space="preserve"> to corporate legal liability </w:t>
            </w:r>
            <w:r w:rsidR="00CF4A18" w:rsidRPr="000000D7">
              <w:rPr>
                <w:rFonts w:ascii="Cambria" w:hAnsi="Cambria"/>
                <w:sz w:val="20"/>
                <w:szCs w:val="20"/>
              </w:rPr>
              <w:t xml:space="preserve">(for instance under “strict liability” domestic public law regimes) </w:t>
            </w:r>
            <w:r w:rsidR="007E2F0F" w:rsidRPr="000000D7">
              <w:rPr>
                <w:rFonts w:ascii="Cambria" w:hAnsi="Cambria"/>
                <w:sz w:val="20"/>
                <w:szCs w:val="20"/>
              </w:rPr>
              <w:t>if a defendant company is able to show that the commission of the offence was not the result of any defective risk management or internal control systems.</w:t>
            </w:r>
            <w:r w:rsidR="00247E6C">
              <w:rPr>
                <w:rFonts w:ascii="Cambria" w:hAnsi="Cambria"/>
                <w:sz w:val="20"/>
                <w:szCs w:val="20"/>
              </w:rPr>
              <w:t xml:space="preserve"> </w:t>
            </w:r>
            <w:r w:rsidR="00247E6C">
              <w:rPr>
                <w:rFonts w:ascii="Cambria" w:hAnsi="Cambria"/>
                <w:b/>
                <w:sz w:val="20"/>
                <w:szCs w:val="20"/>
              </w:rPr>
              <w:t>Note</w:t>
            </w:r>
            <w:r w:rsidR="00AB0829">
              <w:rPr>
                <w:rFonts w:ascii="Cambria" w:hAnsi="Cambria"/>
                <w:b/>
                <w:sz w:val="20"/>
                <w:szCs w:val="20"/>
              </w:rPr>
              <w:t>:</w:t>
            </w:r>
            <w:r w:rsidR="00247E6C">
              <w:rPr>
                <w:rFonts w:ascii="Cambria" w:hAnsi="Cambria"/>
                <w:b/>
                <w:sz w:val="20"/>
                <w:szCs w:val="20"/>
              </w:rPr>
              <w:t xml:space="preserve"> </w:t>
            </w:r>
            <w:r w:rsidR="00247E6C">
              <w:rPr>
                <w:rFonts w:ascii="Cambria" w:hAnsi="Cambria"/>
                <w:sz w:val="20"/>
                <w:szCs w:val="20"/>
              </w:rPr>
              <w:t>On “strict” and “absolute</w:t>
            </w:r>
            <w:r w:rsidR="00917B5B">
              <w:rPr>
                <w:rFonts w:ascii="Cambria" w:hAnsi="Cambria"/>
                <w:sz w:val="20"/>
                <w:szCs w:val="20"/>
              </w:rPr>
              <w:t>” liability, see further 3.</w:t>
            </w:r>
            <w:r w:rsidR="00247E6C">
              <w:rPr>
                <w:rFonts w:ascii="Cambria" w:hAnsi="Cambria"/>
                <w:sz w:val="20"/>
                <w:szCs w:val="20"/>
              </w:rPr>
              <w:t>3 below</w:t>
            </w:r>
            <w:r>
              <w:rPr>
                <w:rFonts w:ascii="Cambria" w:hAnsi="Cambria"/>
                <w:sz w:val="20"/>
                <w:szCs w:val="20"/>
              </w:rPr>
              <w:t>;</w:t>
            </w:r>
          </w:p>
          <w:p w:rsidR="007E2F0F" w:rsidRPr="000000D7" w:rsidRDefault="007E2F0F" w:rsidP="007E2F0F">
            <w:pPr>
              <w:ind w:left="360" w:right="1179"/>
              <w:jc w:val="both"/>
              <w:rPr>
                <w:rFonts w:ascii="Cambria" w:hAnsi="Cambria" w:cs="Arial"/>
                <w:i/>
                <w:sz w:val="20"/>
                <w:szCs w:val="20"/>
              </w:rPr>
            </w:pPr>
          </w:p>
          <w:p w:rsidR="00F24F90" w:rsidRPr="00F24F90" w:rsidRDefault="00407C20" w:rsidP="00E623C2">
            <w:pPr>
              <w:pStyle w:val="ListParagraph"/>
              <w:numPr>
                <w:ilvl w:val="0"/>
                <w:numId w:val="9"/>
              </w:numPr>
              <w:ind w:right="1179"/>
              <w:jc w:val="both"/>
              <w:rPr>
                <w:rFonts w:ascii="Cambria" w:hAnsi="Cambria"/>
                <w:b/>
                <w:sz w:val="20"/>
                <w:szCs w:val="20"/>
              </w:rPr>
            </w:pPr>
            <w:r>
              <w:rPr>
                <w:rFonts w:ascii="Cambria" w:hAnsi="Cambria" w:cs="Arial"/>
                <w:sz w:val="20"/>
                <w:szCs w:val="20"/>
              </w:rPr>
              <w:t>a</w:t>
            </w:r>
            <w:r w:rsidR="000E7C3A">
              <w:rPr>
                <w:rFonts w:ascii="Cambria" w:hAnsi="Cambria" w:cs="Arial"/>
                <w:sz w:val="20"/>
                <w:szCs w:val="20"/>
              </w:rPr>
              <w:t xml:space="preserve">pplication of </w:t>
            </w:r>
            <w:r w:rsidR="00F24F90">
              <w:rPr>
                <w:rFonts w:ascii="Cambria" w:hAnsi="Cambria" w:cs="Arial"/>
                <w:sz w:val="20"/>
                <w:szCs w:val="20"/>
              </w:rPr>
              <w:t>“objective</w:t>
            </w:r>
            <w:r w:rsidR="000E7C3A">
              <w:rPr>
                <w:rFonts w:ascii="Cambria" w:hAnsi="Cambria" w:cs="Arial"/>
                <w:sz w:val="20"/>
                <w:szCs w:val="20"/>
              </w:rPr>
              <w:t>” standards of proof and principles</w:t>
            </w:r>
            <w:r w:rsidR="00F24F90">
              <w:rPr>
                <w:rFonts w:ascii="Cambria" w:hAnsi="Cambria" w:cs="Arial"/>
                <w:sz w:val="20"/>
                <w:szCs w:val="20"/>
              </w:rPr>
              <w:t xml:space="preserve"> of “wilful blindness” (see explanatory notes below)</w:t>
            </w:r>
            <w:r>
              <w:rPr>
                <w:rFonts w:ascii="Cambria" w:hAnsi="Cambria" w:cs="Arial"/>
                <w:sz w:val="20"/>
                <w:szCs w:val="20"/>
              </w:rPr>
              <w:t>;</w:t>
            </w:r>
          </w:p>
          <w:p w:rsidR="0006191C" w:rsidRDefault="0006191C">
            <w:pPr>
              <w:pStyle w:val="ListParagraph"/>
              <w:rPr>
                <w:rFonts w:ascii="Cambria" w:hAnsi="Cambria"/>
                <w:b/>
                <w:sz w:val="20"/>
                <w:szCs w:val="20"/>
              </w:rPr>
            </w:pPr>
          </w:p>
          <w:p w:rsidR="00F24F90" w:rsidRDefault="00407C20" w:rsidP="00E623C2">
            <w:pPr>
              <w:pStyle w:val="ListParagraph"/>
              <w:numPr>
                <w:ilvl w:val="0"/>
                <w:numId w:val="9"/>
              </w:numPr>
              <w:ind w:right="1179"/>
              <w:jc w:val="both"/>
              <w:rPr>
                <w:rFonts w:ascii="Cambria" w:hAnsi="Cambria"/>
                <w:sz w:val="20"/>
                <w:szCs w:val="20"/>
              </w:rPr>
            </w:pPr>
            <w:proofErr w:type="gramStart"/>
            <w:r>
              <w:rPr>
                <w:rFonts w:ascii="Cambria" w:hAnsi="Cambria"/>
                <w:sz w:val="20"/>
                <w:szCs w:val="20"/>
              </w:rPr>
              <w:t>p</w:t>
            </w:r>
            <w:r w:rsidR="00D94FC4">
              <w:rPr>
                <w:rFonts w:ascii="Cambria" w:hAnsi="Cambria"/>
                <w:sz w:val="20"/>
                <w:szCs w:val="20"/>
              </w:rPr>
              <w:t>roviding</w:t>
            </w:r>
            <w:proofErr w:type="gramEnd"/>
            <w:r w:rsidR="00D94FC4">
              <w:rPr>
                <w:rFonts w:ascii="Cambria" w:hAnsi="Cambria"/>
                <w:sz w:val="20"/>
                <w:szCs w:val="20"/>
              </w:rPr>
              <w:t xml:space="preserve"> guidance as to</w:t>
            </w:r>
            <w:r w:rsidR="00DD7E43" w:rsidRPr="00DD7E43">
              <w:rPr>
                <w:rFonts w:ascii="Cambria" w:hAnsi="Cambria"/>
                <w:sz w:val="20"/>
                <w:szCs w:val="20"/>
              </w:rPr>
              <w:t xml:space="preserve"> </w:t>
            </w:r>
            <w:r w:rsidR="00F24F90">
              <w:rPr>
                <w:rFonts w:ascii="Cambria" w:hAnsi="Cambria"/>
                <w:sz w:val="20"/>
                <w:szCs w:val="20"/>
              </w:rPr>
              <w:t xml:space="preserve">the extent to which </w:t>
            </w:r>
            <w:r w:rsidR="00D94FC4">
              <w:rPr>
                <w:rFonts w:ascii="Cambria" w:hAnsi="Cambria"/>
                <w:sz w:val="20"/>
                <w:szCs w:val="20"/>
              </w:rPr>
              <w:t xml:space="preserve">the use by </w:t>
            </w:r>
            <w:r w:rsidR="00F24F90">
              <w:rPr>
                <w:rFonts w:ascii="Cambria" w:hAnsi="Cambria"/>
                <w:sz w:val="20"/>
                <w:szCs w:val="20"/>
              </w:rPr>
              <w:t xml:space="preserve">a company </w:t>
            </w:r>
            <w:r w:rsidR="00D94FC4">
              <w:rPr>
                <w:rFonts w:ascii="Cambria" w:hAnsi="Cambria"/>
                <w:sz w:val="20"/>
                <w:szCs w:val="20"/>
              </w:rPr>
              <w:t>of</w:t>
            </w:r>
            <w:r w:rsidR="00F24F90">
              <w:rPr>
                <w:rFonts w:ascii="Cambria" w:hAnsi="Cambria"/>
                <w:sz w:val="20"/>
                <w:szCs w:val="20"/>
              </w:rPr>
              <w:t xml:space="preserve"> “human rights due diligence” </w:t>
            </w:r>
            <w:r w:rsidR="00D94FC4">
              <w:rPr>
                <w:rFonts w:ascii="Cambria" w:hAnsi="Cambria"/>
                <w:sz w:val="20"/>
                <w:szCs w:val="20"/>
              </w:rPr>
              <w:t>should be</w:t>
            </w:r>
            <w:r w:rsidR="00F24F90">
              <w:rPr>
                <w:rFonts w:ascii="Cambria" w:hAnsi="Cambria"/>
                <w:sz w:val="20"/>
                <w:szCs w:val="20"/>
              </w:rPr>
              <w:t xml:space="preserve"> tak</w:t>
            </w:r>
            <w:r w:rsidR="00D94FC4">
              <w:rPr>
                <w:rFonts w:ascii="Cambria" w:hAnsi="Cambria"/>
                <w:sz w:val="20"/>
                <w:szCs w:val="20"/>
              </w:rPr>
              <w:t>en</w:t>
            </w:r>
            <w:r w:rsidR="00F24F90">
              <w:rPr>
                <w:rFonts w:ascii="Cambria" w:hAnsi="Cambria"/>
                <w:sz w:val="20"/>
                <w:szCs w:val="20"/>
              </w:rPr>
              <w:t xml:space="preserve"> into account in sentencing.  </w:t>
            </w:r>
            <w:r w:rsidR="00AB0829">
              <w:rPr>
                <w:rFonts w:ascii="Cambria" w:hAnsi="Cambria"/>
                <w:b/>
                <w:sz w:val="20"/>
                <w:szCs w:val="20"/>
              </w:rPr>
              <w:t>Note:</w:t>
            </w:r>
            <w:r w:rsidR="00F24F90">
              <w:rPr>
                <w:rFonts w:ascii="Cambria" w:hAnsi="Cambria"/>
                <w:sz w:val="20"/>
                <w:szCs w:val="20"/>
              </w:rPr>
              <w:t xml:space="preserve"> on sanctions and other remedies for breaches of standards under domestic public law regimes see 11.2 below.</w:t>
            </w:r>
          </w:p>
          <w:p w:rsidR="0006191C" w:rsidRPr="00917B5B" w:rsidRDefault="0006191C" w:rsidP="00917B5B">
            <w:pPr>
              <w:ind w:right="1179"/>
              <w:jc w:val="both"/>
              <w:rPr>
                <w:rFonts w:ascii="Cambria" w:hAnsi="Cambria"/>
                <w:sz w:val="20"/>
                <w:szCs w:val="20"/>
              </w:rPr>
            </w:pPr>
          </w:p>
          <w:p w:rsidR="0006191C" w:rsidRPr="00407C20" w:rsidRDefault="00F24F90" w:rsidP="00407C20">
            <w:pPr>
              <w:ind w:right="1179"/>
              <w:jc w:val="both"/>
              <w:rPr>
                <w:rFonts w:ascii="Cambria" w:hAnsi="Cambria"/>
                <w:b/>
                <w:i/>
                <w:sz w:val="20"/>
                <w:szCs w:val="20"/>
              </w:rPr>
            </w:pPr>
            <w:r w:rsidRPr="00407C20">
              <w:rPr>
                <w:rFonts w:ascii="Cambria" w:hAnsi="Cambria"/>
                <w:b/>
                <w:i/>
                <w:sz w:val="20"/>
                <w:szCs w:val="20"/>
              </w:rPr>
              <w:t xml:space="preserve">Note: In practice, domestic public law regimes do not use one or other approach exclusively.  Instead, different </w:t>
            </w:r>
            <w:r w:rsidRPr="00407C20">
              <w:rPr>
                <w:rFonts w:ascii="Cambria" w:hAnsi="Cambria"/>
                <w:sz w:val="20"/>
                <w:szCs w:val="20"/>
              </w:rPr>
              <w:t>tests</w:t>
            </w:r>
            <w:r w:rsidRPr="00407C20">
              <w:rPr>
                <w:rFonts w:ascii="Cambria" w:hAnsi="Cambria"/>
                <w:b/>
                <w:i/>
                <w:sz w:val="20"/>
                <w:szCs w:val="20"/>
              </w:rPr>
              <w:t xml:space="preserve"> for secondary (or “complicity”) liability may be used in combination, or in the alternative, depending on the relevant policy objectives and regulatory needs.</w:t>
            </w:r>
          </w:p>
          <w:p w:rsidR="0006191C" w:rsidRDefault="0006191C">
            <w:pPr>
              <w:ind w:right="1179"/>
              <w:jc w:val="both"/>
              <w:rPr>
                <w:rFonts w:ascii="Cambria" w:hAnsi="Cambria" w:cs="Arial"/>
                <w:sz w:val="20"/>
                <w:szCs w:val="20"/>
              </w:rPr>
            </w:pPr>
          </w:p>
          <w:p w:rsidR="0006191C" w:rsidRDefault="00DD7E43">
            <w:pPr>
              <w:ind w:right="1179"/>
              <w:jc w:val="both"/>
              <w:rPr>
                <w:rFonts w:ascii="Cambria" w:hAnsi="Cambria" w:cs="Arial"/>
                <w:sz w:val="20"/>
                <w:szCs w:val="20"/>
              </w:rPr>
            </w:pPr>
            <w:r w:rsidRPr="00DD7E43">
              <w:rPr>
                <w:rFonts w:ascii="Cambria" w:hAnsi="Cambria" w:cs="Arial"/>
                <w:b/>
                <w:i/>
                <w:sz w:val="20"/>
                <w:szCs w:val="20"/>
              </w:rPr>
              <w:t>Explanatory notes:</w:t>
            </w:r>
          </w:p>
          <w:p w:rsidR="0006191C" w:rsidRDefault="0006191C">
            <w:pPr>
              <w:ind w:right="1179"/>
              <w:jc w:val="both"/>
              <w:rPr>
                <w:rFonts w:ascii="Cambria" w:hAnsi="Cambria" w:cs="Arial"/>
                <w:sz w:val="20"/>
                <w:szCs w:val="20"/>
              </w:rPr>
            </w:pPr>
          </w:p>
          <w:p w:rsidR="0006191C" w:rsidRDefault="00F24F90">
            <w:pPr>
              <w:ind w:right="1179"/>
              <w:jc w:val="both"/>
              <w:rPr>
                <w:rFonts w:ascii="Cambria" w:hAnsi="Cambria" w:cs="Arial"/>
                <w:sz w:val="20"/>
                <w:szCs w:val="20"/>
              </w:rPr>
            </w:pPr>
            <w:r w:rsidRPr="00917B5B">
              <w:rPr>
                <w:rFonts w:ascii="Cambria" w:hAnsi="Cambria" w:cs="Arial"/>
                <w:b/>
                <w:i/>
                <w:sz w:val="20"/>
                <w:szCs w:val="20"/>
              </w:rPr>
              <w:t>(</w:t>
            </w:r>
            <w:proofErr w:type="spellStart"/>
            <w:r w:rsidRPr="00917B5B">
              <w:rPr>
                <w:rFonts w:ascii="Cambria" w:hAnsi="Cambria" w:cs="Arial"/>
                <w:b/>
                <w:i/>
                <w:sz w:val="20"/>
                <w:szCs w:val="20"/>
              </w:rPr>
              <w:t>i</w:t>
            </w:r>
            <w:proofErr w:type="spellEnd"/>
            <w:r w:rsidRPr="00917B5B">
              <w:rPr>
                <w:rFonts w:ascii="Cambria" w:hAnsi="Cambria" w:cs="Arial"/>
                <w:b/>
                <w:i/>
                <w:sz w:val="20"/>
                <w:szCs w:val="20"/>
              </w:rPr>
              <w:t>)</w:t>
            </w:r>
            <w:r>
              <w:rPr>
                <w:rFonts w:ascii="Cambria" w:hAnsi="Cambria" w:cs="Arial"/>
                <w:sz w:val="20"/>
                <w:szCs w:val="20"/>
              </w:rPr>
              <w:t xml:space="preserve"> </w:t>
            </w:r>
            <w:r>
              <w:rPr>
                <w:rFonts w:ascii="Cambria" w:hAnsi="Cambria" w:cs="Arial"/>
                <w:b/>
                <w:i/>
                <w:sz w:val="20"/>
                <w:szCs w:val="20"/>
              </w:rPr>
              <w:t xml:space="preserve">Use of “objective” standards of proof. </w:t>
            </w:r>
            <w:r w:rsidR="00DD7E43" w:rsidRPr="00DD7E43">
              <w:rPr>
                <w:rFonts w:ascii="Cambria" w:hAnsi="Cambria" w:cs="Arial"/>
                <w:sz w:val="20"/>
                <w:szCs w:val="20"/>
              </w:rPr>
              <w:t xml:space="preserve">Lack of knowledge about the nature and extent of human rights risks may not be exculpatory under domestic law regimes which apply “objective” rather than “subjective” standards to the determination of whether a defendant had made adequate enquiries into possible sources of risk and had responded appropriately to those risks.  Under such regimes, the questions of whether a defendant had made adequate enquiries and had responded adequately to human rights risks would be determined by reference to what a “reasonable person” (or “reasonable company”) would have discovered and done in the circumstances, not by reference to what the company </w:t>
            </w:r>
            <w:r w:rsidR="00DD7E43" w:rsidRPr="00DD7E43">
              <w:rPr>
                <w:rFonts w:ascii="Cambria" w:hAnsi="Cambria" w:cs="Arial"/>
                <w:i/>
                <w:sz w:val="20"/>
                <w:szCs w:val="20"/>
              </w:rPr>
              <w:t xml:space="preserve">actually </w:t>
            </w:r>
            <w:r w:rsidR="00DD7E43" w:rsidRPr="00DD7E43">
              <w:rPr>
                <w:rFonts w:ascii="Cambria" w:hAnsi="Cambria" w:cs="Arial"/>
                <w:sz w:val="20"/>
                <w:szCs w:val="20"/>
              </w:rPr>
              <w:t>knew and did.  This approach creates incentives to carry out human rights due diligence and to respond appropriately to human rights risks.</w:t>
            </w:r>
          </w:p>
          <w:p w:rsidR="0006191C" w:rsidRDefault="0006191C">
            <w:pPr>
              <w:ind w:right="1179"/>
              <w:jc w:val="both"/>
              <w:rPr>
                <w:rFonts w:ascii="Cambria" w:hAnsi="Cambria" w:cs="Arial"/>
                <w:b/>
                <w:i/>
                <w:sz w:val="20"/>
                <w:szCs w:val="20"/>
              </w:rPr>
            </w:pPr>
          </w:p>
          <w:p w:rsidR="0006191C" w:rsidRDefault="00F24F90" w:rsidP="00C35CBA">
            <w:pPr>
              <w:ind w:right="1179"/>
              <w:jc w:val="both"/>
              <w:rPr>
                <w:rFonts w:ascii="Cambria" w:hAnsi="Cambria" w:cs="Arial"/>
                <w:sz w:val="20"/>
                <w:szCs w:val="20"/>
              </w:rPr>
            </w:pPr>
            <w:r w:rsidRPr="00917B5B">
              <w:rPr>
                <w:rFonts w:ascii="Cambria" w:hAnsi="Cambria" w:cs="Arial"/>
                <w:b/>
                <w:i/>
                <w:sz w:val="20"/>
                <w:szCs w:val="20"/>
              </w:rPr>
              <w:t>(ii) Use of concepts of “</w:t>
            </w:r>
            <w:r w:rsidR="003A722D" w:rsidRPr="00917B5B">
              <w:rPr>
                <w:rFonts w:ascii="Cambria" w:hAnsi="Cambria" w:cs="Arial"/>
                <w:b/>
                <w:i/>
                <w:sz w:val="20"/>
                <w:szCs w:val="20"/>
              </w:rPr>
              <w:t>wil</w:t>
            </w:r>
            <w:r w:rsidRPr="00917B5B">
              <w:rPr>
                <w:rFonts w:ascii="Cambria" w:hAnsi="Cambria" w:cs="Arial"/>
                <w:b/>
                <w:i/>
                <w:sz w:val="20"/>
                <w:szCs w:val="20"/>
              </w:rPr>
              <w:t xml:space="preserve">ful blindness”.  </w:t>
            </w:r>
            <w:r w:rsidRPr="00917B5B">
              <w:rPr>
                <w:rFonts w:ascii="Cambria" w:hAnsi="Cambria" w:cs="Arial"/>
                <w:sz w:val="20"/>
                <w:szCs w:val="20"/>
              </w:rPr>
              <w:t>The concept of “wilful blindness” aims to prevent defendants from invoking a defence to a public law offence based on lack of knowledge in circumstances where the relevant knowledge would have been relatively easy to obtain.  This means that the defendant cannot avoid criminal liability for failing to make reasonable enquiries, and take appropriate steps, where the risks of a serious crime being committed would have been apparent to a “reasonable person”.</w:t>
            </w:r>
          </w:p>
          <w:p w:rsidR="00C35CBA" w:rsidRDefault="00C35CBA" w:rsidP="00C35CBA">
            <w:pPr>
              <w:ind w:right="1179"/>
              <w:jc w:val="both"/>
              <w:rPr>
                <w:rFonts w:ascii="Cambria" w:hAnsi="Cambria"/>
                <w:b/>
                <w:i/>
              </w:rPr>
            </w:pP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3.2</w:t>
      </w:r>
      <w:r w:rsidRPr="008B11B2">
        <w:rPr>
          <w:rFonts w:ascii="Cambria" w:hAnsi="Cambria"/>
          <w:b/>
          <w:sz w:val="22"/>
          <w:szCs w:val="22"/>
        </w:rPr>
        <w:tab/>
        <w:t>Domestic public law regimes take appropriate account of effective measures by companies to supervise their officers and employees to prevent and mitigate adverse human rights impacts.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CF4A18" w:rsidRPr="00CF4A18" w:rsidRDefault="00EF5D9A" w:rsidP="00CF4A18">
            <w:pPr>
              <w:pStyle w:val="SingleTxtG"/>
              <w:ind w:left="0" w:right="0"/>
              <w:rPr>
                <w:rFonts w:ascii="Cambria" w:hAnsi="Cambria"/>
                <w:b/>
              </w:rPr>
            </w:pPr>
            <w:r>
              <w:rPr>
                <w:rFonts w:ascii="Cambria" w:hAnsi="Cambria"/>
                <w:b/>
                <w:sz w:val="22"/>
                <w:szCs w:val="22"/>
              </w:rPr>
              <w:t>Illustrative example</w:t>
            </w:r>
            <w:r w:rsidR="00474E24">
              <w:rPr>
                <w:rFonts w:ascii="Cambria" w:hAnsi="Cambria"/>
                <w:b/>
                <w:sz w:val="22"/>
                <w:szCs w:val="22"/>
              </w:rPr>
              <w:t>s</w:t>
            </w:r>
            <w:r>
              <w:rPr>
                <w:rFonts w:ascii="Cambria" w:hAnsi="Cambria"/>
                <w:b/>
                <w:sz w:val="22"/>
                <w:szCs w:val="22"/>
              </w:rPr>
              <w:t>: 3.2</w:t>
            </w:r>
          </w:p>
          <w:p w:rsidR="00F70C11" w:rsidRDefault="00C35CBA" w:rsidP="002045CD">
            <w:pPr>
              <w:jc w:val="both"/>
              <w:rPr>
                <w:rFonts w:ascii="Cambria" w:hAnsi="Cambria"/>
                <w:sz w:val="20"/>
                <w:szCs w:val="20"/>
              </w:rPr>
            </w:pPr>
            <w:r>
              <w:rPr>
                <w:rFonts w:ascii="Cambria" w:hAnsi="Cambria"/>
                <w:sz w:val="20"/>
                <w:szCs w:val="20"/>
              </w:rPr>
              <w:t xml:space="preserve">A. </w:t>
            </w:r>
            <w:r w:rsidR="00F70C11">
              <w:rPr>
                <w:rFonts w:ascii="Cambria" w:hAnsi="Cambria"/>
                <w:sz w:val="20"/>
                <w:szCs w:val="20"/>
              </w:rPr>
              <w:t xml:space="preserve">Ways to encourage companies to use effective measures to supervise </w:t>
            </w:r>
            <w:r w:rsidR="00620C4E">
              <w:rPr>
                <w:rFonts w:ascii="Cambria" w:hAnsi="Cambria"/>
                <w:sz w:val="20"/>
                <w:szCs w:val="20"/>
              </w:rPr>
              <w:t>officers and employees include;</w:t>
            </w:r>
          </w:p>
          <w:p w:rsidR="00F70C11" w:rsidRDefault="00F70C11" w:rsidP="002045CD">
            <w:pPr>
              <w:jc w:val="both"/>
              <w:rPr>
                <w:rFonts w:ascii="Cambria" w:hAnsi="Cambria"/>
                <w:sz w:val="20"/>
                <w:szCs w:val="20"/>
              </w:rPr>
            </w:pPr>
          </w:p>
          <w:p w:rsidR="00F70C11" w:rsidRPr="00F70C11" w:rsidRDefault="00620C4E" w:rsidP="002045CD">
            <w:pPr>
              <w:pStyle w:val="ListParagraph"/>
              <w:numPr>
                <w:ilvl w:val="0"/>
                <w:numId w:val="51"/>
              </w:numPr>
              <w:jc w:val="both"/>
              <w:rPr>
                <w:rFonts w:ascii="Cambria" w:hAnsi="Cambria"/>
                <w:sz w:val="20"/>
                <w:szCs w:val="20"/>
              </w:rPr>
            </w:pPr>
            <w:r>
              <w:rPr>
                <w:rFonts w:ascii="Cambria" w:hAnsi="Cambria"/>
                <w:sz w:val="20"/>
                <w:szCs w:val="20"/>
              </w:rPr>
              <w:t>u</w:t>
            </w:r>
            <w:r w:rsidR="00F70C11">
              <w:rPr>
                <w:rFonts w:ascii="Cambria" w:hAnsi="Cambria"/>
                <w:sz w:val="20"/>
                <w:szCs w:val="20"/>
              </w:rPr>
              <w:t>se of t</w:t>
            </w:r>
            <w:r w:rsidR="002045CD" w:rsidRPr="00F70C11">
              <w:rPr>
                <w:rFonts w:ascii="Cambria" w:hAnsi="Cambria"/>
                <w:sz w:val="20"/>
                <w:szCs w:val="20"/>
              </w:rPr>
              <w:t xml:space="preserve">he doctrine of “vicarious liability” (See A/HRC/32/19/Add.1), whereby a company may </w:t>
            </w:r>
            <w:r w:rsidR="002045CD" w:rsidRPr="00F70C11">
              <w:rPr>
                <w:rFonts w:ascii="Cambria" w:hAnsi="Cambria"/>
                <w:sz w:val="20"/>
                <w:szCs w:val="20"/>
              </w:rPr>
              <w:lastRenderedPageBreak/>
              <w:t xml:space="preserve">be liable for acts carried out by employees or agents on its behalf, </w:t>
            </w:r>
            <w:r w:rsidR="002045CD" w:rsidRPr="00F70C11">
              <w:rPr>
                <w:rFonts w:ascii="Cambria" w:hAnsi="Cambria" w:cs="Arial"/>
                <w:sz w:val="20"/>
                <w:szCs w:val="20"/>
              </w:rPr>
              <w:t>creates incentives to supervise employees and agents to ensure that breaches of the law do not occur.</w:t>
            </w:r>
            <w:r w:rsidR="00CF4A18" w:rsidRPr="00F70C11">
              <w:rPr>
                <w:rFonts w:ascii="Cambria" w:hAnsi="Cambria" w:cs="Arial"/>
                <w:sz w:val="20"/>
                <w:szCs w:val="20"/>
              </w:rPr>
              <w:t xml:space="preserve">  </w:t>
            </w:r>
            <w:r>
              <w:rPr>
                <w:rFonts w:ascii="Cambria" w:hAnsi="Cambria" w:cs="Arial"/>
                <w:b/>
                <w:sz w:val="20"/>
                <w:szCs w:val="20"/>
              </w:rPr>
              <w:t>Note:</w:t>
            </w:r>
            <w:r w:rsidR="00F70C11">
              <w:rPr>
                <w:rFonts w:ascii="Cambria" w:hAnsi="Cambria" w:cs="Arial"/>
                <w:sz w:val="20"/>
                <w:szCs w:val="20"/>
              </w:rPr>
              <w:t xml:space="preserve"> s</w:t>
            </w:r>
            <w:r w:rsidR="00CF4A18" w:rsidRPr="00F70C11">
              <w:rPr>
                <w:rFonts w:ascii="Cambria" w:hAnsi="Cambria" w:cs="Arial"/>
                <w:sz w:val="20"/>
                <w:szCs w:val="20"/>
              </w:rPr>
              <w:t>ee further 1.4 above</w:t>
            </w:r>
            <w:r w:rsidR="00F70C11">
              <w:rPr>
                <w:rFonts w:ascii="Cambria" w:hAnsi="Cambria" w:cs="Arial"/>
                <w:sz w:val="20"/>
                <w:szCs w:val="20"/>
              </w:rPr>
              <w:t>;</w:t>
            </w:r>
          </w:p>
          <w:p w:rsidR="0006191C" w:rsidRDefault="0006191C">
            <w:pPr>
              <w:pStyle w:val="ListParagraph"/>
              <w:jc w:val="both"/>
              <w:rPr>
                <w:rFonts w:ascii="Cambria" w:hAnsi="Cambria"/>
                <w:sz w:val="20"/>
                <w:szCs w:val="20"/>
              </w:rPr>
            </w:pPr>
          </w:p>
          <w:p w:rsidR="00620C4E" w:rsidRPr="00620C4E" w:rsidRDefault="00620C4E" w:rsidP="00AB0829">
            <w:pPr>
              <w:pStyle w:val="ListParagraph"/>
              <w:numPr>
                <w:ilvl w:val="0"/>
                <w:numId w:val="51"/>
              </w:numPr>
              <w:jc w:val="both"/>
              <w:rPr>
                <w:rFonts w:ascii="Cambria" w:hAnsi="Cambria"/>
                <w:b/>
              </w:rPr>
            </w:pPr>
            <w:proofErr w:type="gramStart"/>
            <w:r>
              <w:rPr>
                <w:rFonts w:ascii="Cambria" w:hAnsi="Cambria" w:cs="Arial"/>
                <w:sz w:val="20"/>
                <w:szCs w:val="20"/>
              </w:rPr>
              <w:t>c</w:t>
            </w:r>
            <w:r w:rsidR="00F70C11">
              <w:rPr>
                <w:rFonts w:ascii="Cambria" w:hAnsi="Cambria" w:cs="Arial"/>
                <w:sz w:val="20"/>
                <w:szCs w:val="20"/>
              </w:rPr>
              <w:t>reation</w:t>
            </w:r>
            <w:proofErr w:type="gramEnd"/>
            <w:r w:rsidR="00F70C11">
              <w:rPr>
                <w:rFonts w:ascii="Cambria" w:hAnsi="Cambria" w:cs="Arial"/>
                <w:sz w:val="20"/>
                <w:szCs w:val="20"/>
              </w:rPr>
              <w:t xml:space="preserve"> of </w:t>
            </w:r>
            <w:r w:rsidR="00375564">
              <w:rPr>
                <w:rFonts w:ascii="Cambria" w:hAnsi="Cambria"/>
                <w:sz w:val="20"/>
                <w:szCs w:val="20"/>
              </w:rPr>
              <w:t xml:space="preserve">a complete or partial </w:t>
            </w:r>
            <w:proofErr w:type="spellStart"/>
            <w:r w:rsidR="00375564">
              <w:rPr>
                <w:rFonts w:ascii="Cambria" w:hAnsi="Cambria"/>
                <w:sz w:val="20"/>
                <w:szCs w:val="20"/>
              </w:rPr>
              <w:t>defens</w:t>
            </w:r>
            <w:r w:rsidR="00474E24" w:rsidRPr="00474E24">
              <w:rPr>
                <w:rFonts w:ascii="Cambria" w:hAnsi="Cambria"/>
                <w:sz w:val="20"/>
                <w:szCs w:val="20"/>
              </w:rPr>
              <w:t>e</w:t>
            </w:r>
            <w:proofErr w:type="spellEnd"/>
            <w:r w:rsidR="00474E24" w:rsidRPr="00474E24">
              <w:rPr>
                <w:rFonts w:ascii="Cambria" w:hAnsi="Cambria"/>
                <w:sz w:val="20"/>
                <w:szCs w:val="20"/>
              </w:rPr>
              <w:t xml:space="preserve"> to c</w:t>
            </w:r>
            <w:r w:rsidR="00474E24">
              <w:rPr>
                <w:rFonts w:ascii="Cambria" w:hAnsi="Cambria"/>
                <w:sz w:val="20"/>
                <w:szCs w:val="20"/>
              </w:rPr>
              <w:t>orporate legal liability for a</w:t>
            </w:r>
            <w:r w:rsidR="00474E24" w:rsidRPr="00474E24">
              <w:rPr>
                <w:rFonts w:ascii="Cambria" w:hAnsi="Cambria"/>
                <w:sz w:val="20"/>
                <w:szCs w:val="20"/>
              </w:rPr>
              <w:t xml:space="preserve"> </w:t>
            </w:r>
            <w:r w:rsidR="00474E24">
              <w:rPr>
                <w:rFonts w:ascii="Cambria" w:hAnsi="Cambria"/>
                <w:sz w:val="20"/>
                <w:szCs w:val="20"/>
              </w:rPr>
              <w:t>company</w:t>
            </w:r>
            <w:r w:rsidR="00474E24" w:rsidRPr="00474E24">
              <w:rPr>
                <w:rFonts w:ascii="Cambria" w:hAnsi="Cambria"/>
                <w:sz w:val="20"/>
                <w:szCs w:val="20"/>
              </w:rPr>
              <w:t xml:space="preserve"> to be able to show that the commission of an offence was not the result of a lack of due diligence in the hiring or supervision of emp</w:t>
            </w:r>
            <w:r w:rsidR="00375564">
              <w:rPr>
                <w:rFonts w:ascii="Cambria" w:hAnsi="Cambria"/>
                <w:sz w:val="20"/>
                <w:szCs w:val="20"/>
              </w:rPr>
              <w:t>loyees</w:t>
            </w:r>
            <w:r>
              <w:rPr>
                <w:rFonts w:ascii="Cambria" w:hAnsi="Cambria"/>
                <w:sz w:val="20"/>
                <w:szCs w:val="20"/>
              </w:rPr>
              <w:t>.</w:t>
            </w:r>
          </w:p>
          <w:p w:rsidR="002045CD" w:rsidRPr="00620C4E" w:rsidRDefault="00375564" w:rsidP="00620C4E">
            <w:pPr>
              <w:jc w:val="both"/>
              <w:rPr>
                <w:rFonts w:ascii="Cambria" w:hAnsi="Cambria"/>
                <w:b/>
              </w:rPr>
            </w:pPr>
            <w:r w:rsidRPr="00620C4E">
              <w:rPr>
                <w:rFonts w:ascii="Cambria" w:hAnsi="Cambria"/>
                <w:sz w:val="20"/>
                <w:szCs w:val="20"/>
              </w:rPr>
              <w:t xml:space="preserve"> </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3.3</w:t>
      </w:r>
      <w:r w:rsidRPr="008B11B2">
        <w:rPr>
          <w:rFonts w:ascii="Cambria" w:hAnsi="Cambria"/>
          <w:b/>
          <w:sz w:val="22"/>
          <w:szCs w:val="22"/>
        </w:rPr>
        <w:tab/>
        <w:t>Domestic public law regimes make appropriate use of strict or absolute liability as a means of encouraging greater levels of vigilance in relation to business activities that carry particularly high risks of severe human rights impacts.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3.3</w:t>
            </w:r>
          </w:p>
          <w:p w:rsidR="002715A9" w:rsidRDefault="00C35CBA" w:rsidP="00422082">
            <w:pPr>
              <w:pStyle w:val="SingleTxtG"/>
              <w:ind w:left="0" w:right="0"/>
              <w:rPr>
                <w:rFonts w:ascii="Cambria" w:hAnsi="Cambria" w:cs="Arial"/>
              </w:rPr>
            </w:pPr>
            <w:r>
              <w:rPr>
                <w:rFonts w:ascii="Cambria" w:hAnsi="Cambria" w:cs="Arial"/>
              </w:rPr>
              <w:t xml:space="preserve">A. </w:t>
            </w:r>
            <w:r w:rsidR="00F70C11">
              <w:rPr>
                <w:rFonts w:ascii="Cambria" w:hAnsi="Cambria" w:cs="Arial"/>
              </w:rPr>
              <w:t xml:space="preserve">On </w:t>
            </w:r>
            <w:r w:rsidR="002715A9">
              <w:rPr>
                <w:rFonts w:ascii="Cambria" w:hAnsi="Cambria" w:cs="Arial"/>
              </w:rPr>
              <w:t>“strict liability” and “absolute liability” see further A/HRC/32/19/Add.1, Box 1.</w:t>
            </w:r>
          </w:p>
          <w:p w:rsidR="00F70C11" w:rsidRDefault="00C35CBA" w:rsidP="00422082">
            <w:pPr>
              <w:pStyle w:val="SingleTxtG"/>
              <w:ind w:left="0" w:right="0"/>
              <w:rPr>
                <w:rFonts w:ascii="Cambria" w:hAnsi="Cambria" w:cs="Arial"/>
              </w:rPr>
            </w:pPr>
            <w:r>
              <w:rPr>
                <w:rFonts w:ascii="Cambria" w:hAnsi="Cambria" w:cs="Arial"/>
              </w:rPr>
              <w:t xml:space="preserve">B. </w:t>
            </w:r>
            <w:r w:rsidR="00F70C11">
              <w:rPr>
                <w:rFonts w:ascii="Cambria" w:hAnsi="Cambria" w:cs="Arial"/>
              </w:rPr>
              <w:t xml:space="preserve">Potential sources of strict or absolute liability for companies under domestic </w:t>
            </w:r>
            <w:r w:rsidR="00620C4E">
              <w:rPr>
                <w:rFonts w:ascii="Cambria" w:hAnsi="Cambria" w:cs="Arial"/>
              </w:rPr>
              <w:t>public law regimes include;</w:t>
            </w:r>
          </w:p>
          <w:p w:rsidR="0006191C" w:rsidRDefault="00620C4E">
            <w:pPr>
              <w:pStyle w:val="SingleTxtG"/>
              <w:numPr>
                <w:ilvl w:val="0"/>
                <w:numId w:val="52"/>
              </w:numPr>
              <w:ind w:right="0"/>
              <w:rPr>
                <w:rFonts w:ascii="Cambria" w:hAnsi="Cambria" w:cs="Arial"/>
              </w:rPr>
            </w:pPr>
            <w:r>
              <w:rPr>
                <w:rFonts w:ascii="Cambria" w:hAnsi="Cambria" w:cs="Arial"/>
              </w:rPr>
              <w:t>e</w:t>
            </w:r>
            <w:r w:rsidR="00F70C11">
              <w:rPr>
                <w:rFonts w:ascii="Cambria" w:hAnsi="Cambria" w:cs="Arial"/>
              </w:rPr>
              <w:t>nvironmental protection regimes;</w:t>
            </w:r>
          </w:p>
          <w:p w:rsidR="0006191C" w:rsidRDefault="00620C4E">
            <w:pPr>
              <w:pStyle w:val="SingleTxtG"/>
              <w:numPr>
                <w:ilvl w:val="0"/>
                <w:numId w:val="52"/>
              </w:numPr>
              <w:ind w:right="0"/>
              <w:rPr>
                <w:rFonts w:ascii="Cambria" w:hAnsi="Cambria" w:cs="Arial"/>
              </w:rPr>
            </w:pPr>
            <w:r>
              <w:rPr>
                <w:rFonts w:ascii="Cambria" w:hAnsi="Cambria" w:cs="Arial"/>
              </w:rPr>
              <w:t>c</w:t>
            </w:r>
            <w:r w:rsidR="00F70C11">
              <w:rPr>
                <w:rFonts w:ascii="Cambria" w:hAnsi="Cambria" w:cs="Arial"/>
              </w:rPr>
              <w:t>onsumer protection regimes;</w:t>
            </w:r>
          </w:p>
          <w:p w:rsidR="0006191C" w:rsidRDefault="00620C4E">
            <w:pPr>
              <w:pStyle w:val="SingleTxtG"/>
              <w:numPr>
                <w:ilvl w:val="0"/>
                <w:numId w:val="52"/>
              </w:numPr>
              <w:ind w:right="0"/>
              <w:rPr>
                <w:rFonts w:ascii="Cambria" w:hAnsi="Cambria" w:cs="Arial"/>
              </w:rPr>
            </w:pPr>
            <w:r>
              <w:rPr>
                <w:rFonts w:ascii="Cambria" w:hAnsi="Cambria" w:cs="Arial"/>
              </w:rPr>
              <w:t>r</w:t>
            </w:r>
            <w:r w:rsidR="00F70C11">
              <w:rPr>
                <w:rFonts w:ascii="Cambria" w:hAnsi="Cambria" w:cs="Arial"/>
              </w:rPr>
              <w:t xml:space="preserve">egimes relating to the </w:t>
            </w:r>
            <w:r w:rsidR="00E166AB">
              <w:rPr>
                <w:rFonts w:ascii="Cambria" w:hAnsi="Cambria" w:cs="Arial"/>
              </w:rPr>
              <w:t>regulation of “ultra</w:t>
            </w:r>
            <w:r w:rsidR="00AB0829">
              <w:rPr>
                <w:rFonts w:ascii="Cambria" w:hAnsi="Cambria" w:cs="Arial"/>
              </w:rPr>
              <w:t>-</w:t>
            </w:r>
            <w:r w:rsidR="00E166AB">
              <w:rPr>
                <w:rFonts w:ascii="Cambria" w:hAnsi="Cambria" w:cs="Arial"/>
              </w:rPr>
              <w:t xml:space="preserve">hazardous activities”; and </w:t>
            </w:r>
          </w:p>
          <w:p w:rsidR="006300BF" w:rsidRPr="006300BF" w:rsidRDefault="00620C4E" w:rsidP="00620C4E">
            <w:pPr>
              <w:pStyle w:val="SingleTxtG"/>
              <w:numPr>
                <w:ilvl w:val="0"/>
                <w:numId w:val="52"/>
              </w:numPr>
              <w:ind w:right="0"/>
              <w:rPr>
                <w:rFonts w:ascii="Cambria" w:hAnsi="Cambria"/>
                <w:b/>
                <w:i/>
                <w:sz w:val="22"/>
                <w:szCs w:val="22"/>
              </w:rPr>
            </w:pPr>
            <w:proofErr w:type="gramStart"/>
            <w:r>
              <w:rPr>
                <w:rFonts w:ascii="Cambria" w:hAnsi="Cambria" w:cs="Arial"/>
              </w:rPr>
              <w:t>d</w:t>
            </w:r>
            <w:r w:rsidR="00E166AB">
              <w:rPr>
                <w:rFonts w:ascii="Cambria" w:hAnsi="Cambria" w:cs="Arial"/>
              </w:rPr>
              <w:t>octrines</w:t>
            </w:r>
            <w:proofErr w:type="gramEnd"/>
            <w:r w:rsidR="00E166AB">
              <w:rPr>
                <w:rFonts w:ascii="Cambria" w:hAnsi="Cambria" w:cs="Arial"/>
              </w:rPr>
              <w:t xml:space="preserve"> of “vicarious liability” for the actions of certain employees, agents and other contractors.  </w:t>
            </w:r>
            <w:r w:rsidR="00AB0829">
              <w:rPr>
                <w:rFonts w:ascii="Cambria" w:hAnsi="Cambria" w:cs="Arial"/>
                <w:b/>
              </w:rPr>
              <w:t xml:space="preserve">Note: </w:t>
            </w:r>
            <w:r w:rsidR="00E166AB">
              <w:rPr>
                <w:rFonts w:ascii="Cambria" w:hAnsi="Cambria" w:cs="Arial"/>
              </w:rPr>
              <w:t>on “vicarious liability” of companies for offences under domestic p</w:t>
            </w:r>
            <w:r>
              <w:rPr>
                <w:rFonts w:ascii="Cambria" w:hAnsi="Cambria" w:cs="Arial"/>
              </w:rPr>
              <w:t xml:space="preserve">ublic law regimes </w:t>
            </w:r>
            <w:proofErr w:type="gramStart"/>
            <w:r>
              <w:rPr>
                <w:rFonts w:ascii="Cambria" w:hAnsi="Cambria" w:cs="Arial"/>
              </w:rPr>
              <w:t>see</w:t>
            </w:r>
            <w:proofErr w:type="gramEnd"/>
            <w:r>
              <w:rPr>
                <w:rFonts w:ascii="Cambria" w:hAnsi="Cambria" w:cs="Arial"/>
              </w:rPr>
              <w:t xml:space="preserve"> 1.4 above</w:t>
            </w:r>
            <w:r w:rsidR="00E166AB">
              <w:rPr>
                <w:rFonts w:ascii="Cambria" w:hAnsi="Cambria" w:cs="Arial"/>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3.4</w:t>
      </w:r>
      <w:r w:rsidRPr="008B11B2">
        <w:rPr>
          <w:rFonts w:ascii="Cambria" w:hAnsi="Cambria"/>
          <w:b/>
          <w:sz w:val="22"/>
          <w:szCs w:val="22"/>
        </w:rPr>
        <w:tab/>
        <w:t>Enforcement agencies and judicial bodies have access to and take proper account of robust, credible and, where appropriate, sector-specific guidance as to the technical requirements of human rights due diligence in different operating contexts.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0E4763" w:rsidRDefault="00EF5D9A" w:rsidP="000E4763">
            <w:pPr>
              <w:pStyle w:val="SingleTxtG"/>
              <w:ind w:left="0" w:right="0"/>
              <w:rPr>
                <w:rFonts w:ascii="Cambria" w:hAnsi="Cambria"/>
                <w:b/>
                <w:sz w:val="22"/>
                <w:szCs w:val="22"/>
              </w:rPr>
            </w:pPr>
            <w:r>
              <w:rPr>
                <w:rFonts w:ascii="Cambria" w:hAnsi="Cambria"/>
                <w:b/>
                <w:sz w:val="22"/>
                <w:szCs w:val="22"/>
              </w:rPr>
              <w:t>Illustrative example: 3.4</w:t>
            </w:r>
          </w:p>
          <w:p w:rsidR="000E148D" w:rsidRDefault="00C35CBA" w:rsidP="000E148D">
            <w:pPr>
              <w:pStyle w:val="SingleTxtG"/>
              <w:ind w:left="0" w:right="0"/>
              <w:rPr>
                <w:rFonts w:ascii="Cambria" w:hAnsi="Cambria"/>
              </w:rPr>
            </w:pPr>
            <w:r>
              <w:rPr>
                <w:rFonts w:ascii="Cambria" w:hAnsi="Cambria"/>
              </w:rPr>
              <w:t xml:space="preserve">A. </w:t>
            </w:r>
            <w:r w:rsidR="00EA196B">
              <w:rPr>
                <w:rFonts w:ascii="Cambria" w:hAnsi="Cambria"/>
              </w:rPr>
              <w:t xml:space="preserve">Ways to ensure </w:t>
            </w:r>
            <w:r w:rsidR="000E148D">
              <w:rPr>
                <w:rFonts w:ascii="Cambria" w:hAnsi="Cambria"/>
              </w:rPr>
              <w:t xml:space="preserve">that </w:t>
            </w:r>
            <w:r w:rsidR="000E7C3A">
              <w:rPr>
                <w:rFonts w:ascii="Cambria" w:hAnsi="Cambria"/>
              </w:rPr>
              <w:t xml:space="preserve">enforcement agencies </w:t>
            </w:r>
            <w:r w:rsidR="000E148D">
              <w:rPr>
                <w:rFonts w:ascii="Cambria" w:hAnsi="Cambria"/>
              </w:rPr>
              <w:t xml:space="preserve">judicial bodies take proper account of relevant human rights </w:t>
            </w:r>
            <w:r w:rsidR="00620C4E">
              <w:rPr>
                <w:rFonts w:ascii="Cambria" w:hAnsi="Cambria"/>
              </w:rPr>
              <w:t>due diligence standards include;</w:t>
            </w:r>
          </w:p>
          <w:p w:rsidR="0006191C" w:rsidRDefault="00620C4E">
            <w:pPr>
              <w:pStyle w:val="SingleTxtG"/>
              <w:numPr>
                <w:ilvl w:val="0"/>
                <w:numId w:val="53"/>
              </w:numPr>
              <w:ind w:right="0"/>
              <w:rPr>
                <w:rFonts w:ascii="Cambria" w:hAnsi="Cambria"/>
                <w:b/>
                <w:sz w:val="22"/>
                <w:szCs w:val="22"/>
              </w:rPr>
            </w:pPr>
            <w:r>
              <w:rPr>
                <w:rFonts w:ascii="Cambria" w:hAnsi="Cambria"/>
              </w:rPr>
              <w:t>p</w:t>
            </w:r>
            <w:r w:rsidR="000E148D">
              <w:rPr>
                <w:rFonts w:ascii="Cambria" w:hAnsi="Cambria"/>
              </w:rPr>
              <w:t xml:space="preserve">rovision of suitable guidance </w:t>
            </w:r>
            <w:r w:rsidR="00F4568E">
              <w:rPr>
                <w:rFonts w:ascii="Cambria" w:hAnsi="Cambria"/>
              </w:rPr>
              <w:t xml:space="preserve">and training </w:t>
            </w:r>
            <w:r w:rsidR="000E148D">
              <w:rPr>
                <w:rFonts w:ascii="Cambria" w:hAnsi="Cambria"/>
              </w:rPr>
              <w:t xml:space="preserve">to </w:t>
            </w:r>
            <w:r w:rsidR="000E7C3A">
              <w:rPr>
                <w:rFonts w:ascii="Cambria" w:hAnsi="Cambria"/>
              </w:rPr>
              <w:t xml:space="preserve">prosecutors and </w:t>
            </w:r>
            <w:r w:rsidR="000E148D">
              <w:rPr>
                <w:rFonts w:ascii="Cambria" w:hAnsi="Cambria"/>
              </w:rPr>
              <w:t>judges;</w:t>
            </w:r>
          </w:p>
          <w:p w:rsidR="0006191C" w:rsidRDefault="00620C4E" w:rsidP="00AB0829">
            <w:pPr>
              <w:pStyle w:val="SingleTxtG"/>
              <w:numPr>
                <w:ilvl w:val="0"/>
                <w:numId w:val="53"/>
              </w:numPr>
              <w:ind w:right="0"/>
              <w:rPr>
                <w:rFonts w:ascii="Cambria" w:hAnsi="Cambria"/>
                <w:b/>
                <w:sz w:val="22"/>
                <w:szCs w:val="22"/>
              </w:rPr>
            </w:pPr>
            <w:proofErr w:type="gramStart"/>
            <w:r>
              <w:rPr>
                <w:rFonts w:ascii="Cambria" w:hAnsi="Cambria"/>
              </w:rPr>
              <w:t>e</w:t>
            </w:r>
            <w:r w:rsidR="000E148D">
              <w:rPr>
                <w:rFonts w:ascii="Cambria" w:hAnsi="Cambria"/>
              </w:rPr>
              <w:t>xp</w:t>
            </w:r>
            <w:r w:rsidR="00DA5F2E">
              <w:rPr>
                <w:rFonts w:ascii="Cambria" w:hAnsi="Cambria"/>
              </w:rPr>
              <w:t>licit</w:t>
            </w:r>
            <w:proofErr w:type="gramEnd"/>
            <w:r w:rsidR="000E148D">
              <w:rPr>
                <w:rFonts w:ascii="Cambria" w:hAnsi="Cambria"/>
              </w:rPr>
              <w:t xml:space="preserve"> re</w:t>
            </w:r>
            <w:r>
              <w:rPr>
                <w:rFonts w:ascii="Cambria" w:hAnsi="Cambria"/>
              </w:rPr>
              <w:t xml:space="preserve">cognition of specific standards </w:t>
            </w:r>
            <w:r w:rsidR="000E4763" w:rsidRPr="00876024">
              <w:rPr>
                <w:rFonts w:ascii="Cambria" w:hAnsi="Cambria"/>
              </w:rPr>
              <w:t xml:space="preserve">(e.g. such as ISO standards, or accredited environmental management standards) </w:t>
            </w:r>
            <w:r w:rsidR="000E148D">
              <w:rPr>
                <w:rFonts w:ascii="Cambria" w:hAnsi="Cambria"/>
              </w:rPr>
              <w:t xml:space="preserve">in the relevant regime, or associated guidance, </w:t>
            </w:r>
            <w:r w:rsidR="00DA5F2E">
              <w:rPr>
                <w:rFonts w:ascii="Cambria" w:hAnsi="Cambria"/>
              </w:rPr>
              <w:t xml:space="preserve">as being relevant to </w:t>
            </w:r>
            <w:r w:rsidR="000E4763">
              <w:rPr>
                <w:rFonts w:ascii="Cambria" w:hAnsi="Cambria"/>
              </w:rPr>
              <w:t>judicial assessments as to</w:t>
            </w:r>
            <w:r w:rsidR="000E4763" w:rsidRPr="00876024">
              <w:rPr>
                <w:rFonts w:ascii="Cambria" w:hAnsi="Cambria"/>
              </w:rPr>
              <w:t xml:space="preserve"> whether </w:t>
            </w:r>
            <w:r w:rsidR="00DA5F2E">
              <w:rPr>
                <w:rFonts w:ascii="Cambria" w:hAnsi="Cambria"/>
              </w:rPr>
              <w:t xml:space="preserve">a company </w:t>
            </w:r>
            <w:r w:rsidR="000E4763" w:rsidRPr="00876024">
              <w:rPr>
                <w:rFonts w:ascii="Cambria" w:hAnsi="Cambria"/>
              </w:rPr>
              <w:t xml:space="preserve">has met the </w:t>
            </w:r>
            <w:r w:rsidR="001E4F72">
              <w:rPr>
                <w:rFonts w:ascii="Cambria" w:hAnsi="Cambria"/>
              </w:rPr>
              <w:t xml:space="preserve">applicable </w:t>
            </w:r>
            <w:r w:rsidR="000E4763" w:rsidRPr="00876024">
              <w:rPr>
                <w:rFonts w:ascii="Cambria" w:hAnsi="Cambria"/>
              </w:rPr>
              <w:t>standard of care</w:t>
            </w:r>
            <w:r w:rsidR="00AB0829">
              <w:rPr>
                <w:rFonts w:ascii="Cambria" w:hAnsi="Cambria"/>
              </w:rPr>
              <w:t>.</w:t>
            </w:r>
            <w:r w:rsidR="000E4763">
              <w:rPr>
                <w:rFonts w:ascii="Cambria" w:hAnsi="Cambria"/>
              </w:rPr>
              <w:t xml:space="preserve"> </w:t>
            </w:r>
          </w:p>
        </w:tc>
      </w:tr>
    </w:tbl>
    <w:p w:rsidR="008B11B2" w:rsidRDefault="008B11B2" w:rsidP="008B11B2">
      <w:pPr>
        <w:pStyle w:val="Heading2"/>
      </w:pPr>
    </w:p>
    <w:p w:rsidR="008B11B2" w:rsidRPr="008B11B2" w:rsidRDefault="008B11B2" w:rsidP="008B11B2">
      <w:pPr>
        <w:pStyle w:val="Heading2"/>
      </w:pPr>
      <w:r w:rsidRPr="008B11B2">
        <w:t xml:space="preserve">Supporting the work of State agencies responsible for investigation and enforcement </w:t>
      </w:r>
    </w:p>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4: State agencies responsible for investigating allegations of business-related human rights abuses and enforcement of domestic legal regimes (“enforcement agencies”) have a clear mandate and political support.</w:t>
            </w:r>
          </w:p>
        </w:tc>
      </w:tr>
    </w:tbl>
    <w:p w:rsidR="008B11B2" w:rsidRDefault="008B11B2" w:rsidP="008B11B2">
      <w:pPr>
        <w:pStyle w:val="SingleTxtG"/>
        <w:ind w:left="0" w:right="0"/>
        <w:rPr>
          <w:rFonts w:ascii="Cambria" w:hAnsi="Cambria"/>
          <w:bCs/>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4.1</w:t>
      </w:r>
      <w:r w:rsidRPr="008B11B2">
        <w:rPr>
          <w:rFonts w:ascii="Cambria" w:hAnsi="Cambria"/>
          <w:b/>
          <w:bCs/>
          <w:sz w:val="22"/>
          <w:szCs w:val="22"/>
        </w:rPr>
        <w:tab/>
      </w:r>
      <w:r w:rsidRPr="008B11B2">
        <w:rPr>
          <w:rFonts w:ascii="Cambria" w:hAnsi="Cambria"/>
          <w:b/>
          <w:sz w:val="22"/>
          <w:szCs w:val="22"/>
        </w:rPr>
        <w:t>The State effectively supports its enforcement agencies in protecting against business-related human rights abuses.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3D51A4">
              <w:rPr>
                <w:rFonts w:ascii="Cambria" w:hAnsi="Cambria"/>
                <w:b/>
                <w:sz w:val="22"/>
                <w:szCs w:val="22"/>
              </w:rPr>
              <w:t>s</w:t>
            </w:r>
            <w:r>
              <w:rPr>
                <w:rFonts w:ascii="Cambria" w:hAnsi="Cambria"/>
                <w:b/>
                <w:sz w:val="22"/>
                <w:szCs w:val="22"/>
              </w:rPr>
              <w:t>: 4.1</w:t>
            </w:r>
          </w:p>
          <w:p w:rsidR="003D51A4" w:rsidRDefault="00C35CBA" w:rsidP="004F60D5">
            <w:pPr>
              <w:pStyle w:val="SingleTxtG"/>
              <w:ind w:left="0" w:right="0"/>
              <w:rPr>
                <w:rFonts w:ascii="Cambria" w:hAnsi="Cambria"/>
              </w:rPr>
            </w:pPr>
            <w:r>
              <w:rPr>
                <w:rFonts w:ascii="Cambria" w:hAnsi="Cambria"/>
              </w:rPr>
              <w:t xml:space="preserve">A. </w:t>
            </w:r>
            <w:r w:rsidR="003D51A4">
              <w:rPr>
                <w:rFonts w:ascii="Cambria" w:hAnsi="Cambria"/>
              </w:rPr>
              <w:t>“E</w:t>
            </w:r>
            <w:r w:rsidR="00620C4E">
              <w:rPr>
                <w:rFonts w:ascii="Cambria" w:hAnsi="Cambria"/>
              </w:rPr>
              <w:t>ffective support” can encompass;</w:t>
            </w:r>
          </w:p>
          <w:p w:rsidR="003D51A4" w:rsidRDefault="003D51A4" w:rsidP="00E623C2">
            <w:pPr>
              <w:pStyle w:val="SingleTxtG"/>
              <w:numPr>
                <w:ilvl w:val="0"/>
                <w:numId w:val="12"/>
              </w:numPr>
              <w:ind w:right="0"/>
              <w:rPr>
                <w:rFonts w:ascii="Cambria" w:hAnsi="Cambria"/>
              </w:rPr>
            </w:pPr>
            <w:r>
              <w:rPr>
                <w:rFonts w:ascii="Cambria" w:hAnsi="Cambria"/>
              </w:rPr>
              <w:lastRenderedPageBreak/>
              <w:t>ensuring access to financial and technical resources support (see further 6.1-6.3 below)</w:t>
            </w:r>
            <w:r w:rsidR="00620C4E">
              <w:rPr>
                <w:rFonts w:ascii="Cambria" w:hAnsi="Cambria"/>
              </w:rPr>
              <w:t>;</w:t>
            </w:r>
          </w:p>
          <w:p w:rsidR="003D51A4" w:rsidRDefault="003D51A4" w:rsidP="00E623C2">
            <w:pPr>
              <w:pStyle w:val="SingleTxtG"/>
              <w:numPr>
                <w:ilvl w:val="0"/>
                <w:numId w:val="12"/>
              </w:numPr>
              <w:ind w:right="0"/>
              <w:rPr>
                <w:rFonts w:ascii="Cambria" w:hAnsi="Cambria"/>
              </w:rPr>
            </w:pPr>
            <w:r>
              <w:rPr>
                <w:rFonts w:ascii="Cambria" w:hAnsi="Cambria"/>
              </w:rPr>
              <w:t>political support for the activities of relevant State agencies;</w:t>
            </w:r>
          </w:p>
          <w:p w:rsidR="00EF5D9A" w:rsidRPr="003D51A4" w:rsidRDefault="003D51A4" w:rsidP="00AB0829">
            <w:pPr>
              <w:pStyle w:val="SingleTxtG"/>
              <w:numPr>
                <w:ilvl w:val="0"/>
                <w:numId w:val="12"/>
              </w:numPr>
              <w:ind w:right="0"/>
              <w:rPr>
                <w:rFonts w:ascii="Cambria" w:hAnsi="Cambria"/>
              </w:rPr>
            </w:pPr>
            <w:proofErr w:type="gramStart"/>
            <w:r w:rsidRPr="003D51A4">
              <w:rPr>
                <w:rFonts w:ascii="Cambria" w:hAnsi="Cambria"/>
              </w:rPr>
              <w:t>ensuring</w:t>
            </w:r>
            <w:proofErr w:type="gramEnd"/>
            <w:r w:rsidRPr="003D51A4">
              <w:rPr>
                <w:rFonts w:ascii="Cambria" w:hAnsi="Cambria"/>
              </w:rPr>
              <w:t xml:space="preserve"> </w:t>
            </w:r>
            <w:r>
              <w:rPr>
                <w:rFonts w:ascii="Cambria" w:hAnsi="Cambria"/>
              </w:rPr>
              <w:t xml:space="preserve">that there is </w:t>
            </w:r>
            <w:r w:rsidRPr="003D51A4">
              <w:rPr>
                <w:rFonts w:ascii="Cambria" w:hAnsi="Cambria"/>
              </w:rPr>
              <w:t>proper consultation with professional bodies with respect to the development of, and changes in, law and policy.</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 xml:space="preserve">4.2 </w:t>
      </w:r>
      <w:r w:rsidRPr="008B11B2">
        <w:rPr>
          <w:rFonts w:ascii="Cambria" w:hAnsi="Cambria"/>
          <w:b/>
          <w:bCs/>
          <w:sz w:val="22"/>
          <w:szCs w:val="22"/>
        </w:rPr>
        <w:tab/>
      </w:r>
      <w:r w:rsidRPr="008B11B2">
        <w:rPr>
          <w:rFonts w:ascii="Cambria" w:hAnsi="Cambria"/>
          <w:b/>
          <w:sz w:val="22"/>
          <w:szCs w:val="22"/>
        </w:rPr>
        <w:t>The State takes the steps necessary to ensure that its enforcement agencies have effective working relationships and communication links and are able to coordinate their activities effectively with other domestic bodies that regulate the respect by businesses of human rights, including agencies responsible for the regulation of labour, consumer and environmental standards and agencies responsible for the enforcement of laws relating to bribery and corruption.</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C35CBA" w:rsidRDefault="00EF5D9A" w:rsidP="003D51A4">
            <w:pPr>
              <w:pStyle w:val="SingleTxtG"/>
              <w:ind w:left="0" w:right="0"/>
              <w:rPr>
                <w:rFonts w:ascii="Cambria" w:hAnsi="Cambria"/>
                <w:b/>
                <w:sz w:val="22"/>
                <w:szCs w:val="22"/>
              </w:rPr>
            </w:pPr>
            <w:r>
              <w:rPr>
                <w:rFonts w:ascii="Cambria" w:hAnsi="Cambria"/>
                <w:b/>
                <w:sz w:val="22"/>
                <w:szCs w:val="22"/>
              </w:rPr>
              <w:t>Illustrative example: 4.2</w:t>
            </w:r>
          </w:p>
          <w:p w:rsidR="0009628C" w:rsidRDefault="00C35CBA" w:rsidP="003D51A4">
            <w:pPr>
              <w:pStyle w:val="SingleTxtG"/>
              <w:ind w:left="0" w:right="0"/>
              <w:rPr>
                <w:rFonts w:ascii="Cambria" w:hAnsi="Cambria"/>
              </w:rPr>
            </w:pPr>
            <w:r>
              <w:rPr>
                <w:rFonts w:ascii="Cambria" w:hAnsi="Cambria"/>
                <w:sz w:val="22"/>
                <w:szCs w:val="22"/>
              </w:rPr>
              <w:t xml:space="preserve">A. </w:t>
            </w:r>
            <w:r w:rsidR="0009628C">
              <w:rPr>
                <w:rFonts w:ascii="Cambria" w:hAnsi="Cambria"/>
              </w:rPr>
              <w:t>Ways to facilitate more effective working relationships with</w:t>
            </w:r>
            <w:r w:rsidR="00620C4E">
              <w:rPr>
                <w:rFonts w:ascii="Cambria" w:hAnsi="Cambria"/>
              </w:rPr>
              <w:t xml:space="preserve"> other relevant domestic bodies;</w:t>
            </w:r>
          </w:p>
          <w:p w:rsidR="0006191C" w:rsidRDefault="0009628C">
            <w:pPr>
              <w:pStyle w:val="SingleTxtG"/>
              <w:numPr>
                <w:ilvl w:val="0"/>
                <w:numId w:val="55"/>
              </w:numPr>
              <w:ind w:right="0"/>
              <w:rPr>
                <w:rFonts w:ascii="Cambria" w:hAnsi="Cambria"/>
              </w:rPr>
            </w:pPr>
            <w:r>
              <w:rPr>
                <w:rFonts w:ascii="Cambria" w:hAnsi="Cambria"/>
              </w:rPr>
              <w:t xml:space="preserve">development of </w:t>
            </w:r>
            <w:r w:rsidR="003D51A4">
              <w:rPr>
                <w:rFonts w:ascii="Cambria" w:hAnsi="Cambria"/>
              </w:rPr>
              <w:t xml:space="preserve">annotated desk books and </w:t>
            </w:r>
            <w:r w:rsidR="00873CF4" w:rsidRPr="003D51A4">
              <w:rPr>
                <w:rFonts w:ascii="Cambria" w:hAnsi="Cambria"/>
              </w:rPr>
              <w:t xml:space="preserve">policy manuals, standardised as much as possible </w:t>
            </w:r>
            <w:r w:rsidR="003D51A4">
              <w:rPr>
                <w:rFonts w:ascii="Cambria" w:hAnsi="Cambria"/>
              </w:rPr>
              <w:t xml:space="preserve">between different agencies </w:t>
            </w:r>
            <w:r w:rsidR="00873CF4" w:rsidRPr="003D51A4">
              <w:rPr>
                <w:rFonts w:ascii="Cambria" w:hAnsi="Cambria"/>
              </w:rPr>
              <w:t>to help ensure consistency of approach</w:t>
            </w:r>
            <w:r>
              <w:rPr>
                <w:rFonts w:ascii="Cambria" w:hAnsi="Cambria"/>
              </w:rPr>
              <w:t>;</w:t>
            </w:r>
          </w:p>
          <w:p w:rsidR="0006191C" w:rsidRDefault="0009628C" w:rsidP="00AB0829">
            <w:pPr>
              <w:pStyle w:val="SingleTxtG"/>
              <w:numPr>
                <w:ilvl w:val="0"/>
                <w:numId w:val="55"/>
              </w:numPr>
              <w:ind w:right="0"/>
              <w:rPr>
                <w:rFonts w:ascii="Cambria" w:hAnsi="Cambria"/>
                <w:b/>
                <w:sz w:val="22"/>
                <w:szCs w:val="22"/>
              </w:rPr>
            </w:pPr>
            <w:proofErr w:type="gramStart"/>
            <w:r>
              <w:rPr>
                <w:rFonts w:ascii="Cambria" w:hAnsi="Cambria"/>
              </w:rPr>
              <w:t>development</w:t>
            </w:r>
            <w:proofErr w:type="gramEnd"/>
            <w:r>
              <w:rPr>
                <w:rFonts w:ascii="Cambria" w:hAnsi="Cambria"/>
              </w:rPr>
              <w:t xml:space="preserve"> of </w:t>
            </w:r>
            <w:r w:rsidR="003E1479">
              <w:rPr>
                <w:rFonts w:ascii="Cambria" w:hAnsi="Cambria"/>
              </w:rPr>
              <w:t xml:space="preserve"> “regulators</w:t>
            </w:r>
            <w:r>
              <w:rPr>
                <w:rFonts w:ascii="Cambria" w:hAnsi="Cambria"/>
              </w:rPr>
              <w:t>’</w:t>
            </w:r>
            <w:r w:rsidR="003E1479">
              <w:rPr>
                <w:rFonts w:ascii="Cambria" w:hAnsi="Cambria"/>
              </w:rPr>
              <w:t xml:space="preserve"> networks”</w:t>
            </w:r>
            <w:r w:rsidR="00DD4B32">
              <w:rPr>
                <w:rFonts w:ascii="Cambria" w:hAnsi="Cambria"/>
              </w:rPr>
              <w:t xml:space="preserve"> to</w:t>
            </w:r>
            <w:r w:rsidR="003E1479">
              <w:rPr>
                <w:rFonts w:ascii="Cambria" w:hAnsi="Cambria"/>
              </w:rPr>
              <w:t xml:space="preserve"> facilitate greater coordination between regulatory bodies with responsibilities for the regulation of corporate conduct.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4.3</w:t>
      </w:r>
      <w:r w:rsidRPr="008B11B2">
        <w:rPr>
          <w:rFonts w:ascii="Cambria" w:hAnsi="Cambria"/>
          <w:b/>
          <w:bCs/>
          <w:sz w:val="22"/>
          <w:szCs w:val="22"/>
        </w:rPr>
        <w:tab/>
      </w:r>
      <w:r w:rsidRPr="008B11B2">
        <w:rPr>
          <w:rFonts w:ascii="Cambria" w:hAnsi="Cambria"/>
          <w:b/>
          <w:sz w:val="22"/>
          <w:szCs w:val="22"/>
        </w:rPr>
        <w:t>The use of discretion on the part of enforcement agencies as to whether to investigate and/or take enforcement action (“enforcement discretion”) is exercised in accordance with a comprehensive enforcement policy that: (a) clearly sets out how decisions are made regarding whether to investigate or commence enforcement action and the factors that will be taken into account; (b) has been developed wherever possible following appropriate public consultation; and (c) is made available to the public.</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3D51A4">
              <w:rPr>
                <w:rFonts w:ascii="Cambria" w:hAnsi="Cambria"/>
                <w:b/>
                <w:sz w:val="22"/>
                <w:szCs w:val="22"/>
              </w:rPr>
              <w:t>s</w:t>
            </w:r>
            <w:r>
              <w:rPr>
                <w:rFonts w:ascii="Cambria" w:hAnsi="Cambria"/>
                <w:b/>
                <w:sz w:val="22"/>
                <w:szCs w:val="22"/>
              </w:rPr>
              <w:t>: 4.3</w:t>
            </w:r>
          </w:p>
          <w:p w:rsidR="00976E5E" w:rsidRDefault="00C35CBA" w:rsidP="00FE0651">
            <w:pPr>
              <w:pStyle w:val="SingleTxtG"/>
              <w:ind w:left="0" w:right="0"/>
              <w:rPr>
                <w:rFonts w:ascii="Cambria" w:hAnsi="Cambria"/>
              </w:rPr>
            </w:pPr>
            <w:r>
              <w:rPr>
                <w:rFonts w:ascii="Cambria" w:hAnsi="Cambria"/>
              </w:rPr>
              <w:t xml:space="preserve">A. </w:t>
            </w:r>
            <w:r w:rsidR="00976E5E">
              <w:rPr>
                <w:rFonts w:ascii="Cambria" w:hAnsi="Cambria"/>
              </w:rPr>
              <w:t>T</w:t>
            </w:r>
            <w:r w:rsidR="00FE0651" w:rsidRPr="00FE0651">
              <w:rPr>
                <w:rFonts w:ascii="Cambria" w:hAnsi="Cambria"/>
              </w:rPr>
              <w:t xml:space="preserve">here are </w:t>
            </w:r>
            <w:r w:rsidR="00FE0651">
              <w:rPr>
                <w:rFonts w:ascii="Cambria" w:hAnsi="Cambria"/>
              </w:rPr>
              <w:t xml:space="preserve">many </w:t>
            </w:r>
            <w:r w:rsidR="00FE0651" w:rsidRPr="00FE0651">
              <w:rPr>
                <w:rFonts w:ascii="Cambria" w:hAnsi="Cambria"/>
              </w:rPr>
              <w:t>differences between jurisdictions in terms of</w:t>
            </w:r>
            <w:r w:rsidR="00DD4B32">
              <w:rPr>
                <w:rFonts w:ascii="Cambria" w:hAnsi="Cambria"/>
              </w:rPr>
              <w:t>;</w:t>
            </w:r>
          </w:p>
          <w:p w:rsidR="0006191C" w:rsidRDefault="00FE0651">
            <w:pPr>
              <w:pStyle w:val="SingleTxtG"/>
              <w:numPr>
                <w:ilvl w:val="0"/>
                <w:numId w:val="56"/>
              </w:numPr>
              <w:ind w:right="0"/>
              <w:rPr>
                <w:rFonts w:ascii="Cambria" w:hAnsi="Cambria"/>
              </w:rPr>
            </w:pPr>
            <w:proofErr w:type="gramStart"/>
            <w:r w:rsidRPr="00FE0651">
              <w:rPr>
                <w:rFonts w:ascii="Cambria" w:hAnsi="Cambria"/>
              </w:rPr>
              <w:t>the</w:t>
            </w:r>
            <w:proofErr w:type="gramEnd"/>
            <w:r w:rsidRPr="00FE0651">
              <w:rPr>
                <w:rFonts w:ascii="Cambria" w:hAnsi="Cambria"/>
              </w:rPr>
              <w:t xml:space="preserve"> investigative and prosecutorial </w:t>
            </w:r>
            <w:r>
              <w:rPr>
                <w:rFonts w:ascii="Cambria" w:hAnsi="Cambria"/>
              </w:rPr>
              <w:t xml:space="preserve">roles and </w:t>
            </w:r>
            <w:r w:rsidRPr="00FE0651">
              <w:rPr>
                <w:rFonts w:ascii="Cambria" w:hAnsi="Cambria"/>
              </w:rPr>
              <w:t>responsibilities of different State agencies</w:t>
            </w:r>
            <w:r w:rsidR="001C69FC">
              <w:rPr>
                <w:rFonts w:ascii="Cambria" w:hAnsi="Cambria"/>
              </w:rPr>
              <w:t xml:space="preserve"> and the inter-relationships between them</w:t>
            </w:r>
            <w:r w:rsidRPr="00FE0651">
              <w:rPr>
                <w:rFonts w:ascii="Cambria" w:hAnsi="Cambria"/>
              </w:rPr>
              <w:t xml:space="preserve">.  </w:t>
            </w:r>
            <w:r>
              <w:rPr>
                <w:rFonts w:ascii="Cambria" w:hAnsi="Cambria"/>
              </w:rPr>
              <w:t>For instance, i</w:t>
            </w:r>
            <w:r w:rsidRPr="00FE0651">
              <w:rPr>
                <w:rFonts w:ascii="Cambria" w:hAnsi="Cambria"/>
              </w:rPr>
              <w:t>n some jurisdictions, investigation and prosecution are separate functions</w:t>
            </w:r>
            <w:r w:rsidR="001C69FC">
              <w:rPr>
                <w:rFonts w:ascii="Cambria" w:hAnsi="Cambria"/>
              </w:rPr>
              <w:t xml:space="preserve">, in some jurisdictions prosecutors may perform an advisory role in the context of an </w:t>
            </w:r>
            <w:r w:rsidR="001C69FC" w:rsidRPr="001C69FC">
              <w:rPr>
                <w:rFonts w:ascii="Cambria" w:hAnsi="Cambria"/>
              </w:rPr>
              <w:t>investigation,</w:t>
            </w:r>
            <w:r w:rsidRPr="001C69FC">
              <w:rPr>
                <w:rFonts w:ascii="Cambria" w:hAnsi="Cambria"/>
              </w:rPr>
              <w:t xml:space="preserve"> whereas in others </w:t>
            </w:r>
            <w:r w:rsidR="001C69FC" w:rsidRPr="001C69FC">
              <w:rPr>
                <w:rFonts w:ascii="Cambria" w:hAnsi="Cambria"/>
              </w:rPr>
              <w:t>p</w:t>
            </w:r>
            <w:r w:rsidRPr="001C69FC">
              <w:rPr>
                <w:rFonts w:ascii="Cambria" w:hAnsi="Cambria"/>
              </w:rPr>
              <w:t xml:space="preserve">rosecutors may be </w:t>
            </w:r>
            <w:r w:rsidR="001C69FC" w:rsidRPr="001C69FC">
              <w:rPr>
                <w:rFonts w:ascii="Cambria" w:hAnsi="Cambria"/>
              </w:rPr>
              <w:t xml:space="preserve">directly </w:t>
            </w:r>
            <w:r w:rsidRPr="001C69FC">
              <w:rPr>
                <w:rFonts w:ascii="Cambria" w:hAnsi="Cambria"/>
              </w:rPr>
              <w:t xml:space="preserve">involved in </w:t>
            </w:r>
            <w:r w:rsidR="001C69FC" w:rsidRPr="001C69FC">
              <w:rPr>
                <w:rFonts w:ascii="Cambria" w:hAnsi="Cambria"/>
              </w:rPr>
              <w:t xml:space="preserve">different </w:t>
            </w:r>
            <w:r w:rsidRPr="001C69FC">
              <w:rPr>
                <w:rFonts w:ascii="Cambria" w:hAnsi="Cambria"/>
              </w:rPr>
              <w:t>investigative steps (e.g. interviews and/or searches)</w:t>
            </w:r>
          </w:p>
          <w:p w:rsidR="0006191C" w:rsidRDefault="001C69FC">
            <w:pPr>
              <w:pStyle w:val="SingleTxtG"/>
              <w:numPr>
                <w:ilvl w:val="0"/>
                <w:numId w:val="56"/>
              </w:numPr>
              <w:ind w:right="0"/>
              <w:rPr>
                <w:rFonts w:ascii="Cambria" w:hAnsi="Cambria"/>
              </w:rPr>
            </w:pPr>
            <w:r w:rsidRPr="001C69FC">
              <w:rPr>
                <w:rFonts w:ascii="Cambria" w:hAnsi="Cambria"/>
              </w:rPr>
              <w:t xml:space="preserve"> </w:t>
            </w:r>
            <w:proofErr w:type="gramStart"/>
            <w:r w:rsidRPr="001C69FC">
              <w:rPr>
                <w:rFonts w:ascii="Cambria" w:hAnsi="Cambria"/>
              </w:rPr>
              <w:t>the</w:t>
            </w:r>
            <w:proofErr w:type="gramEnd"/>
            <w:r w:rsidRPr="001C69FC">
              <w:rPr>
                <w:rFonts w:ascii="Cambria" w:hAnsi="Cambria"/>
              </w:rPr>
              <w:t xml:space="preserve"> amount of discretion vested in </w:t>
            </w:r>
            <w:r w:rsidR="00976E5E">
              <w:rPr>
                <w:rFonts w:ascii="Cambria" w:hAnsi="Cambria"/>
              </w:rPr>
              <w:t xml:space="preserve">State </w:t>
            </w:r>
            <w:r w:rsidRPr="001C69FC">
              <w:rPr>
                <w:rFonts w:ascii="Cambria" w:hAnsi="Cambria"/>
              </w:rPr>
              <w:t xml:space="preserve">agencies as to how investigations and prosecutions should be approached.  For instance, </w:t>
            </w:r>
            <w:r>
              <w:rPr>
                <w:rFonts w:ascii="Cambria" w:hAnsi="Cambria"/>
              </w:rPr>
              <w:t>s</w:t>
            </w:r>
            <w:r w:rsidRPr="001C69FC">
              <w:rPr>
                <w:rFonts w:ascii="Cambria" w:hAnsi="Cambria"/>
              </w:rPr>
              <w:t xml:space="preserve">ome States </w:t>
            </w:r>
            <w:r>
              <w:rPr>
                <w:rFonts w:ascii="Cambria" w:hAnsi="Cambria"/>
              </w:rPr>
              <w:t xml:space="preserve">apply a </w:t>
            </w:r>
            <w:r w:rsidRPr="001C69FC">
              <w:rPr>
                <w:rFonts w:ascii="Cambria" w:hAnsi="Cambria"/>
              </w:rPr>
              <w:t>“legality” principle (</w:t>
            </w:r>
            <w:r>
              <w:rPr>
                <w:rFonts w:ascii="Cambria" w:hAnsi="Cambria"/>
              </w:rPr>
              <w:t>under which</w:t>
            </w:r>
            <w:r w:rsidR="00D13383">
              <w:rPr>
                <w:rFonts w:ascii="Cambria" w:hAnsi="Cambria"/>
              </w:rPr>
              <w:t xml:space="preserve"> the only consideration in whether or not to prosecute is whether there is sufficient evidence</w:t>
            </w:r>
            <w:r w:rsidRPr="001C69FC">
              <w:rPr>
                <w:rFonts w:ascii="Cambria" w:hAnsi="Cambria"/>
              </w:rPr>
              <w:t>)</w:t>
            </w:r>
            <w:r w:rsidR="00DD4B32">
              <w:rPr>
                <w:rFonts w:ascii="Cambria" w:hAnsi="Cambria"/>
              </w:rPr>
              <w:t xml:space="preserve"> whereas</w:t>
            </w:r>
            <w:r w:rsidRPr="001C69FC">
              <w:rPr>
                <w:rFonts w:ascii="Cambria" w:hAnsi="Cambria"/>
              </w:rPr>
              <w:t xml:space="preserve"> others have the “opportunity principle” (where there is </w:t>
            </w:r>
            <w:r w:rsidR="00D13383">
              <w:rPr>
                <w:rFonts w:ascii="Cambria" w:hAnsi="Cambria"/>
              </w:rPr>
              <w:t xml:space="preserve">some </w:t>
            </w:r>
            <w:r w:rsidRPr="001C69FC">
              <w:rPr>
                <w:rFonts w:ascii="Cambria" w:hAnsi="Cambria"/>
              </w:rPr>
              <w:t>discretion</w:t>
            </w:r>
            <w:r w:rsidR="00D13383">
              <w:rPr>
                <w:rFonts w:ascii="Cambria" w:hAnsi="Cambria"/>
              </w:rPr>
              <w:t xml:space="preserve"> as to whether and how to prosecute</w:t>
            </w:r>
            <w:r w:rsidRPr="001C69FC">
              <w:rPr>
                <w:rFonts w:ascii="Cambria" w:hAnsi="Cambria"/>
              </w:rPr>
              <w:t>).</w:t>
            </w:r>
          </w:p>
          <w:p w:rsidR="00FE0651" w:rsidRPr="001C69FC" w:rsidRDefault="00C35CBA" w:rsidP="004F60D5">
            <w:pPr>
              <w:pStyle w:val="SingleTxtG"/>
              <w:ind w:left="0" w:right="0"/>
              <w:rPr>
                <w:rFonts w:ascii="Cambria" w:hAnsi="Cambria"/>
              </w:rPr>
            </w:pPr>
            <w:r>
              <w:rPr>
                <w:rFonts w:ascii="Cambria" w:hAnsi="Cambria"/>
              </w:rPr>
              <w:t xml:space="preserve">B. </w:t>
            </w:r>
            <w:r w:rsidR="00D13383" w:rsidRPr="00FE0651">
              <w:rPr>
                <w:rFonts w:ascii="Cambria" w:hAnsi="Cambria"/>
              </w:rPr>
              <w:t xml:space="preserve">Enforcement policies help to guide and provide transparency, consistency and accountability in terms of </w:t>
            </w:r>
            <w:r w:rsidR="00D13383">
              <w:rPr>
                <w:rFonts w:ascii="Cambria" w:hAnsi="Cambria"/>
              </w:rPr>
              <w:t xml:space="preserve">how public enforcement of laws is approached in the jurisdiction. </w:t>
            </w:r>
            <w:r w:rsidR="001C69FC">
              <w:rPr>
                <w:rFonts w:ascii="Cambria" w:hAnsi="Cambria"/>
              </w:rPr>
              <w:t xml:space="preserve">Under an enforcement policy, a regulator or prosecutor may be directed to take account of a range of factors in deciding whether or how to take enforcement action in respect of allegations against corporate entities, including: </w:t>
            </w:r>
          </w:p>
          <w:p w:rsidR="00051B06" w:rsidRDefault="00F506A7" w:rsidP="00E623C2">
            <w:pPr>
              <w:pStyle w:val="SingleTxtG"/>
              <w:numPr>
                <w:ilvl w:val="0"/>
                <w:numId w:val="13"/>
              </w:numPr>
              <w:ind w:right="0"/>
              <w:rPr>
                <w:rFonts w:ascii="Cambria" w:hAnsi="Cambria"/>
              </w:rPr>
            </w:pPr>
            <w:r w:rsidRPr="00051B06">
              <w:rPr>
                <w:rFonts w:ascii="Cambria" w:hAnsi="Cambria"/>
              </w:rPr>
              <w:t>history of similar c</w:t>
            </w:r>
            <w:r w:rsidR="001C69FC" w:rsidRPr="00051B06">
              <w:rPr>
                <w:rFonts w:ascii="Cambria" w:hAnsi="Cambria"/>
              </w:rPr>
              <w:t>onduct;</w:t>
            </w:r>
          </w:p>
          <w:p w:rsidR="001C69FC" w:rsidRPr="00051B06" w:rsidRDefault="00F506A7" w:rsidP="00E623C2">
            <w:pPr>
              <w:pStyle w:val="SingleTxtG"/>
              <w:numPr>
                <w:ilvl w:val="0"/>
                <w:numId w:val="13"/>
              </w:numPr>
              <w:ind w:right="0"/>
              <w:rPr>
                <w:rFonts w:ascii="Cambria" w:hAnsi="Cambria"/>
              </w:rPr>
            </w:pPr>
            <w:r w:rsidRPr="00051B06">
              <w:rPr>
                <w:rFonts w:ascii="Cambria" w:hAnsi="Cambria"/>
              </w:rPr>
              <w:t>whether warnings had been iss</w:t>
            </w:r>
            <w:r w:rsidR="001C69FC" w:rsidRPr="00051B06">
              <w:rPr>
                <w:rFonts w:ascii="Cambria" w:hAnsi="Cambria"/>
              </w:rPr>
              <w:t>ued and the company’s response;</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seniority of those responsible;</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whether the behaviour was encouraged or facilitat</w:t>
            </w:r>
            <w:r w:rsidR="001C69FC" w:rsidRPr="001C69FC">
              <w:rPr>
                <w:rFonts w:ascii="Cambria" w:hAnsi="Cambria"/>
              </w:rPr>
              <w:t>ed by a poor corporate culture</w:t>
            </w:r>
            <w:r w:rsidR="001C69FC">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failure of compliance measures</w:t>
            </w:r>
            <w:r>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lastRenderedPageBreak/>
              <w:t>lack of due diligence</w:t>
            </w:r>
            <w:r>
              <w:rPr>
                <w:rFonts w:ascii="Cambria" w:hAnsi="Cambria"/>
              </w:rPr>
              <w:t>;</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poor communications</w:t>
            </w:r>
            <w:r w:rsidR="001C69FC" w:rsidRPr="001C69FC">
              <w:rPr>
                <w:rFonts w:ascii="Cambria" w:hAnsi="Cambria"/>
              </w:rPr>
              <w:t xml:space="preserve"> systems</w:t>
            </w:r>
            <w:r w:rsidR="001C69FC">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poor reporting systems</w:t>
            </w:r>
            <w:r>
              <w:rPr>
                <w:rFonts w:ascii="Cambria" w:hAnsi="Cambria"/>
              </w:rPr>
              <w:t>;</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attitude of company to t</w:t>
            </w:r>
            <w:r w:rsidR="001C69FC" w:rsidRPr="001C69FC">
              <w:rPr>
                <w:rFonts w:ascii="Cambria" w:hAnsi="Cambria"/>
              </w:rPr>
              <w:t>ransparency and self reporting</w:t>
            </w:r>
            <w:r w:rsidR="001C69FC">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availability of civil remedies</w:t>
            </w:r>
            <w:r>
              <w:rPr>
                <w:rFonts w:ascii="Cambria" w:hAnsi="Cambria"/>
              </w:rPr>
              <w:t>;</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 xml:space="preserve">length of time that has </w:t>
            </w:r>
            <w:r w:rsidR="001C69FC" w:rsidRPr="001C69FC">
              <w:rPr>
                <w:rFonts w:ascii="Cambria" w:hAnsi="Cambria"/>
              </w:rPr>
              <w:t>passed since offending conduct</w:t>
            </w:r>
            <w:r w:rsidR="001C69FC">
              <w:rPr>
                <w:rFonts w:ascii="Cambria" w:hAnsi="Cambria"/>
              </w:rPr>
              <w:t>;</w:t>
            </w:r>
          </w:p>
          <w:p w:rsidR="00DD4B32" w:rsidRDefault="00DD4B32" w:rsidP="00AB0829">
            <w:pPr>
              <w:pStyle w:val="SingleTxtG"/>
              <w:numPr>
                <w:ilvl w:val="0"/>
                <w:numId w:val="13"/>
              </w:numPr>
              <w:ind w:right="0"/>
              <w:rPr>
                <w:rFonts w:ascii="Cambria" w:hAnsi="Cambria"/>
              </w:rPr>
            </w:pPr>
            <w:r>
              <w:rPr>
                <w:rFonts w:ascii="Cambria" w:hAnsi="Cambria"/>
              </w:rPr>
              <w:t>gravity of harm;</w:t>
            </w:r>
          </w:p>
          <w:p w:rsidR="00EF5D9A" w:rsidRPr="00C35CBA" w:rsidRDefault="00F506A7" w:rsidP="00DD4B32">
            <w:pPr>
              <w:pStyle w:val="SingleTxtG"/>
              <w:numPr>
                <w:ilvl w:val="0"/>
                <w:numId w:val="13"/>
              </w:numPr>
              <w:ind w:right="0"/>
              <w:rPr>
                <w:rFonts w:ascii="Cambria" w:hAnsi="Cambria"/>
              </w:rPr>
            </w:pPr>
            <w:proofErr w:type="gramStart"/>
            <w:r w:rsidRPr="001C69FC">
              <w:rPr>
                <w:rFonts w:ascii="Cambria" w:hAnsi="Cambria"/>
              </w:rPr>
              <w:t>human</w:t>
            </w:r>
            <w:proofErr w:type="gramEnd"/>
            <w:r w:rsidRPr="001C69FC">
              <w:rPr>
                <w:rFonts w:ascii="Cambria" w:hAnsi="Cambria"/>
              </w:rPr>
              <w:t xml:space="preserve"> rights considerations</w:t>
            </w:r>
            <w:r w:rsidR="001C69FC" w:rsidRPr="001C69FC">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4.4</w:t>
      </w:r>
      <w:r w:rsidRPr="008B11B2">
        <w:rPr>
          <w:rFonts w:ascii="Cambria" w:hAnsi="Cambria"/>
          <w:b/>
          <w:bCs/>
          <w:sz w:val="22"/>
          <w:szCs w:val="22"/>
        </w:rPr>
        <w:tab/>
      </w:r>
      <w:r w:rsidRPr="008B11B2">
        <w:rPr>
          <w:rFonts w:ascii="Cambria" w:hAnsi="Cambria"/>
          <w:b/>
          <w:sz w:val="22"/>
          <w:szCs w:val="22"/>
        </w:rPr>
        <w:t>Enforcement agencies ensure that there is policy coherence between: (a) policies and procedures that set performance targets for their personnel; (b) financial and other performance incentives for such personnel; and (c) policies relating to the use of enforcement discretion.</w:t>
      </w:r>
    </w:p>
    <w:p w:rsidR="00F927D4" w:rsidRDefault="00F927D4" w:rsidP="008B11B2">
      <w:pPr>
        <w:pStyle w:val="SingleTxtG"/>
        <w:ind w:left="0" w:right="0"/>
        <w:rPr>
          <w:rFonts w:ascii="Cambria" w:hAnsi="Cambria"/>
          <w:b/>
          <w:sz w:val="22"/>
          <w:szCs w:val="22"/>
        </w:rPr>
      </w:pPr>
    </w:p>
    <w:tbl>
      <w:tblPr>
        <w:tblStyle w:val="TableGrid"/>
        <w:tblW w:w="0" w:type="auto"/>
        <w:shd w:val="clear" w:color="auto" w:fill="DEEAF6" w:themeFill="accent1" w:themeFillTint="33"/>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5: There is transparency and accountability with respect to the use of enforcement discretion.</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5.1</w:t>
      </w:r>
      <w:r w:rsidRPr="008B11B2">
        <w:rPr>
          <w:rFonts w:ascii="Cambria" w:hAnsi="Cambria"/>
          <w:b/>
          <w:bCs/>
          <w:sz w:val="22"/>
          <w:szCs w:val="22"/>
        </w:rPr>
        <w:tab/>
      </w:r>
      <w:r w:rsidRPr="008B11B2">
        <w:rPr>
          <w:rFonts w:ascii="Cambria" w:hAnsi="Cambria"/>
          <w:b/>
          <w:sz w:val="22"/>
          <w:szCs w:val="22"/>
        </w:rPr>
        <w:t>Decisions by enforcement agencies not to investigate or take enforcement action are, to the extent possible, subject to formal challenge through a fair and transparent process.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F927D4" w:rsidRDefault="00EF5D9A" w:rsidP="004F60D5">
            <w:pPr>
              <w:pStyle w:val="SingleTxtG"/>
              <w:ind w:left="0" w:right="0"/>
              <w:rPr>
                <w:rFonts w:ascii="Cambria" w:hAnsi="Cambria"/>
                <w:b/>
              </w:rPr>
            </w:pPr>
            <w:r>
              <w:rPr>
                <w:rFonts w:ascii="Cambria" w:hAnsi="Cambria"/>
                <w:b/>
                <w:sz w:val="22"/>
                <w:szCs w:val="22"/>
              </w:rPr>
              <w:t>Illustrative example</w:t>
            </w:r>
            <w:r w:rsidR="00F927D4">
              <w:rPr>
                <w:rFonts w:ascii="Cambria" w:hAnsi="Cambria"/>
                <w:b/>
                <w:sz w:val="22"/>
                <w:szCs w:val="22"/>
              </w:rPr>
              <w:t>s</w:t>
            </w:r>
            <w:r>
              <w:rPr>
                <w:rFonts w:ascii="Cambria" w:hAnsi="Cambria"/>
                <w:b/>
                <w:sz w:val="22"/>
                <w:szCs w:val="22"/>
              </w:rPr>
              <w:t>: 5.1</w:t>
            </w:r>
          </w:p>
          <w:p w:rsidR="00EF5D9A" w:rsidRPr="00F927D4" w:rsidRDefault="0006191C" w:rsidP="004F60D5">
            <w:pPr>
              <w:pStyle w:val="SingleTxtG"/>
              <w:ind w:left="0" w:right="0"/>
              <w:rPr>
                <w:rFonts w:ascii="Cambria" w:hAnsi="Cambria"/>
              </w:rPr>
            </w:pPr>
            <w:r>
              <w:rPr>
                <w:rFonts w:ascii="Cambria" w:hAnsi="Cambria"/>
              </w:rPr>
              <w:t xml:space="preserve">A. </w:t>
            </w:r>
            <w:r w:rsidR="00976E5E">
              <w:rPr>
                <w:rFonts w:ascii="Cambria" w:hAnsi="Cambria"/>
              </w:rPr>
              <w:t>As noted above, (</w:t>
            </w:r>
            <w:r w:rsidR="00F927D4" w:rsidRPr="00F927D4">
              <w:rPr>
                <w:rFonts w:ascii="Cambria" w:hAnsi="Cambria"/>
              </w:rPr>
              <w:t>See comments at 4.3</w:t>
            </w:r>
            <w:r w:rsidR="00EC076F">
              <w:rPr>
                <w:rFonts w:ascii="Cambria" w:hAnsi="Cambria"/>
              </w:rPr>
              <w:t xml:space="preserve"> </w:t>
            </w:r>
            <w:r w:rsidR="00F927D4" w:rsidRPr="00F927D4">
              <w:rPr>
                <w:rFonts w:ascii="Cambria" w:hAnsi="Cambria"/>
              </w:rPr>
              <w:t>above</w:t>
            </w:r>
            <w:r w:rsidR="00976E5E">
              <w:rPr>
                <w:rFonts w:ascii="Cambria" w:hAnsi="Cambria"/>
              </w:rPr>
              <w:t>) there are</w:t>
            </w:r>
            <w:r w:rsidR="00F927D4" w:rsidRPr="00F927D4">
              <w:rPr>
                <w:rFonts w:ascii="Cambria" w:hAnsi="Cambria"/>
              </w:rPr>
              <w:t xml:space="preserve"> </w:t>
            </w:r>
            <w:r w:rsidR="00F927D4">
              <w:rPr>
                <w:rFonts w:ascii="Cambria" w:hAnsi="Cambria"/>
              </w:rPr>
              <w:t xml:space="preserve">variations </w:t>
            </w:r>
            <w:r w:rsidR="00976E5E">
              <w:rPr>
                <w:rFonts w:ascii="Cambria" w:hAnsi="Cambria"/>
              </w:rPr>
              <w:t xml:space="preserve">from jurisdiction to jurisdiction </w:t>
            </w:r>
            <w:r w:rsidR="00F927D4">
              <w:rPr>
                <w:rFonts w:ascii="Cambria" w:hAnsi="Cambria"/>
              </w:rPr>
              <w:t>in the degrees of enforcement discretion vested in different States agencies</w:t>
            </w:r>
            <w:r w:rsidR="00976E5E">
              <w:rPr>
                <w:rFonts w:ascii="Cambria" w:hAnsi="Cambria"/>
              </w:rPr>
              <w:t>,</w:t>
            </w:r>
            <w:r w:rsidR="00F927D4">
              <w:rPr>
                <w:rFonts w:ascii="Cambria" w:hAnsi="Cambria"/>
              </w:rPr>
              <w:t xml:space="preserve"> which have implications for the appropriate balance to be struck between prosecutorial independence and accountability.  However, </w:t>
            </w:r>
            <w:r w:rsidR="00976E5E">
              <w:rPr>
                <w:rFonts w:ascii="Cambria" w:hAnsi="Cambria"/>
              </w:rPr>
              <w:t xml:space="preserve">against that background, </w:t>
            </w:r>
            <w:r w:rsidR="00F927D4">
              <w:rPr>
                <w:rFonts w:ascii="Cambria" w:hAnsi="Cambria"/>
              </w:rPr>
              <w:t xml:space="preserve">the following are </w:t>
            </w:r>
            <w:r w:rsidR="00EC076F">
              <w:rPr>
                <w:rFonts w:ascii="Cambria" w:hAnsi="Cambria"/>
              </w:rPr>
              <w:t xml:space="preserve">illustrative </w:t>
            </w:r>
            <w:r w:rsidR="00F927D4">
              <w:rPr>
                <w:rFonts w:ascii="Cambria" w:hAnsi="Cambria"/>
              </w:rPr>
              <w:t xml:space="preserve">examples of different methods </w:t>
            </w:r>
            <w:r w:rsidR="00976E5E">
              <w:rPr>
                <w:rFonts w:ascii="Cambria" w:hAnsi="Cambria"/>
              </w:rPr>
              <w:t>used</w:t>
            </w:r>
            <w:r w:rsidR="00F927D4">
              <w:rPr>
                <w:rFonts w:ascii="Cambria" w:hAnsi="Cambria"/>
              </w:rPr>
              <w:t xml:space="preserve"> to ensure that there is accountability with respect to the exercise of investigat</w:t>
            </w:r>
            <w:r w:rsidR="00DD4B32">
              <w:rPr>
                <w:rFonts w:ascii="Cambria" w:hAnsi="Cambria"/>
              </w:rPr>
              <w:t>ive and prosecutorial functions;</w:t>
            </w:r>
          </w:p>
          <w:p w:rsidR="003953F5" w:rsidRPr="00F927D4" w:rsidRDefault="00F927D4" w:rsidP="00E623C2">
            <w:pPr>
              <w:pStyle w:val="SingleTxtG"/>
              <w:numPr>
                <w:ilvl w:val="0"/>
                <w:numId w:val="14"/>
              </w:numPr>
              <w:ind w:right="0"/>
              <w:rPr>
                <w:rFonts w:ascii="Cambria" w:hAnsi="Cambria"/>
              </w:rPr>
            </w:pPr>
            <w:r w:rsidRPr="00F927D4">
              <w:rPr>
                <w:rFonts w:ascii="Cambria" w:hAnsi="Cambria"/>
              </w:rPr>
              <w:t>r</w:t>
            </w:r>
            <w:r w:rsidR="003953F5" w:rsidRPr="00F927D4">
              <w:rPr>
                <w:rFonts w:ascii="Cambria" w:hAnsi="Cambria"/>
              </w:rPr>
              <w:t>ecorded consultation</w:t>
            </w:r>
            <w:r w:rsidRPr="00F927D4">
              <w:rPr>
                <w:rFonts w:ascii="Cambria" w:hAnsi="Cambria"/>
              </w:rPr>
              <w:t>s</w:t>
            </w:r>
            <w:r w:rsidR="003953F5" w:rsidRPr="00F927D4">
              <w:rPr>
                <w:rFonts w:ascii="Cambria" w:hAnsi="Cambria"/>
              </w:rPr>
              <w:t xml:space="preserve"> with affected </w:t>
            </w:r>
            <w:r w:rsidRPr="00F927D4">
              <w:rPr>
                <w:rFonts w:ascii="Cambria" w:hAnsi="Cambria"/>
              </w:rPr>
              <w:t>persons;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c</w:t>
            </w:r>
            <w:r w:rsidR="00A67C0A" w:rsidRPr="00F927D4">
              <w:rPr>
                <w:rFonts w:ascii="Cambria" w:hAnsi="Cambria"/>
              </w:rPr>
              <w:t>omplaints procedures</w:t>
            </w:r>
            <w:r w:rsidRPr="00F927D4">
              <w:rPr>
                <w:rFonts w:ascii="Cambria" w:hAnsi="Cambria"/>
              </w:rPr>
              <w:t>;</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internal and external protocols;</w:t>
            </w:r>
          </w:p>
          <w:p w:rsidR="00F927D4" w:rsidRPr="00F927D4" w:rsidRDefault="00A67C0A" w:rsidP="00E623C2">
            <w:pPr>
              <w:pStyle w:val="SingleTxtG"/>
              <w:numPr>
                <w:ilvl w:val="0"/>
                <w:numId w:val="14"/>
              </w:numPr>
              <w:ind w:right="0"/>
              <w:rPr>
                <w:rFonts w:ascii="Cambria" w:hAnsi="Cambria"/>
              </w:rPr>
            </w:pPr>
            <w:r w:rsidRPr="00F927D4">
              <w:rPr>
                <w:rFonts w:ascii="Cambria" w:hAnsi="Cambria"/>
              </w:rPr>
              <w:t>oversight uni</w:t>
            </w:r>
            <w:r w:rsidR="00F927D4" w:rsidRPr="00F927D4">
              <w:rPr>
                <w:rFonts w:ascii="Cambria" w:hAnsi="Cambria"/>
              </w:rPr>
              <w:t>ts;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provision for file and office audits;</w:t>
            </w:r>
          </w:p>
          <w:p w:rsidR="00F927D4" w:rsidRPr="00F927D4" w:rsidRDefault="00A67C0A" w:rsidP="00E623C2">
            <w:pPr>
              <w:pStyle w:val="SingleTxtG"/>
              <w:numPr>
                <w:ilvl w:val="0"/>
                <w:numId w:val="14"/>
              </w:numPr>
              <w:ind w:right="0"/>
              <w:rPr>
                <w:rFonts w:ascii="Cambria" w:hAnsi="Cambria"/>
              </w:rPr>
            </w:pPr>
            <w:r w:rsidRPr="00F927D4">
              <w:rPr>
                <w:rFonts w:ascii="Cambria" w:hAnsi="Cambria"/>
              </w:rPr>
              <w:t>l</w:t>
            </w:r>
            <w:r w:rsidR="00F927D4" w:rsidRPr="00F927D4">
              <w:rPr>
                <w:rFonts w:ascii="Cambria" w:hAnsi="Cambria"/>
              </w:rPr>
              <w:t>egal risk management protocols;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prosecution inspectorates;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appearances before senate or parliamentary committees;</w:t>
            </w:r>
          </w:p>
          <w:p w:rsidR="00A67C0A" w:rsidRPr="00F927D4" w:rsidRDefault="00DD4B32" w:rsidP="00E623C2">
            <w:pPr>
              <w:pStyle w:val="SingleTxtG"/>
              <w:numPr>
                <w:ilvl w:val="0"/>
                <w:numId w:val="14"/>
              </w:numPr>
              <w:ind w:right="0"/>
              <w:rPr>
                <w:rFonts w:ascii="Cambria" w:hAnsi="Cambria"/>
              </w:rPr>
            </w:pPr>
            <w:proofErr w:type="gramStart"/>
            <w:r>
              <w:rPr>
                <w:rFonts w:ascii="Cambria" w:hAnsi="Cambria"/>
              </w:rPr>
              <w:t>appearances</w:t>
            </w:r>
            <w:proofErr w:type="gramEnd"/>
            <w:r>
              <w:rPr>
                <w:rFonts w:ascii="Cambria" w:hAnsi="Cambria"/>
              </w:rPr>
              <w:t xml:space="preserve"> before Commissions </w:t>
            </w:r>
            <w:proofErr w:type="spellStart"/>
            <w:r>
              <w:rPr>
                <w:rFonts w:ascii="Cambria" w:hAnsi="Cambria"/>
              </w:rPr>
              <w:t>ofI</w:t>
            </w:r>
            <w:r w:rsidR="00A67C0A" w:rsidRPr="00F927D4">
              <w:rPr>
                <w:rFonts w:ascii="Cambria" w:hAnsi="Cambria"/>
              </w:rPr>
              <w:t>inquiry</w:t>
            </w:r>
            <w:proofErr w:type="spellEnd"/>
            <w:r w:rsidR="00A67C0A" w:rsidRPr="00F927D4">
              <w:rPr>
                <w:rFonts w:ascii="Cambria" w:hAnsi="Cambria"/>
              </w:rPr>
              <w:t>.</w:t>
            </w:r>
          </w:p>
          <w:p w:rsidR="00195FF5" w:rsidRDefault="0006191C" w:rsidP="003953F5">
            <w:pPr>
              <w:pStyle w:val="SingleTxtG"/>
              <w:ind w:left="0" w:right="0"/>
              <w:rPr>
                <w:rFonts w:ascii="Cambria" w:hAnsi="Cambria"/>
              </w:rPr>
            </w:pPr>
            <w:r>
              <w:rPr>
                <w:rFonts w:ascii="Cambria" w:hAnsi="Cambria"/>
              </w:rPr>
              <w:t xml:space="preserve">B. </w:t>
            </w:r>
            <w:r w:rsidR="00976E5E">
              <w:rPr>
                <w:rFonts w:ascii="Cambria" w:hAnsi="Cambria"/>
              </w:rPr>
              <w:t xml:space="preserve">Methods of </w:t>
            </w:r>
            <w:r w:rsidR="00C173D5">
              <w:rPr>
                <w:rFonts w:ascii="Cambria" w:hAnsi="Cambria"/>
              </w:rPr>
              <w:t xml:space="preserve"> reviewing </w:t>
            </w:r>
            <w:r w:rsidR="00195FF5">
              <w:rPr>
                <w:rFonts w:ascii="Cambria" w:hAnsi="Cambria"/>
              </w:rPr>
              <w:t>d</w:t>
            </w:r>
            <w:r w:rsidR="00195FF5" w:rsidRPr="00195FF5">
              <w:rPr>
                <w:rFonts w:ascii="Cambria" w:hAnsi="Cambria"/>
              </w:rPr>
              <w:t xml:space="preserve">ecisions not to investigate or prosecute allegations of business-related human rights abuses </w:t>
            </w:r>
            <w:r w:rsidR="00DD4B32">
              <w:rPr>
                <w:rFonts w:ascii="Cambria" w:hAnsi="Cambria"/>
              </w:rPr>
              <w:t>include;</w:t>
            </w:r>
          </w:p>
          <w:p w:rsidR="00195FF5" w:rsidRDefault="00195FF5" w:rsidP="00E623C2">
            <w:pPr>
              <w:pStyle w:val="SingleTxtG"/>
              <w:numPr>
                <w:ilvl w:val="0"/>
                <w:numId w:val="15"/>
              </w:numPr>
              <w:ind w:right="0"/>
              <w:rPr>
                <w:rFonts w:ascii="Cambria" w:hAnsi="Cambria"/>
              </w:rPr>
            </w:pPr>
            <w:r>
              <w:rPr>
                <w:rFonts w:ascii="Cambria" w:hAnsi="Cambria"/>
              </w:rPr>
              <w:t>internal or administrative appeal;</w:t>
            </w:r>
          </w:p>
          <w:p w:rsidR="00195FF5" w:rsidRDefault="00195FF5" w:rsidP="00E623C2">
            <w:pPr>
              <w:pStyle w:val="SingleTxtG"/>
              <w:numPr>
                <w:ilvl w:val="0"/>
                <w:numId w:val="15"/>
              </w:numPr>
              <w:ind w:right="0"/>
              <w:rPr>
                <w:rFonts w:ascii="Cambria" w:hAnsi="Cambria"/>
              </w:rPr>
            </w:pPr>
            <w:r>
              <w:rPr>
                <w:rFonts w:ascii="Cambria" w:hAnsi="Cambria"/>
              </w:rPr>
              <w:t>judicial review;</w:t>
            </w:r>
          </w:p>
          <w:p w:rsidR="00195FF5" w:rsidRDefault="00195FF5" w:rsidP="00E623C2">
            <w:pPr>
              <w:pStyle w:val="SingleTxtG"/>
              <w:numPr>
                <w:ilvl w:val="0"/>
                <w:numId w:val="15"/>
              </w:numPr>
              <w:ind w:right="0"/>
              <w:rPr>
                <w:rFonts w:ascii="Cambria" w:hAnsi="Cambria"/>
              </w:rPr>
            </w:pPr>
            <w:proofErr w:type="gramStart"/>
            <w:r>
              <w:rPr>
                <w:rFonts w:ascii="Cambria" w:hAnsi="Cambria"/>
              </w:rPr>
              <w:t>appeal</w:t>
            </w:r>
            <w:proofErr w:type="gramEnd"/>
            <w:r>
              <w:rPr>
                <w:rFonts w:ascii="Cambria" w:hAnsi="Cambria"/>
              </w:rPr>
              <w:t xml:space="preserve"> to external committee.</w:t>
            </w:r>
          </w:p>
          <w:p w:rsidR="00EF5D9A" w:rsidRDefault="0006191C" w:rsidP="00102AEF">
            <w:pPr>
              <w:pStyle w:val="SingleTxtG"/>
              <w:ind w:left="0" w:right="0"/>
              <w:rPr>
                <w:rFonts w:ascii="Cambria" w:hAnsi="Cambria"/>
                <w:b/>
                <w:sz w:val="22"/>
                <w:szCs w:val="22"/>
              </w:rPr>
            </w:pPr>
            <w:r>
              <w:rPr>
                <w:rFonts w:ascii="Cambria" w:hAnsi="Cambria"/>
              </w:rPr>
              <w:t xml:space="preserve">C. </w:t>
            </w:r>
            <w:r w:rsidR="00DD4B32">
              <w:rPr>
                <w:rFonts w:ascii="Cambria" w:hAnsi="Cambria"/>
              </w:rPr>
              <w:t>T</w:t>
            </w:r>
            <w:r w:rsidR="00C173D5">
              <w:rPr>
                <w:rFonts w:ascii="Cambria" w:hAnsi="Cambria"/>
              </w:rPr>
              <w:t>he s</w:t>
            </w:r>
            <w:r w:rsidR="00195FF5">
              <w:rPr>
                <w:rFonts w:ascii="Cambria" w:hAnsi="Cambria"/>
              </w:rPr>
              <w:t xml:space="preserve">ubmission </w:t>
            </w:r>
            <w:r w:rsidR="00C173D5">
              <w:rPr>
                <w:rFonts w:ascii="Cambria" w:hAnsi="Cambria"/>
              </w:rPr>
              <w:t xml:space="preserve">by enforcement and regulatory agencies </w:t>
            </w:r>
            <w:r w:rsidR="00195FF5">
              <w:rPr>
                <w:rFonts w:ascii="Cambria" w:hAnsi="Cambria"/>
              </w:rPr>
              <w:t>of</w:t>
            </w:r>
            <w:r w:rsidR="00C173D5">
              <w:rPr>
                <w:rFonts w:ascii="Cambria" w:hAnsi="Cambria"/>
              </w:rPr>
              <w:t xml:space="preserve"> </w:t>
            </w:r>
            <w:r w:rsidR="00195FF5">
              <w:rPr>
                <w:rFonts w:ascii="Cambria" w:hAnsi="Cambria"/>
              </w:rPr>
              <w:t>annual report</w:t>
            </w:r>
            <w:r w:rsidR="00C173D5">
              <w:rPr>
                <w:rFonts w:ascii="Cambria" w:hAnsi="Cambria"/>
              </w:rPr>
              <w:t>s</w:t>
            </w:r>
            <w:r w:rsidR="00195FF5">
              <w:rPr>
                <w:rFonts w:ascii="Cambria" w:hAnsi="Cambria"/>
              </w:rPr>
              <w:t xml:space="preserve"> of activities for </w:t>
            </w:r>
            <w:r w:rsidR="00195FF5">
              <w:rPr>
                <w:rFonts w:ascii="Cambria" w:hAnsi="Cambria"/>
              </w:rPr>
              <w:lastRenderedPageBreak/>
              <w:t>parliamentary and public scrutiny</w:t>
            </w:r>
            <w:r w:rsidR="00C173D5">
              <w:rPr>
                <w:rFonts w:ascii="Cambria" w:hAnsi="Cambria"/>
              </w:rPr>
              <w:t xml:space="preserve"> provides an opportunity for further explanation </w:t>
            </w:r>
            <w:r w:rsidR="00102AEF">
              <w:rPr>
                <w:rFonts w:ascii="Cambria" w:hAnsi="Cambria"/>
              </w:rPr>
              <w:t xml:space="preserve">and evaluation </w:t>
            </w:r>
            <w:r w:rsidR="00C173D5">
              <w:rPr>
                <w:rFonts w:ascii="Cambria" w:hAnsi="Cambria"/>
              </w:rPr>
              <w:t xml:space="preserve">of the performance of relevant </w:t>
            </w:r>
            <w:r w:rsidR="00102AEF">
              <w:rPr>
                <w:rFonts w:ascii="Cambria" w:hAnsi="Cambria"/>
              </w:rPr>
              <w:t>enforcement</w:t>
            </w:r>
            <w:r w:rsidR="00C173D5">
              <w:rPr>
                <w:rFonts w:ascii="Cambria" w:hAnsi="Cambria"/>
              </w:rPr>
              <w:t xml:space="preserve"> agencies</w:t>
            </w:r>
            <w:r w:rsidR="00102AEF">
              <w:rPr>
                <w:rFonts w:ascii="Cambria" w:hAnsi="Cambria"/>
              </w:rPr>
              <w:t xml:space="preserve"> more generally.</w:t>
            </w:r>
          </w:p>
        </w:tc>
      </w:tr>
    </w:tbl>
    <w:p w:rsidR="00EF5D9A" w:rsidRPr="008B11B2" w:rsidRDefault="00EF5D9A" w:rsidP="008B11B2">
      <w:pPr>
        <w:pStyle w:val="SingleTxtG"/>
        <w:ind w:left="0" w:right="0"/>
        <w:rPr>
          <w:rFonts w:ascii="Cambria" w:hAnsi="Cambria"/>
          <w:b/>
          <w:sz w:val="22"/>
          <w:szCs w:val="22"/>
        </w:rPr>
      </w:pPr>
    </w:p>
    <w:p w:rsidR="008B11B2" w:rsidRPr="008B11B2" w:rsidRDefault="008B11B2" w:rsidP="008B11B2">
      <w:pPr>
        <w:pStyle w:val="SingleTxtG"/>
        <w:ind w:left="0" w:right="0"/>
        <w:rPr>
          <w:rFonts w:ascii="Cambria" w:hAnsi="Cambria"/>
          <w:b/>
          <w:sz w:val="22"/>
          <w:szCs w:val="22"/>
        </w:rPr>
      </w:pPr>
      <w:r w:rsidRPr="008B11B2">
        <w:rPr>
          <w:rFonts w:ascii="Cambria" w:hAnsi="Cambria"/>
          <w:b/>
          <w:sz w:val="22"/>
          <w:szCs w:val="22"/>
        </w:rPr>
        <w:t>5.2</w:t>
      </w:r>
      <w:r w:rsidRPr="008B11B2">
        <w:rPr>
          <w:rFonts w:ascii="Cambria" w:hAnsi="Cambria"/>
          <w:b/>
          <w:bCs/>
          <w:sz w:val="22"/>
          <w:szCs w:val="22"/>
        </w:rPr>
        <w:t xml:space="preserve"> </w:t>
      </w:r>
      <w:r w:rsidRPr="008B11B2">
        <w:rPr>
          <w:rFonts w:ascii="Cambria" w:hAnsi="Cambria"/>
          <w:b/>
          <w:bCs/>
          <w:sz w:val="22"/>
          <w:szCs w:val="22"/>
        </w:rPr>
        <w:tab/>
      </w:r>
      <w:r w:rsidRPr="008B11B2">
        <w:rPr>
          <w:rFonts w:ascii="Cambria" w:hAnsi="Cambria"/>
          <w:b/>
          <w:sz w:val="22"/>
          <w:szCs w:val="22"/>
        </w:rPr>
        <w:t>Enforcement agencies take proactive steps to ensure that, in the event where a request to investigate or take enforcement action has been declined, the complainants in the case are informed (a) of any rights they may have formally to challenge such a decision; and (b) of the procedures that will apply in the event the complainants choose to exercise such rights.</w:t>
      </w:r>
    </w:p>
    <w:tbl>
      <w:tblPr>
        <w:tblStyle w:val="TableGrid"/>
        <w:tblW w:w="0" w:type="auto"/>
        <w:shd w:val="clear" w:color="auto" w:fill="DEEAF6" w:themeFill="accent1" w:themeFillTint="33"/>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6: Enforcement agencies have access to the necessary resources, training and expertise.</w:t>
            </w:r>
          </w:p>
        </w:tc>
      </w:tr>
    </w:tbl>
    <w:p w:rsidR="008B11B2" w:rsidRDefault="008B11B2" w:rsidP="008B11B2">
      <w:pPr>
        <w:pStyle w:val="SingleTxtG"/>
        <w:ind w:left="0" w:right="0"/>
        <w:rPr>
          <w:rFonts w:ascii="Cambria" w:hAnsi="Cambria"/>
          <w:bCs/>
          <w:sz w:val="22"/>
          <w:szCs w:val="22"/>
        </w:rPr>
      </w:pPr>
    </w:p>
    <w:p w:rsidR="00EF5D9A" w:rsidRDefault="008B11B2" w:rsidP="008B11B2">
      <w:pPr>
        <w:pStyle w:val="SingleTxtG"/>
        <w:ind w:left="0" w:right="0"/>
        <w:rPr>
          <w:rFonts w:ascii="Cambria" w:hAnsi="Cambria"/>
          <w:b/>
          <w:sz w:val="22"/>
          <w:szCs w:val="22"/>
        </w:rPr>
      </w:pPr>
      <w:r w:rsidRPr="008B11B2">
        <w:rPr>
          <w:rFonts w:ascii="Cambria" w:hAnsi="Cambria"/>
          <w:b/>
          <w:bCs/>
          <w:sz w:val="22"/>
          <w:szCs w:val="22"/>
        </w:rPr>
        <w:t>6.1</w:t>
      </w:r>
      <w:r w:rsidRPr="008B11B2">
        <w:rPr>
          <w:rFonts w:ascii="Cambria" w:hAnsi="Cambria"/>
          <w:b/>
          <w:bCs/>
          <w:sz w:val="22"/>
          <w:szCs w:val="22"/>
        </w:rPr>
        <w:tab/>
      </w:r>
      <w:r w:rsidRPr="008B11B2">
        <w:rPr>
          <w:rFonts w:ascii="Cambria" w:hAnsi="Cambria"/>
          <w:b/>
          <w:sz w:val="22"/>
          <w:szCs w:val="22"/>
        </w:rPr>
        <w:t>Enforcement agencies have access to adequate resources to investigate and take enforcement action with respect to allegations of business-related human rights abuses.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22652B" w:rsidRDefault="00EF5D9A" w:rsidP="004F60D5">
            <w:pPr>
              <w:pStyle w:val="SingleTxtG"/>
              <w:ind w:left="0" w:right="0"/>
              <w:rPr>
                <w:rFonts w:ascii="Cambria" w:hAnsi="Cambria"/>
                <w:b/>
              </w:rPr>
            </w:pPr>
            <w:r>
              <w:rPr>
                <w:rFonts w:ascii="Cambria" w:hAnsi="Cambria"/>
                <w:b/>
                <w:sz w:val="22"/>
                <w:szCs w:val="22"/>
              </w:rPr>
              <w:t>Illustrative example</w:t>
            </w:r>
            <w:r w:rsidR="00EA0ACE">
              <w:rPr>
                <w:rFonts w:ascii="Cambria" w:hAnsi="Cambria"/>
                <w:b/>
                <w:sz w:val="22"/>
                <w:szCs w:val="22"/>
              </w:rPr>
              <w:t>s</w:t>
            </w:r>
            <w:r>
              <w:rPr>
                <w:rFonts w:ascii="Cambria" w:hAnsi="Cambria"/>
                <w:b/>
                <w:sz w:val="22"/>
                <w:szCs w:val="22"/>
              </w:rPr>
              <w:t>: 6.1</w:t>
            </w:r>
          </w:p>
          <w:p w:rsidR="0022652B" w:rsidRDefault="0022652B" w:rsidP="004F60D5">
            <w:pPr>
              <w:pStyle w:val="SingleTxtG"/>
              <w:ind w:left="0" w:right="0"/>
              <w:rPr>
                <w:rFonts w:ascii="Cambria" w:hAnsi="Cambria"/>
              </w:rPr>
            </w:pPr>
            <w:r>
              <w:rPr>
                <w:rFonts w:ascii="Cambria" w:hAnsi="Cambria"/>
              </w:rPr>
              <w:t xml:space="preserve">A. </w:t>
            </w:r>
            <w:r w:rsidR="00FD0F59">
              <w:rPr>
                <w:rFonts w:ascii="Cambria" w:hAnsi="Cambria"/>
              </w:rPr>
              <w:t>Ways to improve access to necessary financial resources include;</w:t>
            </w:r>
          </w:p>
          <w:p w:rsidR="00FD0F59" w:rsidRDefault="00FD0F59" w:rsidP="00E623C2">
            <w:pPr>
              <w:pStyle w:val="SingleTxtG"/>
              <w:numPr>
                <w:ilvl w:val="0"/>
                <w:numId w:val="17"/>
              </w:numPr>
              <w:ind w:right="0"/>
              <w:rPr>
                <w:rFonts w:ascii="Cambria" w:hAnsi="Cambria"/>
              </w:rPr>
            </w:pPr>
            <w:r>
              <w:rPr>
                <w:rFonts w:ascii="Cambria" w:hAnsi="Cambria"/>
              </w:rPr>
              <w:t>proper consultation between government departments and relevant State agencies with respect to enforcement budgets;</w:t>
            </w:r>
          </w:p>
          <w:p w:rsidR="00FD0F59" w:rsidRDefault="00FD0F59" w:rsidP="00E623C2">
            <w:pPr>
              <w:pStyle w:val="SingleTxtG"/>
              <w:numPr>
                <w:ilvl w:val="0"/>
                <w:numId w:val="17"/>
              </w:numPr>
              <w:ind w:right="0"/>
              <w:rPr>
                <w:rFonts w:ascii="Cambria" w:hAnsi="Cambria"/>
              </w:rPr>
            </w:pPr>
            <w:r>
              <w:rPr>
                <w:rFonts w:ascii="Cambria" w:hAnsi="Cambria"/>
              </w:rPr>
              <w:t>regular institutional efficiency and performance reviews;</w:t>
            </w:r>
          </w:p>
          <w:p w:rsidR="00154788" w:rsidRPr="0006191C" w:rsidRDefault="00FD0F59" w:rsidP="0006191C">
            <w:pPr>
              <w:pStyle w:val="SingleTxtG"/>
              <w:numPr>
                <w:ilvl w:val="0"/>
                <w:numId w:val="17"/>
              </w:numPr>
              <w:ind w:right="0"/>
              <w:rPr>
                <w:rFonts w:ascii="Cambria" w:hAnsi="Cambria"/>
              </w:rPr>
            </w:pPr>
            <w:proofErr w:type="gramStart"/>
            <w:r w:rsidRPr="00154788">
              <w:rPr>
                <w:rFonts w:ascii="Cambria" w:hAnsi="Cambria"/>
              </w:rPr>
              <w:t>recover</w:t>
            </w:r>
            <w:r w:rsidR="00504D4D" w:rsidRPr="00154788">
              <w:rPr>
                <w:rFonts w:ascii="Cambria" w:hAnsi="Cambria"/>
              </w:rPr>
              <w:t>y</w:t>
            </w:r>
            <w:proofErr w:type="gramEnd"/>
            <w:r w:rsidRPr="00154788">
              <w:rPr>
                <w:rFonts w:ascii="Cambria" w:hAnsi="Cambria"/>
              </w:rPr>
              <w:t xml:space="preserve"> </w:t>
            </w:r>
            <w:r w:rsidR="00504D4D" w:rsidRPr="00154788">
              <w:rPr>
                <w:rFonts w:ascii="Cambria" w:hAnsi="Cambria"/>
              </w:rPr>
              <w:t xml:space="preserve">(or part recovery) of </w:t>
            </w:r>
            <w:r w:rsidRPr="00154788">
              <w:rPr>
                <w:rFonts w:ascii="Cambria" w:hAnsi="Cambria"/>
              </w:rPr>
              <w:t>prosecution costs though monetary penalties levied following successful prosecutions</w:t>
            </w:r>
            <w:r w:rsidR="0006191C">
              <w:rPr>
                <w:rFonts w:ascii="Cambria" w:hAnsi="Cambria"/>
              </w:rPr>
              <w:t xml:space="preserve">. </w:t>
            </w:r>
            <w:r w:rsidR="00DD7E43" w:rsidRPr="00DD7E43">
              <w:rPr>
                <w:rFonts w:ascii="Cambria" w:hAnsi="Cambria"/>
                <w:b/>
              </w:rPr>
              <w:t>Note:</w:t>
            </w:r>
            <w:r w:rsidR="00976E5E">
              <w:rPr>
                <w:rFonts w:ascii="Cambria" w:hAnsi="Cambria"/>
              </w:rPr>
              <w:t xml:space="preserve"> </w:t>
            </w:r>
            <w:r w:rsidR="009821FA">
              <w:rPr>
                <w:rFonts w:ascii="Cambria" w:hAnsi="Cambria"/>
              </w:rPr>
              <w:t xml:space="preserve">On the imposition of monetary penalties following a finding of corporate liability </w:t>
            </w:r>
            <w:r w:rsidR="0006191C">
              <w:rPr>
                <w:rFonts w:ascii="Cambria" w:hAnsi="Cambria"/>
              </w:rPr>
              <w:t>see further 11.1-11.7 below</w:t>
            </w:r>
            <w:r w:rsidRPr="00154788">
              <w:rPr>
                <w:rFonts w:ascii="Cambria" w:hAnsi="Cambria"/>
              </w:rPr>
              <w:t>.</w:t>
            </w:r>
          </w:p>
          <w:p w:rsidR="00EF5D9A" w:rsidRDefault="0022652B" w:rsidP="004F60D5">
            <w:pPr>
              <w:pStyle w:val="SingleTxtG"/>
              <w:ind w:left="0" w:right="0"/>
              <w:rPr>
                <w:rFonts w:ascii="Cambria" w:hAnsi="Cambria"/>
              </w:rPr>
            </w:pPr>
            <w:r>
              <w:rPr>
                <w:rFonts w:ascii="Cambria" w:hAnsi="Cambria"/>
              </w:rPr>
              <w:t xml:space="preserve">B. </w:t>
            </w:r>
            <w:r w:rsidRPr="0022652B">
              <w:rPr>
                <w:rFonts w:ascii="Cambria" w:hAnsi="Cambria"/>
              </w:rPr>
              <w:t xml:space="preserve">Ways to </w:t>
            </w:r>
            <w:r>
              <w:rPr>
                <w:rFonts w:ascii="Cambria" w:hAnsi="Cambria"/>
              </w:rPr>
              <w:t>improve</w:t>
            </w:r>
            <w:r w:rsidRPr="0022652B">
              <w:rPr>
                <w:rFonts w:ascii="Cambria" w:hAnsi="Cambria"/>
              </w:rPr>
              <w:t xml:space="preserve"> access to necessary </w:t>
            </w:r>
            <w:r>
              <w:rPr>
                <w:rFonts w:ascii="Cambria" w:hAnsi="Cambria"/>
              </w:rPr>
              <w:t xml:space="preserve">technical </w:t>
            </w:r>
            <w:r w:rsidR="00DD4B32">
              <w:rPr>
                <w:rFonts w:ascii="Cambria" w:hAnsi="Cambria"/>
              </w:rPr>
              <w:t>resources include;</w:t>
            </w:r>
          </w:p>
          <w:p w:rsidR="0022652B" w:rsidRPr="0022652B" w:rsidRDefault="0022652B" w:rsidP="00E623C2">
            <w:pPr>
              <w:pStyle w:val="SingleTxtG"/>
              <w:numPr>
                <w:ilvl w:val="0"/>
                <w:numId w:val="16"/>
              </w:numPr>
              <w:ind w:right="0"/>
              <w:rPr>
                <w:rFonts w:ascii="Cambria" w:hAnsi="Cambria"/>
              </w:rPr>
            </w:pPr>
            <w:r>
              <w:rPr>
                <w:rFonts w:ascii="Cambria" w:hAnsi="Cambria"/>
              </w:rPr>
              <w:t xml:space="preserve">access to </w:t>
            </w:r>
            <w:r w:rsidRPr="0022652B">
              <w:rPr>
                <w:rFonts w:ascii="Cambria" w:hAnsi="Cambria"/>
              </w:rPr>
              <w:t xml:space="preserve">ongoing legal and technical guidance </w:t>
            </w:r>
            <w:r>
              <w:rPr>
                <w:rFonts w:ascii="Cambria" w:hAnsi="Cambria"/>
              </w:rPr>
              <w:t xml:space="preserve">(e.g. via </w:t>
            </w:r>
            <w:r w:rsidRPr="0022652B">
              <w:rPr>
                <w:rFonts w:ascii="Cambria" w:hAnsi="Cambria"/>
              </w:rPr>
              <w:t>telephone help-lines</w:t>
            </w:r>
            <w:r>
              <w:rPr>
                <w:rFonts w:ascii="Cambria" w:hAnsi="Cambria"/>
              </w:rPr>
              <w:t>)</w:t>
            </w:r>
            <w:r w:rsidRPr="0022652B">
              <w:rPr>
                <w:rFonts w:ascii="Cambria" w:hAnsi="Cambria"/>
              </w:rPr>
              <w:t xml:space="preserve">; </w:t>
            </w:r>
          </w:p>
          <w:p w:rsidR="0022652B" w:rsidRPr="0022652B" w:rsidRDefault="0022652B" w:rsidP="00E623C2">
            <w:pPr>
              <w:pStyle w:val="SingleTxtG"/>
              <w:numPr>
                <w:ilvl w:val="0"/>
                <w:numId w:val="16"/>
              </w:numPr>
              <w:ind w:right="0"/>
              <w:rPr>
                <w:rFonts w:ascii="Cambria" w:hAnsi="Cambria"/>
              </w:rPr>
            </w:pPr>
            <w:r w:rsidRPr="0022652B">
              <w:rPr>
                <w:rFonts w:ascii="Cambria" w:hAnsi="Cambria"/>
              </w:rPr>
              <w:t>regular</w:t>
            </w:r>
            <w:r>
              <w:rPr>
                <w:rFonts w:ascii="Cambria" w:hAnsi="Cambria"/>
              </w:rPr>
              <w:t>, authoritative</w:t>
            </w:r>
            <w:r w:rsidRPr="0022652B">
              <w:rPr>
                <w:rFonts w:ascii="Cambria" w:hAnsi="Cambria"/>
              </w:rPr>
              <w:t xml:space="preserve"> legal and procedural updates</w:t>
            </w:r>
            <w:r>
              <w:rPr>
                <w:rFonts w:ascii="Cambria" w:hAnsi="Cambria"/>
              </w:rPr>
              <w:t xml:space="preserve"> (e.g. from a central legal body)</w:t>
            </w:r>
            <w:r w:rsidRPr="0022652B">
              <w:rPr>
                <w:rFonts w:ascii="Cambria" w:hAnsi="Cambria"/>
              </w:rPr>
              <w:t>;</w:t>
            </w:r>
          </w:p>
          <w:p w:rsidR="00873CF4" w:rsidRPr="0022652B" w:rsidRDefault="0022652B" w:rsidP="00E623C2">
            <w:pPr>
              <w:pStyle w:val="SingleTxtG"/>
              <w:numPr>
                <w:ilvl w:val="0"/>
                <w:numId w:val="16"/>
              </w:numPr>
              <w:ind w:right="0"/>
              <w:rPr>
                <w:rFonts w:ascii="Cambria" w:hAnsi="Cambria"/>
              </w:rPr>
            </w:pPr>
            <w:r w:rsidRPr="0022652B">
              <w:rPr>
                <w:rFonts w:ascii="Cambria" w:hAnsi="Cambria"/>
              </w:rPr>
              <w:t>a</w:t>
            </w:r>
            <w:r w:rsidR="00873CF4" w:rsidRPr="0022652B">
              <w:rPr>
                <w:rFonts w:ascii="Cambria" w:hAnsi="Cambria"/>
              </w:rPr>
              <w:t>nnotated desk books, policy manuals for quick reference and to help ensure consistent responses</w:t>
            </w:r>
            <w:r w:rsidRPr="0022652B">
              <w:rPr>
                <w:rFonts w:ascii="Cambria" w:hAnsi="Cambria"/>
              </w:rPr>
              <w:t>;</w:t>
            </w:r>
          </w:p>
          <w:p w:rsidR="0022652B" w:rsidRPr="0022652B" w:rsidRDefault="0022652B" w:rsidP="00E623C2">
            <w:pPr>
              <w:pStyle w:val="SingleTxtG"/>
              <w:numPr>
                <w:ilvl w:val="0"/>
                <w:numId w:val="16"/>
              </w:numPr>
              <w:ind w:right="0"/>
              <w:rPr>
                <w:rFonts w:ascii="Cambria" w:hAnsi="Cambria"/>
              </w:rPr>
            </w:pPr>
            <w:r w:rsidRPr="0022652B">
              <w:rPr>
                <w:rFonts w:ascii="Cambria" w:hAnsi="Cambria"/>
              </w:rPr>
              <w:t xml:space="preserve">installation of </w:t>
            </w:r>
            <w:r>
              <w:rPr>
                <w:rFonts w:ascii="Cambria" w:hAnsi="Cambria"/>
              </w:rPr>
              <w:t>c</w:t>
            </w:r>
            <w:r w:rsidR="00595A78" w:rsidRPr="0022652B">
              <w:rPr>
                <w:rFonts w:ascii="Cambria" w:hAnsi="Cambria"/>
              </w:rPr>
              <w:t>ase manage</w:t>
            </w:r>
            <w:r>
              <w:rPr>
                <w:rFonts w:ascii="Cambria" w:hAnsi="Cambria"/>
              </w:rPr>
              <w:t xml:space="preserve">ment and case </w:t>
            </w:r>
            <w:r w:rsidRPr="0022652B">
              <w:rPr>
                <w:rFonts w:ascii="Cambria" w:hAnsi="Cambria"/>
              </w:rPr>
              <w:t>tracking systems,</w:t>
            </w:r>
          </w:p>
          <w:p w:rsidR="00DD4B32" w:rsidRDefault="0022652B" w:rsidP="00E623C2">
            <w:pPr>
              <w:pStyle w:val="SingleTxtG"/>
              <w:numPr>
                <w:ilvl w:val="0"/>
                <w:numId w:val="16"/>
              </w:numPr>
              <w:ind w:right="0"/>
              <w:rPr>
                <w:rFonts w:ascii="Cambria" w:hAnsi="Cambria"/>
              </w:rPr>
            </w:pPr>
            <w:r w:rsidRPr="00DD4B32">
              <w:rPr>
                <w:rFonts w:ascii="Cambria" w:hAnsi="Cambria"/>
              </w:rPr>
              <w:t>access to a computerised pool of know-how including legal templates, standard</w:t>
            </w:r>
            <w:r w:rsidR="00595A78" w:rsidRPr="00DD4B32">
              <w:rPr>
                <w:rFonts w:ascii="Cambria" w:hAnsi="Cambria"/>
              </w:rPr>
              <w:t xml:space="preserve"> documentation, </w:t>
            </w:r>
            <w:r w:rsidRPr="00DD4B32">
              <w:rPr>
                <w:rFonts w:ascii="Cambria" w:hAnsi="Cambria"/>
              </w:rPr>
              <w:t xml:space="preserve">past </w:t>
            </w:r>
            <w:r w:rsidR="00595A78" w:rsidRPr="00DD4B32">
              <w:rPr>
                <w:rFonts w:ascii="Cambria" w:hAnsi="Cambria"/>
              </w:rPr>
              <w:t>pleadings,</w:t>
            </w:r>
            <w:r w:rsidR="00DD4B32">
              <w:rPr>
                <w:rFonts w:ascii="Cambria" w:hAnsi="Cambria"/>
              </w:rPr>
              <w:t xml:space="preserve"> methodologies, lessons learned;</w:t>
            </w:r>
          </w:p>
          <w:p w:rsidR="00595A78" w:rsidRPr="0022652B" w:rsidRDefault="0022652B" w:rsidP="00E623C2">
            <w:pPr>
              <w:pStyle w:val="SingleTxtG"/>
              <w:numPr>
                <w:ilvl w:val="0"/>
                <w:numId w:val="16"/>
              </w:numPr>
              <w:ind w:right="0"/>
              <w:rPr>
                <w:rFonts w:ascii="Cambria" w:hAnsi="Cambria"/>
              </w:rPr>
            </w:pPr>
            <w:r w:rsidRPr="00DD4B32">
              <w:rPr>
                <w:rFonts w:ascii="Cambria" w:hAnsi="Cambria"/>
              </w:rPr>
              <w:t>o</w:t>
            </w:r>
            <w:r w:rsidR="00595A78" w:rsidRPr="00DD4B32">
              <w:rPr>
                <w:rFonts w:ascii="Cambria" w:hAnsi="Cambria"/>
              </w:rPr>
              <w:t>ngo</w:t>
            </w:r>
            <w:r w:rsidR="00DD4B32">
              <w:rPr>
                <w:rFonts w:ascii="Cambria" w:hAnsi="Cambria"/>
              </w:rPr>
              <w:t>ing training throughout careers;</w:t>
            </w:r>
          </w:p>
          <w:p w:rsidR="00EF5D9A" w:rsidRDefault="0022652B" w:rsidP="00E623C2">
            <w:pPr>
              <w:pStyle w:val="SingleTxtG"/>
              <w:numPr>
                <w:ilvl w:val="0"/>
                <w:numId w:val="16"/>
              </w:numPr>
              <w:ind w:right="0"/>
              <w:rPr>
                <w:rFonts w:ascii="Cambria" w:hAnsi="Cambria"/>
                <w:b/>
                <w:sz w:val="22"/>
                <w:szCs w:val="22"/>
              </w:rPr>
            </w:pPr>
            <w:proofErr w:type="gramStart"/>
            <w:r w:rsidRPr="0022652B">
              <w:rPr>
                <w:rFonts w:ascii="Cambria" w:hAnsi="Cambria"/>
              </w:rPr>
              <w:t>a</w:t>
            </w:r>
            <w:r w:rsidR="003033D8">
              <w:rPr>
                <w:rFonts w:ascii="Cambria" w:hAnsi="Cambria"/>
              </w:rPr>
              <w:t>dvanced</w:t>
            </w:r>
            <w:proofErr w:type="gramEnd"/>
            <w:r w:rsidR="00595A78" w:rsidRPr="0022652B">
              <w:rPr>
                <w:rFonts w:ascii="Cambria" w:hAnsi="Cambria"/>
              </w:rPr>
              <w:t xml:space="preserve"> training for specialists.</w:t>
            </w:r>
          </w:p>
        </w:tc>
      </w:tr>
    </w:tbl>
    <w:p w:rsidR="00EF5D9A"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6.2</w:t>
      </w:r>
      <w:r w:rsidRPr="008B11B2">
        <w:rPr>
          <w:rFonts w:ascii="Cambria" w:hAnsi="Cambria"/>
          <w:b/>
          <w:sz w:val="22"/>
          <w:szCs w:val="22"/>
        </w:rPr>
        <w:tab/>
        <w:t>The State has established specialist units, within enforcement agencies or pursuant to applicable legal regimes, that are responsible for the detection, investigation and prosecution of cases of business involvement in severe human rights abuses, and that have access to expertise relating to the investigation of serious offences involving corporate entities, including in cross-border contexts.</w:t>
      </w:r>
      <w:r w:rsidRPr="008B11B2">
        <w:rPr>
          <w:rStyle w:val="FootnoteReference"/>
          <w:rFonts w:ascii="Cambria" w:hAnsi="Cambria"/>
          <w:b/>
          <w:sz w:val="22"/>
          <w:szCs w:val="22"/>
        </w:rPr>
        <w:footnoteReference w:id="1"/>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EA0ACE">
              <w:rPr>
                <w:rFonts w:ascii="Cambria" w:hAnsi="Cambria"/>
                <w:b/>
                <w:sz w:val="22"/>
                <w:szCs w:val="22"/>
              </w:rPr>
              <w:t>s</w:t>
            </w:r>
            <w:r>
              <w:rPr>
                <w:rFonts w:ascii="Cambria" w:hAnsi="Cambria"/>
                <w:b/>
                <w:sz w:val="22"/>
                <w:szCs w:val="22"/>
              </w:rPr>
              <w:t>: 6.2</w:t>
            </w:r>
          </w:p>
          <w:p w:rsidR="009821FA" w:rsidRPr="00DD4B32" w:rsidRDefault="0006191C" w:rsidP="004F60D5">
            <w:pPr>
              <w:pStyle w:val="SingleTxtG"/>
              <w:ind w:left="0" w:right="0"/>
              <w:rPr>
                <w:rFonts w:ascii="Cambria" w:hAnsi="Cambria"/>
              </w:rPr>
            </w:pPr>
            <w:r w:rsidRPr="00DD4B32">
              <w:rPr>
                <w:rFonts w:ascii="Cambria" w:hAnsi="Cambria"/>
              </w:rPr>
              <w:t xml:space="preserve">A. </w:t>
            </w:r>
            <w:r w:rsidR="009821FA" w:rsidRPr="00DD4B32">
              <w:rPr>
                <w:rFonts w:ascii="Cambria" w:hAnsi="Cambria"/>
              </w:rPr>
              <w:t>Ways to enhance access to specialist expert</w:t>
            </w:r>
            <w:r w:rsidR="00DD4B32">
              <w:rPr>
                <w:rFonts w:ascii="Cambria" w:hAnsi="Cambria"/>
              </w:rPr>
              <w:t>ise in the prosecution of cases;</w:t>
            </w:r>
          </w:p>
          <w:p w:rsidR="0006191C" w:rsidRPr="00DD4B32" w:rsidRDefault="009821FA">
            <w:pPr>
              <w:pStyle w:val="SingleTxtG"/>
              <w:numPr>
                <w:ilvl w:val="0"/>
                <w:numId w:val="57"/>
              </w:numPr>
              <w:ind w:right="0"/>
              <w:rPr>
                <w:rFonts w:ascii="Cambria" w:hAnsi="Cambria"/>
              </w:rPr>
            </w:pPr>
            <w:r w:rsidRPr="00DD4B32">
              <w:rPr>
                <w:rFonts w:ascii="Cambria" w:hAnsi="Cambria"/>
              </w:rPr>
              <w:t>establishment of specialist units within prosecution agencies;</w:t>
            </w:r>
          </w:p>
          <w:p w:rsidR="0006191C" w:rsidRPr="00DD4B32" w:rsidRDefault="009821FA">
            <w:pPr>
              <w:pStyle w:val="SingleTxtG"/>
              <w:numPr>
                <w:ilvl w:val="0"/>
                <w:numId w:val="57"/>
              </w:numPr>
              <w:ind w:right="0"/>
              <w:rPr>
                <w:rFonts w:ascii="Cambria" w:hAnsi="Cambria"/>
              </w:rPr>
            </w:pPr>
            <w:r w:rsidRPr="00DD4B32">
              <w:rPr>
                <w:rFonts w:ascii="Cambria" w:hAnsi="Cambria"/>
              </w:rPr>
              <w:lastRenderedPageBreak/>
              <w:t xml:space="preserve">appointment of </w:t>
            </w:r>
            <w:r w:rsidR="00E33EC5" w:rsidRPr="00DD4B32">
              <w:rPr>
                <w:rFonts w:ascii="Cambria" w:hAnsi="Cambria"/>
              </w:rPr>
              <w:t>dedic</w:t>
            </w:r>
            <w:r w:rsidRPr="00DD4B32">
              <w:rPr>
                <w:rFonts w:ascii="Cambria" w:hAnsi="Cambria"/>
              </w:rPr>
              <w:t>ated specialists to work with prosecution bodies;</w:t>
            </w:r>
          </w:p>
          <w:p w:rsidR="0006191C" w:rsidRPr="00DD4B32" w:rsidRDefault="009821FA">
            <w:pPr>
              <w:pStyle w:val="SingleTxtG"/>
              <w:numPr>
                <w:ilvl w:val="0"/>
                <w:numId w:val="57"/>
              </w:numPr>
              <w:ind w:right="0"/>
              <w:rPr>
                <w:rFonts w:ascii="Cambria" w:hAnsi="Cambria"/>
              </w:rPr>
            </w:pPr>
            <w:r w:rsidRPr="00DD4B32">
              <w:rPr>
                <w:rFonts w:ascii="Cambria" w:hAnsi="Cambria"/>
              </w:rPr>
              <w:t>giving  regulators the authority to prosecute regulatory offences in specialised courts (which may offer advantages over judicial mechanisms in terms of speed and efficiency)</w:t>
            </w:r>
            <w:r w:rsidR="00DD4B32">
              <w:rPr>
                <w:rFonts w:ascii="Cambria" w:hAnsi="Cambria"/>
              </w:rPr>
              <w:t>;</w:t>
            </w:r>
          </w:p>
          <w:p w:rsidR="00EF5D9A" w:rsidRDefault="009821FA" w:rsidP="00DD4B32">
            <w:pPr>
              <w:pStyle w:val="SingleTxtG"/>
              <w:numPr>
                <w:ilvl w:val="0"/>
                <w:numId w:val="57"/>
              </w:numPr>
              <w:ind w:right="0"/>
              <w:rPr>
                <w:rFonts w:ascii="Cambria" w:hAnsi="Cambria"/>
                <w:b/>
                <w:sz w:val="22"/>
                <w:szCs w:val="22"/>
              </w:rPr>
            </w:pPr>
            <w:proofErr w:type="gramStart"/>
            <w:r w:rsidRPr="00DD4B32">
              <w:rPr>
                <w:rFonts w:ascii="Cambria" w:hAnsi="Cambria"/>
              </w:rPr>
              <w:t>providing</w:t>
            </w:r>
            <w:proofErr w:type="gramEnd"/>
            <w:r w:rsidRPr="00DD4B32">
              <w:rPr>
                <w:rFonts w:ascii="Cambria" w:hAnsi="Cambria"/>
              </w:rPr>
              <w:t xml:space="preserve"> opportunities for regulators to work closely with prosecutors in the prosecution of public law offences (e.g. in environmental offences) before regular courts, which may involve giving regulators formal status at judicial hearings, entailing the right to participate directly and present evidence</w:t>
            </w:r>
            <w:r>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6.3</w:t>
      </w:r>
      <w:r w:rsidRPr="008B11B2">
        <w:rPr>
          <w:rFonts w:ascii="Cambria" w:hAnsi="Cambria"/>
          <w:b/>
          <w:bCs/>
          <w:sz w:val="22"/>
          <w:szCs w:val="22"/>
        </w:rPr>
        <w:tab/>
      </w:r>
      <w:r w:rsidRPr="008B11B2">
        <w:rPr>
          <w:rFonts w:ascii="Cambria" w:hAnsi="Cambria"/>
          <w:b/>
          <w:sz w:val="22"/>
          <w:szCs w:val="22"/>
        </w:rPr>
        <w:t>The State ensures adequate training for enforcement agency employees in the legal and technical aspects of investigating allegations of severe business-related human rights abuses.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154788" w:rsidRDefault="00EF5D9A" w:rsidP="004F60D5">
            <w:pPr>
              <w:pStyle w:val="SingleTxtG"/>
              <w:ind w:left="0" w:right="0"/>
              <w:rPr>
                <w:rFonts w:ascii="Cambria" w:hAnsi="Cambria"/>
              </w:rPr>
            </w:pPr>
            <w:r>
              <w:rPr>
                <w:rFonts w:ascii="Cambria" w:hAnsi="Cambria"/>
                <w:b/>
                <w:sz w:val="22"/>
                <w:szCs w:val="22"/>
              </w:rPr>
              <w:t>Illustrative example: 6.3</w:t>
            </w:r>
          </w:p>
          <w:p w:rsidR="00EF5D9A" w:rsidRDefault="00154788" w:rsidP="00DD4B32">
            <w:pPr>
              <w:pStyle w:val="SingleTxtG"/>
              <w:ind w:left="0" w:right="0"/>
              <w:rPr>
                <w:rFonts w:ascii="Cambria" w:hAnsi="Cambria"/>
                <w:b/>
                <w:sz w:val="22"/>
                <w:szCs w:val="22"/>
              </w:rPr>
            </w:pPr>
            <w:r w:rsidRPr="00154788">
              <w:rPr>
                <w:rFonts w:ascii="Cambria" w:hAnsi="Cambria"/>
              </w:rPr>
              <w:t>See 6.1 above.</w:t>
            </w:r>
            <w:r>
              <w:rPr>
                <w:rFonts w:ascii="Cambria" w:hAnsi="Cambria"/>
              </w:rPr>
              <w:t xml:space="preserve">  </w:t>
            </w:r>
            <w:r w:rsidR="00DD7E43" w:rsidRPr="00DD7E43">
              <w:rPr>
                <w:rFonts w:ascii="Cambria" w:hAnsi="Cambria"/>
                <w:b/>
              </w:rPr>
              <w:t>Note:</w:t>
            </w:r>
            <w:r w:rsidR="007209F9">
              <w:rPr>
                <w:rFonts w:ascii="Cambria" w:hAnsi="Cambria"/>
              </w:rPr>
              <w:t xml:space="preserve"> </w:t>
            </w:r>
            <w:r w:rsidR="00DD4B32">
              <w:rPr>
                <w:rFonts w:ascii="Cambria" w:hAnsi="Cambria"/>
              </w:rPr>
              <w:t>On</w:t>
            </w:r>
            <w:r w:rsidR="007209F9">
              <w:rPr>
                <w:rFonts w:ascii="Cambria" w:hAnsi="Cambria"/>
              </w:rPr>
              <w:t xml:space="preserve"> </w:t>
            </w:r>
            <w:r>
              <w:rPr>
                <w:rFonts w:ascii="Cambria" w:hAnsi="Cambria"/>
              </w:rPr>
              <w:t>the management of cross-border cases, see also 9.4 below.</w:t>
            </w:r>
          </w:p>
        </w:tc>
      </w:tr>
    </w:tbl>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7: Enforcement agencies carry out their work in such a way as to ensure the safety of victims, other affected persons, human rights defenders, witnesses, whistle-blowers and their legal representatives (“relevant individuals and groups”) and is sensitive to the particular needs of individuals and groups at heightened risk of vulnerability or marginalization.</w:t>
            </w:r>
          </w:p>
        </w:tc>
      </w:tr>
    </w:tbl>
    <w:p w:rsidR="008B11B2" w:rsidRP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7.1</w:t>
      </w:r>
      <w:r w:rsidRPr="008B11B2">
        <w:rPr>
          <w:rFonts w:ascii="Cambria" w:hAnsi="Cambria"/>
          <w:b/>
          <w:bCs/>
          <w:sz w:val="22"/>
          <w:szCs w:val="22"/>
        </w:rPr>
        <w:tab/>
      </w:r>
      <w:r w:rsidRPr="008B11B2">
        <w:rPr>
          <w:rFonts w:ascii="Cambria" w:hAnsi="Cambria"/>
          <w:b/>
          <w:sz w:val="22"/>
          <w:szCs w:val="22"/>
        </w:rPr>
        <w:t>Systems are in place to ensure that enforcement agency employees take appropriate steps to ensure the protection of relevant individuals and groups from the risk of intimidation and reprisals, and compliance with those procedures is properly monitored and evaluated.</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06191C">
              <w:rPr>
                <w:rFonts w:ascii="Cambria" w:hAnsi="Cambria"/>
                <w:b/>
                <w:sz w:val="22"/>
                <w:szCs w:val="22"/>
              </w:rPr>
              <w:t>s</w:t>
            </w:r>
            <w:r>
              <w:rPr>
                <w:rFonts w:ascii="Cambria" w:hAnsi="Cambria"/>
                <w:b/>
                <w:sz w:val="22"/>
                <w:szCs w:val="22"/>
              </w:rPr>
              <w:t>: 7.1</w:t>
            </w:r>
          </w:p>
          <w:p w:rsidR="00683E36" w:rsidRPr="00683E36" w:rsidRDefault="00683E36" w:rsidP="004F60D5">
            <w:pPr>
              <w:pStyle w:val="SingleTxtG"/>
              <w:ind w:left="0" w:right="0"/>
              <w:rPr>
                <w:rFonts w:ascii="Cambria" w:hAnsi="Cambria"/>
              </w:rPr>
            </w:pPr>
            <w:r w:rsidRPr="00683E36">
              <w:rPr>
                <w:rFonts w:ascii="Cambria" w:hAnsi="Cambria"/>
              </w:rPr>
              <w:t>A. Additional resources</w:t>
            </w:r>
          </w:p>
          <w:p w:rsidR="0006191C" w:rsidRDefault="00E33EC5">
            <w:pPr>
              <w:pStyle w:val="SingleTxtG"/>
              <w:numPr>
                <w:ilvl w:val="0"/>
                <w:numId w:val="58"/>
              </w:numPr>
              <w:ind w:right="0"/>
              <w:rPr>
                <w:rFonts w:ascii="Cambria" w:hAnsi="Cambria"/>
              </w:rPr>
            </w:pPr>
            <w:r>
              <w:rPr>
                <w:rFonts w:ascii="Cambria" w:hAnsi="Cambria"/>
              </w:rPr>
              <w:t>s</w:t>
            </w:r>
            <w:r w:rsidR="00A10C8D">
              <w:rPr>
                <w:rFonts w:ascii="Cambria" w:hAnsi="Cambria"/>
              </w:rPr>
              <w:t xml:space="preserve">ee </w:t>
            </w:r>
            <w:hyperlink r:id="rId10" w:history="1">
              <w:r w:rsidR="00A10C8D" w:rsidRPr="00B52924">
                <w:rPr>
                  <w:rStyle w:val="Hyperlink"/>
                  <w:rFonts w:ascii="Cambria" w:hAnsi="Cambria"/>
                </w:rPr>
                <w:t>http://www.ohchr.org/Documents/Publications/training9Titleen.pdf</w:t>
              </w:r>
            </w:hyperlink>
            <w:r>
              <w:t>;</w:t>
            </w:r>
          </w:p>
          <w:p w:rsidR="0006191C" w:rsidRDefault="00E33EC5">
            <w:pPr>
              <w:pStyle w:val="SingleTxtG"/>
              <w:numPr>
                <w:ilvl w:val="0"/>
                <w:numId w:val="58"/>
              </w:numPr>
              <w:ind w:right="0"/>
              <w:rPr>
                <w:rFonts w:ascii="Cambria" w:hAnsi="Cambria"/>
              </w:rPr>
            </w:pPr>
            <w:r>
              <w:rPr>
                <w:rFonts w:ascii="Cambria" w:hAnsi="Cambria"/>
              </w:rPr>
              <w:t>s</w:t>
            </w:r>
            <w:r w:rsidR="00494240" w:rsidRPr="00E33EC5">
              <w:rPr>
                <w:rFonts w:ascii="Cambria" w:hAnsi="Cambria"/>
              </w:rPr>
              <w:t xml:space="preserve">ee </w:t>
            </w:r>
            <w:hyperlink r:id="rId11" w:history="1">
              <w:r w:rsidR="00494240" w:rsidRPr="00E33EC5">
                <w:rPr>
                  <w:rStyle w:val="Hyperlink"/>
                  <w:rFonts w:ascii="Cambria" w:hAnsi="Cambria"/>
                </w:rPr>
                <w:t>http://www.un.org/documents/ga/res/40/a40r034.htm</w:t>
              </w:r>
            </w:hyperlink>
          </w:p>
          <w:p w:rsidR="00E17694" w:rsidRDefault="00683E36" w:rsidP="004F60D5">
            <w:pPr>
              <w:pStyle w:val="SingleTxtG"/>
              <w:ind w:left="0" w:right="0"/>
              <w:rPr>
                <w:rFonts w:ascii="Cambria" w:hAnsi="Cambria"/>
              </w:rPr>
            </w:pPr>
            <w:r>
              <w:rPr>
                <w:rFonts w:ascii="Cambria" w:hAnsi="Cambria"/>
              </w:rPr>
              <w:t xml:space="preserve">B. </w:t>
            </w:r>
            <w:r w:rsidR="00E17694" w:rsidRPr="00E17694">
              <w:rPr>
                <w:rFonts w:ascii="Cambria" w:hAnsi="Cambria"/>
              </w:rPr>
              <w:t xml:space="preserve">Approaches developed </w:t>
            </w:r>
            <w:r w:rsidR="00DD4B32">
              <w:rPr>
                <w:rFonts w:ascii="Cambria" w:hAnsi="Cambria"/>
              </w:rPr>
              <w:t>by domestic judicial bodies</w:t>
            </w:r>
            <w:r w:rsidR="00E17694" w:rsidRPr="00E17694">
              <w:rPr>
                <w:rFonts w:ascii="Cambria" w:hAnsi="Cambria"/>
              </w:rPr>
              <w:t xml:space="preserve"> to protect vulnerable witnesses include</w:t>
            </w:r>
            <w:r w:rsidR="00DD4B32">
              <w:rPr>
                <w:rFonts w:ascii="Cambria" w:hAnsi="Cambria"/>
              </w:rPr>
              <w:t>;</w:t>
            </w:r>
          </w:p>
          <w:p w:rsidR="00E17694" w:rsidRDefault="00E17694" w:rsidP="00E623C2">
            <w:pPr>
              <w:pStyle w:val="SingleTxtG"/>
              <w:numPr>
                <w:ilvl w:val="0"/>
                <w:numId w:val="18"/>
              </w:numPr>
              <w:ind w:right="0"/>
              <w:rPr>
                <w:rFonts w:ascii="Cambria" w:hAnsi="Cambria"/>
              </w:rPr>
            </w:pPr>
            <w:r>
              <w:rPr>
                <w:rFonts w:ascii="Cambria" w:hAnsi="Cambria"/>
              </w:rPr>
              <w:t>the appointment and training of specialists to be responsible for the collection of evidence from children, including the carrying out of interviews to be used as court</w:t>
            </w:r>
            <w:r w:rsidR="00DD4B32">
              <w:rPr>
                <w:rFonts w:ascii="Cambria" w:hAnsi="Cambria"/>
              </w:rPr>
              <w:t xml:space="preserve"> evidence;</w:t>
            </w:r>
          </w:p>
          <w:p w:rsidR="00E17694" w:rsidRDefault="00E17694" w:rsidP="00E623C2">
            <w:pPr>
              <w:pStyle w:val="SingleTxtG"/>
              <w:numPr>
                <w:ilvl w:val="0"/>
                <w:numId w:val="18"/>
              </w:numPr>
              <w:ind w:right="0"/>
              <w:rPr>
                <w:rFonts w:ascii="Cambria" w:hAnsi="Cambria"/>
              </w:rPr>
            </w:pPr>
            <w:r>
              <w:rPr>
                <w:rFonts w:ascii="Cambria" w:hAnsi="Cambria"/>
              </w:rPr>
              <w:t>use of video-recorded or video-linked (rather than in person) testimony in court proceedings;</w:t>
            </w:r>
          </w:p>
          <w:p w:rsidR="00E17694" w:rsidRPr="00E17694" w:rsidRDefault="00E17694" w:rsidP="00E623C2">
            <w:pPr>
              <w:pStyle w:val="SingleTxtG"/>
              <w:numPr>
                <w:ilvl w:val="0"/>
                <w:numId w:val="18"/>
              </w:numPr>
              <w:ind w:right="0"/>
              <w:rPr>
                <w:rFonts w:ascii="Cambria" w:hAnsi="Cambria"/>
              </w:rPr>
            </w:pPr>
            <w:r>
              <w:rPr>
                <w:rFonts w:ascii="Cambria" w:hAnsi="Cambria"/>
              </w:rPr>
              <w:t xml:space="preserve">requirements that questions be put to certain witnesses by a judge, rather than by prosecution or </w:t>
            </w:r>
            <w:r w:rsidRPr="00E17694">
              <w:rPr>
                <w:rFonts w:ascii="Cambria" w:hAnsi="Cambria"/>
              </w:rPr>
              <w:t>defence lawyers;</w:t>
            </w:r>
          </w:p>
          <w:p w:rsidR="00E17694" w:rsidRDefault="00E17694" w:rsidP="00E623C2">
            <w:pPr>
              <w:pStyle w:val="SingleTxtG"/>
              <w:numPr>
                <w:ilvl w:val="0"/>
                <w:numId w:val="18"/>
              </w:numPr>
              <w:ind w:right="0"/>
              <w:rPr>
                <w:rFonts w:ascii="Cambria" w:hAnsi="Cambria"/>
              </w:rPr>
            </w:pPr>
            <w:r w:rsidRPr="00E17694">
              <w:rPr>
                <w:rFonts w:ascii="Cambria" w:hAnsi="Cambria"/>
              </w:rPr>
              <w:t>Where possible, prefer</w:t>
            </w:r>
            <w:r w:rsidR="00216BF4">
              <w:rPr>
                <w:rFonts w:ascii="Cambria" w:hAnsi="Cambria"/>
              </w:rPr>
              <w:t>ring</w:t>
            </w:r>
            <w:r w:rsidRPr="00E17694">
              <w:rPr>
                <w:rFonts w:ascii="Cambria" w:hAnsi="Cambria"/>
              </w:rPr>
              <w:t xml:space="preserve"> </w:t>
            </w:r>
            <w:r>
              <w:rPr>
                <w:rFonts w:ascii="Cambria" w:hAnsi="Cambria"/>
              </w:rPr>
              <w:t>forensic evidence</w:t>
            </w:r>
            <w:r w:rsidRPr="00E17694">
              <w:rPr>
                <w:rFonts w:ascii="Cambria" w:hAnsi="Cambria"/>
              </w:rPr>
              <w:t xml:space="preserve"> and surveillance </w:t>
            </w:r>
            <w:r>
              <w:rPr>
                <w:rFonts w:ascii="Cambria" w:hAnsi="Cambria"/>
              </w:rPr>
              <w:t xml:space="preserve">as sources of evidence </w:t>
            </w:r>
            <w:r w:rsidRPr="00E17694">
              <w:rPr>
                <w:rFonts w:ascii="Cambria" w:hAnsi="Cambria"/>
              </w:rPr>
              <w:t xml:space="preserve">rather than </w:t>
            </w:r>
            <w:r>
              <w:rPr>
                <w:rFonts w:ascii="Cambria" w:hAnsi="Cambria"/>
              </w:rPr>
              <w:t>relying on direct testimony</w:t>
            </w:r>
            <w:r w:rsidR="00DD4B32">
              <w:rPr>
                <w:rFonts w:ascii="Cambria" w:hAnsi="Cambria"/>
              </w:rPr>
              <w:t>;</w:t>
            </w:r>
          </w:p>
          <w:p w:rsidR="00EF5D9A" w:rsidRPr="00B06243" w:rsidRDefault="00E17694" w:rsidP="00AB0829">
            <w:pPr>
              <w:pStyle w:val="SingleTxtG"/>
              <w:numPr>
                <w:ilvl w:val="0"/>
                <w:numId w:val="18"/>
              </w:numPr>
              <w:ind w:right="0"/>
              <w:rPr>
                <w:rFonts w:ascii="Cambria" w:hAnsi="Cambria"/>
              </w:rPr>
            </w:pPr>
            <w:proofErr w:type="gramStart"/>
            <w:r>
              <w:rPr>
                <w:rFonts w:ascii="Cambria" w:hAnsi="Cambria"/>
              </w:rPr>
              <w:t>relocation</w:t>
            </w:r>
            <w:proofErr w:type="gramEnd"/>
            <w:r>
              <w:rPr>
                <w:rFonts w:ascii="Cambria" w:hAnsi="Cambria"/>
              </w:rPr>
              <w:t xml:space="preserve"> of</w:t>
            </w:r>
            <w:r w:rsidRPr="00E17694">
              <w:rPr>
                <w:rFonts w:ascii="Cambria" w:hAnsi="Cambria"/>
              </w:rPr>
              <w:t xml:space="preserve"> cases to more central areas</w:t>
            </w:r>
            <w:r>
              <w:rPr>
                <w:rFonts w:ascii="Cambria" w:hAnsi="Cambria"/>
              </w:rPr>
              <w:t>, or places where witnesses are less at risk of intimidation</w:t>
            </w:r>
            <w:r w:rsidR="00DD4B32">
              <w:rPr>
                <w:rFonts w:ascii="Cambria" w:hAnsi="Cambria"/>
              </w:rPr>
              <w:t>.</w:t>
            </w:r>
          </w:p>
        </w:tc>
      </w:tr>
    </w:tbl>
    <w:p w:rsidR="00494240" w:rsidRDefault="00494240" w:rsidP="008B11B2">
      <w:pPr>
        <w:pStyle w:val="SingleTxtG"/>
        <w:ind w:left="0" w:right="0"/>
        <w:rPr>
          <w:rFonts w:ascii="Cambria" w:hAnsi="Cambria"/>
          <w:b/>
          <w:bCs/>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7.2</w:t>
      </w:r>
      <w:r w:rsidRPr="008B11B2">
        <w:rPr>
          <w:rFonts w:ascii="Cambria" w:hAnsi="Cambria"/>
          <w:b/>
          <w:bCs/>
          <w:sz w:val="22"/>
          <w:szCs w:val="22"/>
        </w:rPr>
        <w:tab/>
      </w:r>
      <w:r w:rsidRPr="008B11B2">
        <w:rPr>
          <w:rFonts w:ascii="Cambria" w:hAnsi="Cambria"/>
          <w:b/>
          <w:sz w:val="22"/>
          <w:szCs w:val="22"/>
        </w:rPr>
        <w:t>Systems are in place to ensure that enforcement agency employees are aware of and take proper account of issues relating to gender, vulnerability and/or marginalization in their dealings with relevant individuals and groups.</w:t>
      </w:r>
    </w:p>
    <w:p w:rsidR="00243EE3" w:rsidRPr="008B11B2" w:rsidRDefault="00243EE3"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620715" w:rsidRDefault="00EF5D9A" w:rsidP="004F60D5">
            <w:pPr>
              <w:pStyle w:val="SingleTxtG"/>
              <w:ind w:left="0" w:right="0"/>
              <w:rPr>
                <w:rFonts w:ascii="Cambria" w:hAnsi="Cambria"/>
              </w:rPr>
            </w:pPr>
            <w:r>
              <w:rPr>
                <w:rFonts w:ascii="Cambria" w:hAnsi="Cambria"/>
                <w:b/>
                <w:sz w:val="22"/>
                <w:szCs w:val="22"/>
              </w:rPr>
              <w:lastRenderedPageBreak/>
              <w:t>Illustrative example: 7.2</w:t>
            </w:r>
          </w:p>
          <w:p w:rsidR="00216BF4" w:rsidRDefault="00683E36" w:rsidP="00A10C8D">
            <w:pPr>
              <w:pStyle w:val="SingleTxtG"/>
              <w:ind w:left="0" w:right="0"/>
              <w:rPr>
                <w:rFonts w:ascii="Cambria" w:hAnsi="Cambria"/>
              </w:rPr>
            </w:pPr>
            <w:r>
              <w:rPr>
                <w:rFonts w:ascii="Cambria" w:hAnsi="Cambria"/>
              </w:rPr>
              <w:t>A. Additional resources</w:t>
            </w:r>
            <w:r w:rsidR="00216BF4">
              <w:rPr>
                <w:rFonts w:ascii="Cambria" w:hAnsi="Cambria"/>
              </w:rPr>
              <w:t>:</w:t>
            </w:r>
          </w:p>
          <w:p w:rsidR="0006191C" w:rsidRDefault="00CE09C2">
            <w:pPr>
              <w:pStyle w:val="SingleTxtG"/>
              <w:numPr>
                <w:ilvl w:val="0"/>
                <w:numId w:val="59"/>
              </w:numPr>
              <w:ind w:right="0"/>
              <w:rPr>
                <w:rFonts w:ascii="Cambria" w:hAnsi="Cambria"/>
              </w:rPr>
            </w:pPr>
            <w:r>
              <w:rPr>
                <w:rFonts w:ascii="Cambria" w:hAnsi="Cambria"/>
              </w:rPr>
              <w:t xml:space="preserve">See </w:t>
            </w:r>
            <w:hyperlink r:id="rId12" w:history="1">
              <w:r w:rsidRPr="00B52924">
                <w:rPr>
                  <w:rStyle w:val="Hyperlink"/>
                  <w:rFonts w:ascii="Cambria" w:hAnsi="Cambria"/>
                </w:rPr>
                <w:t>http://www.ohchr.org/Documents/Publications/training9Titleen.pdf</w:t>
              </w:r>
            </w:hyperlink>
            <w:r w:rsidR="00216BF4">
              <w:t>;</w:t>
            </w:r>
          </w:p>
          <w:p w:rsidR="0006191C" w:rsidRDefault="00494240">
            <w:pPr>
              <w:pStyle w:val="SingleTxtG"/>
              <w:numPr>
                <w:ilvl w:val="0"/>
                <w:numId w:val="59"/>
              </w:numPr>
              <w:ind w:right="0"/>
              <w:rPr>
                <w:rFonts w:ascii="Cambria" w:hAnsi="Cambria"/>
              </w:rPr>
            </w:pPr>
            <w:r w:rsidRPr="00216BF4">
              <w:rPr>
                <w:rFonts w:ascii="Cambria" w:hAnsi="Cambria"/>
              </w:rPr>
              <w:t xml:space="preserve">See </w:t>
            </w:r>
            <w:hyperlink r:id="rId13" w:history="1">
              <w:r w:rsidRPr="00216BF4">
                <w:rPr>
                  <w:rStyle w:val="Hyperlink"/>
                  <w:rFonts w:ascii="Cambria" w:hAnsi="Cambria"/>
                </w:rPr>
                <w:t>http://www.un.org/documents/ga/res/40/a40r034.htm</w:t>
              </w:r>
            </w:hyperlink>
          </w:p>
          <w:p w:rsidR="00EF5D9A" w:rsidRDefault="00683E36" w:rsidP="00A10C8D">
            <w:pPr>
              <w:pStyle w:val="SingleTxtG"/>
              <w:ind w:left="0" w:right="0"/>
              <w:rPr>
                <w:rFonts w:ascii="Cambria" w:hAnsi="Cambria"/>
              </w:rPr>
            </w:pPr>
            <w:r>
              <w:rPr>
                <w:rFonts w:ascii="Cambria" w:hAnsi="Cambria"/>
              </w:rPr>
              <w:t xml:space="preserve">B. </w:t>
            </w:r>
            <w:r w:rsidR="00CE09C2" w:rsidRPr="00645460">
              <w:rPr>
                <w:rFonts w:ascii="Cambria" w:hAnsi="Cambria"/>
              </w:rPr>
              <w:t xml:space="preserve">Opportunities for raising awareness </w:t>
            </w:r>
            <w:r w:rsidR="00645460" w:rsidRPr="00645460">
              <w:rPr>
                <w:rFonts w:ascii="Cambria" w:hAnsi="Cambria"/>
              </w:rPr>
              <w:t xml:space="preserve">about issues relating to gender, vulnerability and/or marginalization </w:t>
            </w:r>
            <w:r w:rsidR="00CE09C2" w:rsidRPr="00645460">
              <w:rPr>
                <w:rFonts w:ascii="Cambria" w:hAnsi="Cambria"/>
              </w:rPr>
              <w:t>may include</w:t>
            </w:r>
            <w:r w:rsidR="00243EE3">
              <w:rPr>
                <w:rFonts w:ascii="Cambria" w:hAnsi="Cambria"/>
              </w:rPr>
              <w:t>;</w:t>
            </w:r>
          </w:p>
          <w:p w:rsidR="0077583E" w:rsidRDefault="0077583E" w:rsidP="00E623C2">
            <w:pPr>
              <w:pStyle w:val="SingleTxtG"/>
              <w:numPr>
                <w:ilvl w:val="0"/>
                <w:numId w:val="19"/>
              </w:numPr>
              <w:ind w:right="0"/>
              <w:rPr>
                <w:rFonts w:ascii="Cambria" w:hAnsi="Cambria"/>
              </w:rPr>
            </w:pPr>
            <w:r>
              <w:rPr>
                <w:rFonts w:ascii="Cambria" w:hAnsi="Cambria"/>
              </w:rPr>
              <w:t>professional training</w:t>
            </w:r>
            <w:r w:rsidR="00CE09C2">
              <w:rPr>
                <w:rFonts w:ascii="Cambria" w:hAnsi="Cambria"/>
              </w:rPr>
              <w:t xml:space="preserve"> programmes</w:t>
            </w:r>
            <w:r>
              <w:rPr>
                <w:rFonts w:ascii="Cambria" w:hAnsi="Cambria"/>
              </w:rPr>
              <w:t>;</w:t>
            </w:r>
          </w:p>
          <w:p w:rsidR="0077583E" w:rsidRPr="00CE09C2" w:rsidRDefault="0077583E" w:rsidP="00E623C2">
            <w:pPr>
              <w:pStyle w:val="SingleTxtG"/>
              <w:numPr>
                <w:ilvl w:val="0"/>
                <w:numId w:val="19"/>
              </w:numPr>
              <w:ind w:right="0"/>
              <w:rPr>
                <w:rFonts w:ascii="Cambria" w:hAnsi="Cambria"/>
              </w:rPr>
            </w:pPr>
            <w:r w:rsidRPr="00CE09C2">
              <w:rPr>
                <w:rFonts w:ascii="Cambria" w:hAnsi="Cambria"/>
              </w:rPr>
              <w:t>mentoring</w:t>
            </w:r>
            <w:r w:rsidR="00CE09C2" w:rsidRPr="00CE09C2">
              <w:rPr>
                <w:rFonts w:ascii="Cambria" w:hAnsi="Cambria"/>
              </w:rPr>
              <w:t xml:space="preserve"> systems</w:t>
            </w:r>
            <w:r w:rsidRPr="00CE09C2">
              <w:rPr>
                <w:rFonts w:ascii="Cambria" w:hAnsi="Cambria"/>
              </w:rPr>
              <w:t>;</w:t>
            </w:r>
          </w:p>
          <w:p w:rsidR="0077583E" w:rsidRDefault="00CE09C2" w:rsidP="00E623C2">
            <w:pPr>
              <w:pStyle w:val="SingleTxtG"/>
              <w:numPr>
                <w:ilvl w:val="0"/>
                <w:numId w:val="19"/>
              </w:numPr>
              <w:ind w:right="0"/>
              <w:rPr>
                <w:rFonts w:ascii="Cambria" w:hAnsi="Cambria"/>
              </w:rPr>
            </w:pPr>
            <w:r w:rsidRPr="00CE09C2">
              <w:rPr>
                <w:rFonts w:ascii="Cambria" w:hAnsi="Cambria"/>
              </w:rPr>
              <w:t>networking</w:t>
            </w:r>
            <w:r w:rsidR="0077583E" w:rsidRPr="00CE09C2">
              <w:rPr>
                <w:rFonts w:ascii="Cambria" w:hAnsi="Cambria"/>
              </w:rPr>
              <w:t>;</w:t>
            </w:r>
            <w:r w:rsidRPr="00CE09C2">
              <w:rPr>
                <w:rFonts w:ascii="Cambria" w:hAnsi="Cambria"/>
              </w:rPr>
              <w:t xml:space="preserve"> interactions with international professional bodies and initiatives;</w:t>
            </w:r>
          </w:p>
          <w:p w:rsidR="00CE09C2" w:rsidRPr="00CE09C2" w:rsidRDefault="00CE09C2" w:rsidP="00E623C2">
            <w:pPr>
              <w:pStyle w:val="SingleTxtG"/>
              <w:numPr>
                <w:ilvl w:val="0"/>
                <w:numId w:val="19"/>
              </w:numPr>
              <w:ind w:right="0"/>
              <w:rPr>
                <w:rFonts w:ascii="Cambria" w:hAnsi="Cambria"/>
              </w:rPr>
            </w:pPr>
            <w:r w:rsidRPr="00CE09C2">
              <w:rPr>
                <w:rFonts w:ascii="Cambria" w:hAnsi="Cambria"/>
              </w:rPr>
              <w:t xml:space="preserve">interactions with other </w:t>
            </w:r>
            <w:r>
              <w:rPr>
                <w:rFonts w:ascii="Cambria" w:hAnsi="Cambria"/>
              </w:rPr>
              <w:t xml:space="preserve">domestic </w:t>
            </w:r>
            <w:r w:rsidR="00243EE3">
              <w:rPr>
                <w:rFonts w:ascii="Cambria" w:hAnsi="Cambria"/>
              </w:rPr>
              <w:t>regulators and State</w:t>
            </w:r>
            <w:r w:rsidRPr="00CE09C2">
              <w:rPr>
                <w:rFonts w:ascii="Cambria" w:hAnsi="Cambria"/>
              </w:rPr>
              <w:t xml:space="preserve"> agencies responsible for regulating business respect for human rights;</w:t>
            </w:r>
          </w:p>
          <w:p w:rsidR="0077583E" w:rsidRPr="00CE09C2" w:rsidRDefault="00CE09C2" w:rsidP="00E623C2">
            <w:pPr>
              <w:pStyle w:val="SingleTxtG"/>
              <w:numPr>
                <w:ilvl w:val="0"/>
                <w:numId w:val="19"/>
              </w:numPr>
              <w:ind w:right="0"/>
              <w:rPr>
                <w:rFonts w:ascii="Cambria" w:hAnsi="Cambria"/>
              </w:rPr>
            </w:pPr>
            <w:r w:rsidRPr="00CE09C2">
              <w:rPr>
                <w:rFonts w:ascii="Cambria" w:hAnsi="Cambria"/>
              </w:rPr>
              <w:t>annual performance reviews;</w:t>
            </w:r>
          </w:p>
          <w:p w:rsidR="00087C29" w:rsidRPr="00CE09C2" w:rsidRDefault="0077583E" w:rsidP="00E623C2">
            <w:pPr>
              <w:pStyle w:val="SingleTxtG"/>
              <w:numPr>
                <w:ilvl w:val="0"/>
                <w:numId w:val="19"/>
              </w:numPr>
              <w:ind w:right="0"/>
              <w:rPr>
                <w:rFonts w:ascii="Cambria" w:hAnsi="Cambria"/>
                <w:b/>
              </w:rPr>
            </w:pPr>
            <w:r w:rsidRPr="00CE09C2">
              <w:rPr>
                <w:rFonts w:ascii="Cambria" w:hAnsi="Cambria"/>
              </w:rPr>
              <w:t>case debrief</w:t>
            </w:r>
            <w:r w:rsidR="00CE09C2" w:rsidRPr="00CE09C2">
              <w:rPr>
                <w:rFonts w:ascii="Cambria" w:hAnsi="Cambria"/>
              </w:rPr>
              <w:t>s;</w:t>
            </w:r>
          </w:p>
          <w:p w:rsidR="00CE09C2" w:rsidRPr="00CE09C2" w:rsidRDefault="00CE09C2" w:rsidP="00E623C2">
            <w:pPr>
              <w:pStyle w:val="SingleTxtG"/>
              <w:numPr>
                <w:ilvl w:val="0"/>
                <w:numId w:val="19"/>
              </w:numPr>
              <w:ind w:right="0"/>
              <w:rPr>
                <w:rFonts w:ascii="Cambria" w:hAnsi="Cambria"/>
              </w:rPr>
            </w:pPr>
            <w:r w:rsidRPr="00CE09C2">
              <w:rPr>
                <w:rFonts w:ascii="Cambria" w:hAnsi="Cambria"/>
              </w:rPr>
              <w:t>legal updates;</w:t>
            </w:r>
          </w:p>
          <w:p w:rsidR="00CE09C2" w:rsidRPr="00CE09C2" w:rsidRDefault="00CE09C2" w:rsidP="00E623C2">
            <w:pPr>
              <w:pStyle w:val="SingleTxtG"/>
              <w:numPr>
                <w:ilvl w:val="0"/>
                <w:numId w:val="19"/>
              </w:numPr>
              <w:ind w:right="0"/>
              <w:rPr>
                <w:rFonts w:ascii="Cambria" w:hAnsi="Cambria"/>
              </w:rPr>
            </w:pPr>
            <w:r w:rsidRPr="00CE09C2">
              <w:rPr>
                <w:rFonts w:ascii="Cambria" w:hAnsi="Cambria"/>
              </w:rPr>
              <w:t>annotated desk book</w:t>
            </w:r>
            <w:r>
              <w:rPr>
                <w:rFonts w:ascii="Cambria" w:hAnsi="Cambria"/>
              </w:rPr>
              <w:t>s</w:t>
            </w:r>
            <w:r w:rsidRPr="00CE09C2">
              <w:rPr>
                <w:rFonts w:ascii="Cambria" w:hAnsi="Cambria"/>
              </w:rPr>
              <w:t xml:space="preserve"> and policy manuals;</w:t>
            </w:r>
          </w:p>
          <w:p w:rsidR="00CE09C2" w:rsidRDefault="00CE09C2" w:rsidP="00E623C2">
            <w:pPr>
              <w:pStyle w:val="SingleTxtG"/>
              <w:numPr>
                <w:ilvl w:val="0"/>
                <w:numId w:val="19"/>
              </w:numPr>
              <w:ind w:right="0"/>
              <w:rPr>
                <w:rFonts w:ascii="Cambria" w:hAnsi="Cambria"/>
                <w:b/>
                <w:sz w:val="22"/>
                <w:szCs w:val="22"/>
              </w:rPr>
            </w:pPr>
            <w:proofErr w:type="gramStart"/>
            <w:r w:rsidRPr="00CE09C2">
              <w:rPr>
                <w:rFonts w:ascii="Cambria" w:hAnsi="Cambria"/>
              </w:rPr>
              <w:t>internal</w:t>
            </w:r>
            <w:proofErr w:type="gramEnd"/>
            <w:r w:rsidRPr="00CE09C2">
              <w:rPr>
                <w:rFonts w:ascii="Cambria" w:hAnsi="Cambria"/>
              </w:rPr>
              <w:t xml:space="preserve"> know-how systems; templates; pre</w:t>
            </w:r>
            <w:r>
              <w:rPr>
                <w:rFonts w:ascii="Cambria" w:hAnsi="Cambria"/>
              </w:rPr>
              <w:t>c</w:t>
            </w:r>
            <w:r w:rsidRPr="00CE09C2">
              <w:rPr>
                <w:rFonts w:ascii="Cambria" w:hAnsi="Cambria"/>
              </w:rPr>
              <w:t xml:space="preserve">edents; </w:t>
            </w:r>
            <w:r>
              <w:rPr>
                <w:rFonts w:ascii="Cambria" w:hAnsi="Cambria"/>
              </w:rPr>
              <w:t xml:space="preserve">past </w:t>
            </w:r>
            <w:r w:rsidRPr="00CE09C2">
              <w:rPr>
                <w:rFonts w:ascii="Cambria" w:hAnsi="Cambria"/>
              </w:rPr>
              <w:t>pleadings.</w:t>
            </w:r>
          </w:p>
        </w:tc>
      </w:tr>
    </w:tbl>
    <w:p w:rsidR="00EF5D9A" w:rsidRDefault="00EF5D9A"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rPr>
          <w:trHeight w:val="359"/>
        </w:trPr>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8: Enforcement agencies are able to take decisions independently in accordance with publicly available policies, without the risk of political interference in their operations, and to high ethical standards.</w:t>
            </w:r>
          </w:p>
        </w:tc>
      </w:tr>
    </w:tbl>
    <w:p w:rsidR="008B11B2" w:rsidRDefault="008B11B2"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bCs/>
          <w:sz w:val="22"/>
          <w:szCs w:val="22"/>
        </w:rPr>
        <w:t>8.1</w:t>
      </w:r>
      <w:r w:rsidRPr="008B11B2">
        <w:rPr>
          <w:rFonts w:ascii="Cambria" w:hAnsi="Cambria"/>
          <w:b/>
          <w:bCs/>
          <w:sz w:val="22"/>
          <w:szCs w:val="22"/>
        </w:rPr>
        <w:tab/>
      </w:r>
      <w:r w:rsidRPr="008B11B2">
        <w:rPr>
          <w:rFonts w:ascii="Cambria" w:hAnsi="Cambria"/>
          <w:b/>
          <w:sz w:val="22"/>
          <w:szCs w:val="22"/>
        </w:rPr>
        <w:t>Enforcement agencies have the ability and independence, in law and in practice, to commence an investigation into and take enforcement action with respect to allegations of business-related human rights abuses at their own initiative and without the need for a formal complaint by or on behalf of an affected person or group.</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494240" w:rsidRDefault="00EF5D9A" w:rsidP="004F60D5">
            <w:pPr>
              <w:pStyle w:val="SingleTxtG"/>
              <w:ind w:left="0" w:right="0"/>
              <w:rPr>
                <w:rFonts w:ascii="Cambria" w:hAnsi="Cambria"/>
              </w:rPr>
            </w:pPr>
            <w:r>
              <w:rPr>
                <w:rFonts w:ascii="Cambria" w:hAnsi="Cambria"/>
                <w:b/>
                <w:sz w:val="22"/>
                <w:szCs w:val="22"/>
              </w:rPr>
              <w:t>Illustrative example: 8.1</w:t>
            </w:r>
          </w:p>
          <w:p w:rsidR="00EF5D9A" w:rsidRDefault="00243EE3" w:rsidP="00494240">
            <w:pPr>
              <w:pStyle w:val="SingleTxtG"/>
              <w:ind w:left="0" w:right="0"/>
              <w:rPr>
                <w:rFonts w:ascii="Cambria" w:hAnsi="Cambria"/>
                <w:b/>
                <w:sz w:val="22"/>
                <w:szCs w:val="22"/>
              </w:rPr>
            </w:pPr>
            <w:r>
              <w:rPr>
                <w:rFonts w:ascii="Cambria" w:hAnsi="Cambria"/>
              </w:rPr>
              <w:t xml:space="preserve">A.   </w:t>
            </w:r>
            <w:r w:rsidR="00494240" w:rsidRPr="00494240">
              <w:rPr>
                <w:rFonts w:ascii="Cambria" w:hAnsi="Cambria"/>
              </w:rPr>
              <w:t xml:space="preserve">A number of </w:t>
            </w:r>
            <w:r w:rsidR="00494240">
              <w:rPr>
                <w:rFonts w:ascii="Cambria" w:hAnsi="Cambria"/>
              </w:rPr>
              <w:t xml:space="preserve">standards exist at domestic and international level relating to the role, rights and duties of prosecutors, including standards promulgated by national and international professional bodies.  See especially </w:t>
            </w:r>
            <w:hyperlink r:id="rId14" w:history="1">
              <w:r w:rsidR="00494240" w:rsidRPr="00B52924">
                <w:rPr>
                  <w:rStyle w:val="Hyperlink"/>
                  <w:rFonts w:ascii="Cambria" w:hAnsi="Cambria"/>
                </w:rPr>
                <w:t>http://www.ohchr.org/EN/ProfessionalInterest/Pages/RoleOfProsecutors.aspx</w:t>
              </w:r>
            </w:hyperlink>
            <w:r w:rsidR="00494240">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Pr="008B11B2" w:rsidRDefault="008B11B2" w:rsidP="008B11B2">
      <w:pPr>
        <w:pStyle w:val="SingleTxtG"/>
        <w:ind w:left="0" w:right="0"/>
        <w:rPr>
          <w:rFonts w:ascii="Cambria" w:hAnsi="Cambria"/>
          <w:b/>
          <w:sz w:val="22"/>
          <w:szCs w:val="22"/>
        </w:rPr>
      </w:pPr>
      <w:r w:rsidRPr="008B11B2">
        <w:rPr>
          <w:rFonts w:ascii="Cambria" w:hAnsi="Cambria"/>
          <w:b/>
          <w:bCs/>
          <w:sz w:val="22"/>
          <w:szCs w:val="22"/>
        </w:rPr>
        <w:t>8.2</w:t>
      </w:r>
      <w:r w:rsidRPr="008B11B2">
        <w:rPr>
          <w:rFonts w:ascii="Cambria" w:hAnsi="Cambria"/>
          <w:b/>
          <w:bCs/>
          <w:sz w:val="22"/>
          <w:szCs w:val="22"/>
        </w:rPr>
        <w:tab/>
        <w:t>Employees of enforcement agencies</w:t>
      </w:r>
      <w:r w:rsidRPr="008B11B2">
        <w:rPr>
          <w:rFonts w:ascii="Cambria" w:hAnsi="Cambria"/>
          <w:b/>
          <w:sz w:val="22"/>
          <w:szCs w:val="22"/>
        </w:rPr>
        <w:t xml:space="preserve"> are held to high standards of personal and professional conduct and laws, and standards relating to legal ethics, conflicts of interest, bribery and corruption are rigorously enforced.</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8.2</w:t>
            </w:r>
          </w:p>
          <w:p w:rsidR="00EF5D9A" w:rsidRPr="00243EE3" w:rsidRDefault="00494240" w:rsidP="00494240">
            <w:pPr>
              <w:pStyle w:val="SingleTxtG"/>
              <w:ind w:left="0" w:right="0"/>
              <w:rPr>
                <w:rFonts w:ascii="Cambria" w:hAnsi="Cambria"/>
                <w:b/>
                <w:sz w:val="22"/>
                <w:szCs w:val="22"/>
              </w:rPr>
            </w:pPr>
            <w:r w:rsidRPr="00243EE3">
              <w:rPr>
                <w:rFonts w:ascii="Cambria" w:hAnsi="Cambria"/>
                <w:sz w:val="22"/>
                <w:szCs w:val="22"/>
              </w:rPr>
              <w:t xml:space="preserve">See </w:t>
            </w:r>
            <w:hyperlink r:id="rId15" w:history="1">
              <w:r w:rsidRPr="00243EE3">
                <w:rPr>
                  <w:rStyle w:val="Hyperlink"/>
                  <w:rFonts w:ascii="Cambria" w:hAnsi="Cambria"/>
                  <w:sz w:val="22"/>
                  <w:szCs w:val="22"/>
                </w:rPr>
                <w:t>http://www.ohchr.org/EN/ProfessionalInterest/Pages/RoleOfProsecutors.aspx</w:t>
              </w:r>
            </w:hyperlink>
          </w:p>
        </w:tc>
      </w:tr>
    </w:tbl>
    <w:p w:rsidR="00EF5D9A" w:rsidRPr="00EF5D9A" w:rsidRDefault="00EF5D9A" w:rsidP="00EF5D9A"/>
    <w:p w:rsidR="008B11B2" w:rsidRPr="008B11B2" w:rsidRDefault="008B11B2" w:rsidP="008B11B2">
      <w:pPr>
        <w:pStyle w:val="Heading2"/>
      </w:pPr>
      <w:r w:rsidRPr="008B11B2">
        <w:t>Cooperation in cross-border cases</w:t>
      </w:r>
    </w:p>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9: Enforcement agencies and judicial bodies can readily and rapidly seek legal assistance and respond to requests from their counterparts in other States with respect to the detection, investigation, prosecution and enforcement of cross-border cases concerning business involvement in severe human rights abuses.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9.1</w:t>
      </w:r>
      <w:r w:rsidRPr="008B11B2">
        <w:rPr>
          <w:rFonts w:ascii="Cambria" w:hAnsi="Cambria"/>
          <w:b/>
          <w:sz w:val="22"/>
          <w:szCs w:val="22"/>
        </w:rPr>
        <w:tab/>
        <w:t>The State sets out a clear policy expectation that enforcement agencies and judicial bodies will be appropriately responsive to requests from the relevant agencies of other States in cross-border cases.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295FDD" w:rsidRDefault="00EF5D9A" w:rsidP="004F60D5">
            <w:pPr>
              <w:pStyle w:val="SingleTxtG"/>
              <w:ind w:left="0" w:right="0"/>
              <w:rPr>
                <w:rFonts w:ascii="Cambria" w:hAnsi="Cambria"/>
                <w:b/>
              </w:rPr>
            </w:pPr>
            <w:r>
              <w:rPr>
                <w:rFonts w:ascii="Cambria" w:hAnsi="Cambria"/>
                <w:b/>
                <w:sz w:val="22"/>
                <w:szCs w:val="22"/>
              </w:rPr>
              <w:t>Illustrative example: 9.1</w:t>
            </w:r>
          </w:p>
          <w:p w:rsidR="00302D30" w:rsidRPr="00295FDD" w:rsidRDefault="00A364A0" w:rsidP="004F60D5">
            <w:pPr>
              <w:pStyle w:val="SingleTxtG"/>
              <w:ind w:left="0" w:right="0"/>
              <w:rPr>
                <w:rFonts w:ascii="Cambria" w:hAnsi="Cambria"/>
              </w:rPr>
            </w:pPr>
            <w:r>
              <w:rPr>
                <w:rFonts w:ascii="Cambria" w:hAnsi="Cambria"/>
              </w:rPr>
              <w:t xml:space="preserve">A. </w:t>
            </w:r>
            <w:r w:rsidR="00295FDD" w:rsidRPr="00295FDD">
              <w:rPr>
                <w:rFonts w:ascii="Cambria" w:hAnsi="Cambria"/>
              </w:rPr>
              <w:t>Such a policy expectation can be communicated in v</w:t>
            </w:r>
            <w:r w:rsidR="00243EE3">
              <w:rPr>
                <w:rFonts w:ascii="Cambria" w:hAnsi="Cambria"/>
              </w:rPr>
              <w:t>arious different ways including;</w:t>
            </w:r>
          </w:p>
          <w:p w:rsidR="00295FDD" w:rsidRPr="00295FDD" w:rsidRDefault="00295FDD" w:rsidP="00E623C2">
            <w:pPr>
              <w:pStyle w:val="SingleTxtG"/>
              <w:numPr>
                <w:ilvl w:val="0"/>
                <w:numId w:val="20"/>
              </w:numPr>
              <w:ind w:right="0"/>
              <w:rPr>
                <w:rFonts w:ascii="Cambria" w:hAnsi="Cambria"/>
              </w:rPr>
            </w:pPr>
            <w:r w:rsidRPr="00295FDD">
              <w:rPr>
                <w:rFonts w:ascii="Cambria" w:hAnsi="Cambria"/>
              </w:rPr>
              <w:t>in policy manuals issued to enforcement agencies;</w:t>
            </w:r>
          </w:p>
          <w:p w:rsidR="00295FDD" w:rsidRPr="00295FDD" w:rsidRDefault="00295FDD" w:rsidP="00E623C2">
            <w:pPr>
              <w:pStyle w:val="SingleTxtG"/>
              <w:numPr>
                <w:ilvl w:val="0"/>
                <w:numId w:val="20"/>
              </w:numPr>
              <w:ind w:right="0"/>
              <w:rPr>
                <w:rFonts w:ascii="Cambria" w:hAnsi="Cambria"/>
              </w:rPr>
            </w:pPr>
            <w:r w:rsidRPr="00295FDD">
              <w:rPr>
                <w:rFonts w:ascii="Cambria" w:hAnsi="Cambria"/>
              </w:rPr>
              <w:t>through legal and procedural updates to enforcement agencies;</w:t>
            </w:r>
          </w:p>
          <w:p w:rsidR="00295FDD" w:rsidRDefault="00295FDD" w:rsidP="00E623C2">
            <w:pPr>
              <w:pStyle w:val="SingleTxtG"/>
              <w:numPr>
                <w:ilvl w:val="0"/>
                <w:numId w:val="20"/>
              </w:numPr>
              <w:ind w:right="0"/>
              <w:rPr>
                <w:rFonts w:ascii="Cambria" w:hAnsi="Cambria"/>
              </w:rPr>
            </w:pPr>
            <w:r>
              <w:rPr>
                <w:rFonts w:ascii="Cambria" w:hAnsi="Cambria"/>
              </w:rPr>
              <w:t>in national action plans developed for the purposes of implementation of treaty commitments relating to (a) international cooperation in relation to business-related human rights abuses or (b) the provision of mutual legal assistance generally;</w:t>
            </w:r>
          </w:p>
          <w:p w:rsidR="00EF5D9A" w:rsidRDefault="00295FDD" w:rsidP="00E623C2">
            <w:pPr>
              <w:pStyle w:val="SingleTxtG"/>
              <w:numPr>
                <w:ilvl w:val="0"/>
                <w:numId w:val="20"/>
              </w:numPr>
              <w:ind w:right="0"/>
              <w:rPr>
                <w:rFonts w:ascii="Cambria" w:hAnsi="Cambria"/>
                <w:b/>
                <w:sz w:val="22"/>
                <w:szCs w:val="22"/>
              </w:rPr>
            </w:pPr>
            <w:proofErr w:type="gramStart"/>
            <w:r>
              <w:rPr>
                <w:rFonts w:ascii="Cambria" w:hAnsi="Cambria"/>
              </w:rPr>
              <w:t>in</w:t>
            </w:r>
            <w:proofErr w:type="gramEnd"/>
            <w:r>
              <w:rPr>
                <w:rFonts w:ascii="Cambria" w:hAnsi="Cambria"/>
              </w:rPr>
              <w:t xml:space="preserve"> national action plans developed in relation to the implementation o</w:t>
            </w:r>
            <w:r w:rsidR="00243EE3">
              <w:rPr>
                <w:rFonts w:ascii="Cambria" w:hAnsi="Cambria"/>
              </w:rPr>
              <w:t>f the UN Guiding Principles on B</w:t>
            </w:r>
            <w:r>
              <w:rPr>
                <w:rFonts w:ascii="Cambria" w:hAnsi="Cambria"/>
              </w:rPr>
              <w:t>usiness a</w:t>
            </w:r>
            <w:r w:rsidR="00243EE3">
              <w:rPr>
                <w:rFonts w:ascii="Cambria" w:hAnsi="Cambria"/>
              </w:rPr>
              <w:t>nd Human R</w:t>
            </w:r>
            <w:r>
              <w:rPr>
                <w:rFonts w:ascii="Cambria" w:hAnsi="Cambria"/>
              </w:rPr>
              <w:t>ights.</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9.2</w:t>
      </w:r>
      <w:r w:rsidRPr="008B11B2">
        <w:rPr>
          <w:rFonts w:ascii="Cambria" w:hAnsi="Cambria"/>
          <w:b/>
          <w:sz w:val="22"/>
          <w:szCs w:val="22"/>
        </w:rPr>
        <w:tab/>
        <w:t>The State ensures that appropriate bilateral and multilateral arrangements are in place to enable enforcement agencies and judicial bodies to request mutual legal assistance from relevant counterparts in other States in cross-border cases.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A13FA6" w:rsidRDefault="00EF5D9A" w:rsidP="004F60D5">
            <w:pPr>
              <w:pStyle w:val="SingleTxtG"/>
              <w:ind w:left="0" w:right="0"/>
              <w:rPr>
                <w:rFonts w:ascii="Cambria" w:hAnsi="Cambria"/>
                <w:b/>
              </w:rPr>
            </w:pPr>
            <w:r>
              <w:rPr>
                <w:rFonts w:ascii="Cambria" w:hAnsi="Cambria"/>
                <w:b/>
                <w:sz w:val="22"/>
                <w:szCs w:val="22"/>
              </w:rPr>
              <w:t>Illustrative example</w:t>
            </w:r>
            <w:r w:rsidR="00A13FA6">
              <w:rPr>
                <w:rFonts w:ascii="Cambria" w:hAnsi="Cambria"/>
                <w:b/>
                <w:sz w:val="22"/>
                <w:szCs w:val="22"/>
              </w:rPr>
              <w:t>s</w:t>
            </w:r>
            <w:r>
              <w:rPr>
                <w:rFonts w:ascii="Cambria" w:hAnsi="Cambria"/>
                <w:b/>
                <w:sz w:val="22"/>
                <w:szCs w:val="22"/>
              </w:rPr>
              <w:t>: 9.2</w:t>
            </w:r>
          </w:p>
          <w:p w:rsidR="00A13FA6" w:rsidRPr="00A13FA6" w:rsidRDefault="00A13FA6" w:rsidP="00A13FA6">
            <w:pPr>
              <w:pStyle w:val="SingleTxtG"/>
              <w:ind w:left="0" w:right="0"/>
              <w:rPr>
                <w:rFonts w:ascii="Cambria" w:hAnsi="Cambria"/>
              </w:rPr>
            </w:pPr>
            <w:r>
              <w:rPr>
                <w:rFonts w:ascii="Cambria" w:hAnsi="Cambria"/>
              </w:rPr>
              <w:t xml:space="preserve">See A/HRC/32/19/Add.1, </w:t>
            </w:r>
            <w:proofErr w:type="spellStart"/>
            <w:r>
              <w:rPr>
                <w:rFonts w:ascii="Cambria" w:hAnsi="Cambria"/>
              </w:rPr>
              <w:t>para</w:t>
            </w:r>
            <w:proofErr w:type="spellEnd"/>
            <w:r>
              <w:rPr>
                <w:rFonts w:ascii="Cambria" w:hAnsi="Cambria"/>
              </w:rPr>
              <w:t>. 36.</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9.3</w:t>
      </w:r>
      <w:r w:rsidRPr="008B11B2">
        <w:rPr>
          <w:rFonts w:ascii="Cambria" w:hAnsi="Cambria"/>
          <w:b/>
          <w:sz w:val="22"/>
          <w:szCs w:val="22"/>
        </w:rPr>
        <w:tab/>
        <w:t>The State enables its enforcement agencies, where appropriate, to carry out cross-border investigations and prosecutions through joint investigation teams or other similar arrangements.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027D2A">
              <w:rPr>
                <w:rFonts w:ascii="Cambria" w:hAnsi="Cambria"/>
                <w:b/>
                <w:sz w:val="22"/>
                <w:szCs w:val="22"/>
              </w:rPr>
              <w:t>s</w:t>
            </w:r>
            <w:r>
              <w:rPr>
                <w:rFonts w:ascii="Cambria" w:hAnsi="Cambria"/>
                <w:b/>
                <w:sz w:val="22"/>
                <w:szCs w:val="22"/>
              </w:rPr>
              <w:t>: 9.3</w:t>
            </w:r>
          </w:p>
          <w:p w:rsidR="000D6A4B" w:rsidRDefault="00027D2A" w:rsidP="004F60D5">
            <w:pPr>
              <w:pStyle w:val="SingleTxtG"/>
              <w:ind w:left="0" w:right="0"/>
              <w:rPr>
                <w:rFonts w:ascii="Cambria" w:hAnsi="Cambria"/>
              </w:rPr>
            </w:pPr>
            <w:r w:rsidRPr="000D6A4B">
              <w:rPr>
                <w:rFonts w:ascii="Cambria" w:hAnsi="Cambria"/>
              </w:rPr>
              <w:t xml:space="preserve">A. </w:t>
            </w:r>
            <w:r w:rsidR="000D6A4B" w:rsidRPr="000D6A4B">
              <w:rPr>
                <w:rFonts w:ascii="Cambria" w:hAnsi="Cambria"/>
              </w:rPr>
              <w:t xml:space="preserve">States have developed several different frameworks to facilitate greater operational level cooperation between prosecutors and investigators of different jurisdictions in respect of the investigation and prosecution of </w:t>
            </w:r>
            <w:r w:rsidR="00A00713">
              <w:rPr>
                <w:rFonts w:ascii="Cambria" w:hAnsi="Cambria"/>
              </w:rPr>
              <w:t>cross-border cases including;</w:t>
            </w:r>
          </w:p>
          <w:p w:rsidR="000D6A4B" w:rsidRDefault="000D6A4B" w:rsidP="00E623C2">
            <w:pPr>
              <w:pStyle w:val="SingleTxtG"/>
              <w:numPr>
                <w:ilvl w:val="0"/>
                <w:numId w:val="21"/>
              </w:numPr>
              <w:ind w:right="0"/>
              <w:rPr>
                <w:rFonts w:ascii="Cambria" w:hAnsi="Cambria"/>
              </w:rPr>
            </w:pPr>
            <w:r>
              <w:rPr>
                <w:rFonts w:ascii="Cambria" w:hAnsi="Cambria"/>
              </w:rPr>
              <w:t>regional frameworks;</w:t>
            </w:r>
          </w:p>
          <w:p w:rsidR="000D6A4B" w:rsidRDefault="000D6A4B" w:rsidP="00E623C2">
            <w:pPr>
              <w:pStyle w:val="SingleTxtG"/>
              <w:numPr>
                <w:ilvl w:val="0"/>
                <w:numId w:val="21"/>
              </w:numPr>
              <w:ind w:right="0"/>
              <w:rPr>
                <w:rFonts w:ascii="Cambria" w:hAnsi="Cambria"/>
              </w:rPr>
            </w:pPr>
            <w:r>
              <w:rPr>
                <w:rFonts w:ascii="Cambria" w:hAnsi="Cambria"/>
              </w:rPr>
              <w:t>treaty-based frameworks;</w:t>
            </w:r>
          </w:p>
          <w:p w:rsidR="00EF5D9A" w:rsidRPr="00F87500" w:rsidRDefault="000D6A4B" w:rsidP="00E623C2">
            <w:pPr>
              <w:pStyle w:val="SingleTxtG"/>
              <w:numPr>
                <w:ilvl w:val="0"/>
                <w:numId w:val="21"/>
              </w:numPr>
              <w:ind w:right="0"/>
              <w:rPr>
                <w:rFonts w:ascii="Cambria" w:hAnsi="Cambria"/>
                <w:i/>
              </w:rPr>
            </w:pPr>
            <w:r>
              <w:rPr>
                <w:rFonts w:ascii="Cambria" w:hAnsi="Cambria"/>
              </w:rPr>
              <w:t>case-specific cooperation agreements</w:t>
            </w:r>
            <w:r w:rsidR="00F87500">
              <w:rPr>
                <w:rFonts w:ascii="Cambria" w:hAnsi="Cambria"/>
                <w:b/>
                <w:i/>
              </w:rPr>
              <w:t>;</w:t>
            </w:r>
          </w:p>
          <w:p w:rsidR="00F87500" w:rsidRPr="00F87500" w:rsidRDefault="00F87500" w:rsidP="00E623C2">
            <w:pPr>
              <w:pStyle w:val="SingleTxtG"/>
              <w:numPr>
                <w:ilvl w:val="0"/>
                <w:numId w:val="21"/>
              </w:numPr>
              <w:ind w:right="0"/>
              <w:rPr>
                <w:rFonts w:ascii="Cambria" w:hAnsi="Cambria"/>
              </w:rPr>
            </w:pPr>
            <w:proofErr w:type="gramStart"/>
            <w:r w:rsidRPr="00F87500">
              <w:rPr>
                <w:rFonts w:ascii="Cambria" w:hAnsi="Cambria"/>
              </w:rPr>
              <w:t>ad</w:t>
            </w:r>
            <w:proofErr w:type="gramEnd"/>
            <w:r w:rsidRPr="00F87500">
              <w:rPr>
                <w:rFonts w:ascii="Cambria" w:hAnsi="Cambria"/>
              </w:rPr>
              <w:t xml:space="preserve"> hoc </w:t>
            </w:r>
            <w:r w:rsidR="00A00713">
              <w:rPr>
                <w:rFonts w:ascii="Cambria" w:hAnsi="Cambria"/>
              </w:rPr>
              <w:t>arrangements.</w:t>
            </w:r>
          </w:p>
          <w:p w:rsidR="000D6A4B" w:rsidRDefault="000D6A4B" w:rsidP="000D6A4B">
            <w:pPr>
              <w:pStyle w:val="SingleTxtG"/>
              <w:ind w:left="0" w:right="0"/>
              <w:rPr>
                <w:rFonts w:ascii="Cambria" w:hAnsi="Cambria"/>
              </w:rPr>
            </w:pPr>
            <w:r>
              <w:rPr>
                <w:rFonts w:ascii="Cambria" w:hAnsi="Cambria"/>
              </w:rPr>
              <w:t>B. Matter</w:t>
            </w:r>
            <w:r w:rsidR="007E695C">
              <w:rPr>
                <w:rFonts w:ascii="Cambria" w:hAnsi="Cambria"/>
              </w:rPr>
              <w:t>s</w:t>
            </w:r>
            <w:r>
              <w:rPr>
                <w:rFonts w:ascii="Cambria" w:hAnsi="Cambria"/>
              </w:rPr>
              <w:t xml:space="preserve"> that may be covered by a</w:t>
            </w:r>
            <w:r w:rsidR="007E695C">
              <w:rPr>
                <w:rFonts w:ascii="Cambria" w:hAnsi="Cambria"/>
              </w:rPr>
              <w:t>n operational leve</w:t>
            </w:r>
            <w:r w:rsidR="00A00713">
              <w:rPr>
                <w:rFonts w:ascii="Cambria" w:hAnsi="Cambria"/>
              </w:rPr>
              <w:t>l cooperation agreement include;</w:t>
            </w:r>
          </w:p>
          <w:p w:rsidR="007E695C" w:rsidRDefault="007E695C" w:rsidP="00E623C2">
            <w:pPr>
              <w:pStyle w:val="SingleTxtG"/>
              <w:numPr>
                <w:ilvl w:val="0"/>
                <w:numId w:val="22"/>
              </w:numPr>
              <w:ind w:right="0"/>
              <w:rPr>
                <w:rFonts w:ascii="Cambria" w:hAnsi="Cambria"/>
              </w:rPr>
            </w:pPr>
            <w:r>
              <w:rPr>
                <w:rFonts w:ascii="Cambria" w:hAnsi="Cambria"/>
              </w:rPr>
              <w:t>scope of investigation;</w:t>
            </w:r>
          </w:p>
          <w:p w:rsidR="007E695C" w:rsidRDefault="007E695C" w:rsidP="00E623C2">
            <w:pPr>
              <w:pStyle w:val="SingleTxtG"/>
              <w:numPr>
                <w:ilvl w:val="0"/>
                <w:numId w:val="22"/>
              </w:numPr>
              <w:ind w:right="0"/>
              <w:rPr>
                <w:rFonts w:ascii="Cambria" w:hAnsi="Cambria"/>
              </w:rPr>
            </w:pPr>
            <w:r>
              <w:rPr>
                <w:rFonts w:ascii="Cambria" w:hAnsi="Cambria"/>
              </w:rPr>
              <w:t>staffing and resourcing</w:t>
            </w:r>
            <w:r w:rsidR="00F87500">
              <w:rPr>
                <w:rFonts w:ascii="Cambria" w:hAnsi="Cambria"/>
              </w:rPr>
              <w:t xml:space="preserve"> (e.g. communications equipment, surveillance equipment, translation)</w:t>
            </w:r>
            <w:r w:rsidR="00A00713">
              <w:rPr>
                <w:rFonts w:ascii="Cambria" w:hAnsi="Cambria"/>
              </w:rPr>
              <w:t>;</w:t>
            </w:r>
          </w:p>
          <w:p w:rsidR="007E695C" w:rsidRDefault="007E695C" w:rsidP="00E623C2">
            <w:pPr>
              <w:pStyle w:val="SingleTxtG"/>
              <w:numPr>
                <w:ilvl w:val="0"/>
                <w:numId w:val="22"/>
              </w:numPr>
              <w:ind w:right="0"/>
              <w:rPr>
                <w:rFonts w:ascii="Cambria" w:hAnsi="Cambria"/>
              </w:rPr>
            </w:pPr>
            <w:r>
              <w:rPr>
                <w:rFonts w:ascii="Cambria" w:hAnsi="Cambria"/>
              </w:rPr>
              <w:t>budget and allocation of costs;</w:t>
            </w:r>
          </w:p>
          <w:p w:rsidR="00F87500" w:rsidRDefault="00F87500" w:rsidP="00E623C2">
            <w:pPr>
              <w:pStyle w:val="SingleTxtG"/>
              <w:numPr>
                <w:ilvl w:val="0"/>
                <w:numId w:val="22"/>
              </w:numPr>
              <w:ind w:right="0"/>
              <w:rPr>
                <w:rFonts w:ascii="Cambria" w:hAnsi="Cambria"/>
              </w:rPr>
            </w:pPr>
            <w:r>
              <w:rPr>
                <w:rFonts w:ascii="Cambria" w:hAnsi="Cambria"/>
              </w:rPr>
              <w:t>allocation of leadership and investigative roles;</w:t>
            </w:r>
          </w:p>
          <w:p w:rsidR="007E695C" w:rsidRDefault="007E695C" w:rsidP="00E623C2">
            <w:pPr>
              <w:pStyle w:val="SingleTxtG"/>
              <w:numPr>
                <w:ilvl w:val="0"/>
                <w:numId w:val="22"/>
              </w:numPr>
              <w:ind w:right="0"/>
              <w:rPr>
                <w:rFonts w:ascii="Cambria" w:hAnsi="Cambria"/>
              </w:rPr>
            </w:pPr>
            <w:r>
              <w:rPr>
                <w:rFonts w:ascii="Cambria" w:hAnsi="Cambria"/>
              </w:rPr>
              <w:t>operational and decision-making procedures;</w:t>
            </w:r>
          </w:p>
          <w:p w:rsidR="007E695C" w:rsidRDefault="007E695C" w:rsidP="00E623C2">
            <w:pPr>
              <w:pStyle w:val="SingleTxtG"/>
              <w:numPr>
                <w:ilvl w:val="0"/>
                <w:numId w:val="22"/>
              </w:numPr>
              <w:ind w:right="0"/>
              <w:rPr>
                <w:rFonts w:ascii="Cambria" w:hAnsi="Cambria"/>
              </w:rPr>
            </w:pPr>
            <w:r>
              <w:rPr>
                <w:rFonts w:ascii="Cambria" w:hAnsi="Cambria"/>
              </w:rPr>
              <w:t>information-sharing;</w:t>
            </w:r>
          </w:p>
          <w:p w:rsidR="007E695C" w:rsidRDefault="007E695C" w:rsidP="00E623C2">
            <w:pPr>
              <w:pStyle w:val="SingleTxtG"/>
              <w:numPr>
                <w:ilvl w:val="0"/>
                <w:numId w:val="22"/>
              </w:numPr>
              <w:ind w:right="0"/>
              <w:rPr>
                <w:rFonts w:ascii="Cambria" w:hAnsi="Cambria"/>
              </w:rPr>
            </w:pPr>
            <w:r>
              <w:rPr>
                <w:rFonts w:ascii="Cambria" w:hAnsi="Cambria"/>
              </w:rPr>
              <w:t>investigative standards;</w:t>
            </w:r>
          </w:p>
          <w:p w:rsidR="007E695C" w:rsidRPr="000D6A4B" w:rsidRDefault="00F87500" w:rsidP="00E623C2">
            <w:pPr>
              <w:pStyle w:val="SingleTxtG"/>
              <w:numPr>
                <w:ilvl w:val="0"/>
                <w:numId w:val="22"/>
              </w:numPr>
              <w:ind w:right="0"/>
              <w:rPr>
                <w:rFonts w:ascii="Cambria" w:hAnsi="Cambria"/>
              </w:rPr>
            </w:pPr>
            <w:proofErr w:type="gramStart"/>
            <w:r>
              <w:rPr>
                <w:rFonts w:ascii="Cambria" w:hAnsi="Cambria"/>
              </w:rPr>
              <w:t>other</w:t>
            </w:r>
            <w:proofErr w:type="gramEnd"/>
            <w:r>
              <w:rPr>
                <w:rFonts w:ascii="Cambria" w:hAnsi="Cambria"/>
              </w:rPr>
              <w:t xml:space="preserve"> </w:t>
            </w:r>
            <w:r w:rsidR="00907965">
              <w:rPr>
                <w:rFonts w:ascii="Cambria" w:hAnsi="Cambria"/>
              </w:rPr>
              <w:t xml:space="preserve">terms and </w:t>
            </w:r>
            <w:r>
              <w:rPr>
                <w:rFonts w:ascii="Cambria" w:hAnsi="Cambria"/>
              </w:rPr>
              <w:t>undertakings (e.g. relating to sanctions).</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lastRenderedPageBreak/>
        <w:t>9.4</w:t>
      </w:r>
      <w:r w:rsidRPr="008B11B2">
        <w:rPr>
          <w:rFonts w:ascii="Cambria" w:hAnsi="Cambria"/>
          <w:b/>
          <w:sz w:val="22"/>
          <w:szCs w:val="22"/>
        </w:rPr>
        <w:tab/>
        <w:t>The State ensures that its enforcement agencies and judicial bodies have access to the necessary information, support, training and resources to enable personnel to make the best use of arrangements with other States for cooperation in cross-border cases.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4405D4">
              <w:rPr>
                <w:rFonts w:ascii="Cambria" w:hAnsi="Cambria"/>
                <w:b/>
                <w:sz w:val="22"/>
                <w:szCs w:val="22"/>
              </w:rPr>
              <w:t>s</w:t>
            </w:r>
            <w:r>
              <w:rPr>
                <w:rFonts w:ascii="Cambria" w:hAnsi="Cambria"/>
                <w:b/>
                <w:sz w:val="22"/>
                <w:szCs w:val="22"/>
              </w:rPr>
              <w:t>: 9.4</w:t>
            </w:r>
          </w:p>
          <w:p w:rsidR="00A97FCB" w:rsidRDefault="00A364A0" w:rsidP="002564A1">
            <w:pPr>
              <w:pStyle w:val="SingleTxtG"/>
              <w:ind w:left="0" w:right="0"/>
              <w:rPr>
                <w:rFonts w:ascii="Cambria" w:hAnsi="Cambria"/>
              </w:rPr>
            </w:pPr>
            <w:r>
              <w:rPr>
                <w:rFonts w:ascii="Cambria" w:hAnsi="Cambria"/>
              </w:rPr>
              <w:t xml:space="preserve">A. </w:t>
            </w:r>
            <w:r w:rsidR="004405D4" w:rsidRPr="004405D4">
              <w:rPr>
                <w:rFonts w:ascii="Cambria" w:hAnsi="Cambria"/>
              </w:rPr>
              <w:t>Examples of initiatives taken to assist enforcement agencies in making good use of arrangements with other States for cooperation in cross-border cases</w:t>
            </w:r>
            <w:r w:rsidR="00A00713">
              <w:rPr>
                <w:rFonts w:ascii="Cambria" w:hAnsi="Cambria"/>
              </w:rPr>
              <w:t xml:space="preserve"> include;</w:t>
            </w:r>
          </w:p>
          <w:p w:rsidR="004405D4" w:rsidRDefault="004405D4" w:rsidP="00E623C2">
            <w:pPr>
              <w:pStyle w:val="SingleTxtG"/>
              <w:numPr>
                <w:ilvl w:val="0"/>
                <w:numId w:val="23"/>
              </w:numPr>
              <w:ind w:right="0"/>
              <w:rPr>
                <w:rFonts w:ascii="Cambria" w:hAnsi="Cambria"/>
              </w:rPr>
            </w:pPr>
            <w:r>
              <w:rPr>
                <w:rFonts w:ascii="Cambria" w:hAnsi="Cambria"/>
              </w:rPr>
              <w:t>providing guidance for prosecutors and investigators on procedures for initiating requests for, and responding to requests for, mutual legal assistance;</w:t>
            </w:r>
          </w:p>
          <w:p w:rsidR="004405D4" w:rsidRDefault="004405D4" w:rsidP="00E623C2">
            <w:pPr>
              <w:pStyle w:val="SingleTxtG"/>
              <w:numPr>
                <w:ilvl w:val="0"/>
                <w:numId w:val="23"/>
              </w:numPr>
              <w:ind w:right="0"/>
              <w:rPr>
                <w:rFonts w:ascii="Cambria" w:hAnsi="Cambria"/>
              </w:rPr>
            </w:pPr>
            <w:r>
              <w:rPr>
                <w:rFonts w:ascii="Cambria" w:hAnsi="Cambria"/>
              </w:rPr>
              <w:t xml:space="preserve">providing on-line directories and links to </w:t>
            </w:r>
            <w:r w:rsidR="007E1542">
              <w:rPr>
                <w:rFonts w:ascii="Cambria" w:hAnsi="Cambria"/>
              </w:rPr>
              <w:t xml:space="preserve">internal and </w:t>
            </w:r>
            <w:r>
              <w:rPr>
                <w:rFonts w:ascii="Cambria" w:hAnsi="Cambria"/>
              </w:rPr>
              <w:t>sources of information;</w:t>
            </w:r>
          </w:p>
          <w:p w:rsidR="004405D4" w:rsidRDefault="007E1542" w:rsidP="00E623C2">
            <w:pPr>
              <w:pStyle w:val="SingleTxtG"/>
              <w:numPr>
                <w:ilvl w:val="0"/>
                <w:numId w:val="23"/>
              </w:numPr>
              <w:ind w:right="0"/>
              <w:rPr>
                <w:rFonts w:ascii="Cambria" w:hAnsi="Cambria"/>
              </w:rPr>
            </w:pPr>
            <w:r>
              <w:rPr>
                <w:rFonts w:ascii="Cambria" w:hAnsi="Cambria"/>
              </w:rPr>
              <w:t xml:space="preserve">collecting, </w:t>
            </w:r>
            <w:r w:rsidR="004405D4">
              <w:rPr>
                <w:rFonts w:ascii="Cambria" w:hAnsi="Cambria"/>
              </w:rPr>
              <w:t>collating and making available open access corporate information on public record that may be obtained without the need for mutual legal assistance requests;</w:t>
            </w:r>
          </w:p>
          <w:p w:rsidR="004405D4" w:rsidRDefault="004405D4" w:rsidP="00E623C2">
            <w:pPr>
              <w:pStyle w:val="SingleTxtG"/>
              <w:numPr>
                <w:ilvl w:val="0"/>
                <w:numId w:val="23"/>
              </w:numPr>
              <w:ind w:right="0"/>
              <w:rPr>
                <w:rFonts w:ascii="Cambria" w:hAnsi="Cambria"/>
              </w:rPr>
            </w:pPr>
            <w:r>
              <w:rPr>
                <w:rFonts w:ascii="Cambria" w:hAnsi="Cambria"/>
              </w:rPr>
              <w:t xml:space="preserve">developing a library of </w:t>
            </w:r>
            <w:r w:rsidRPr="004405D4">
              <w:rPr>
                <w:rFonts w:ascii="Cambria" w:hAnsi="Cambria"/>
              </w:rPr>
              <w:t>templates</w:t>
            </w:r>
            <w:r>
              <w:rPr>
                <w:rFonts w:ascii="Cambria" w:hAnsi="Cambria"/>
              </w:rPr>
              <w:t xml:space="preserve"> and checklists, accessible by prosecutors and investigators in other jurisdictions;</w:t>
            </w:r>
          </w:p>
          <w:p w:rsidR="004405D4" w:rsidRDefault="007E1542" w:rsidP="00E623C2">
            <w:pPr>
              <w:pStyle w:val="SingleTxtG"/>
              <w:numPr>
                <w:ilvl w:val="0"/>
                <w:numId w:val="23"/>
              </w:numPr>
              <w:ind w:right="0"/>
              <w:rPr>
                <w:rFonts w:ascii="Cambria" w:hAnsi="Cambria"/>
              </w:rPr>
            </w:pPr>
            <w:r>
              <w:rPr>
                <w:rFonts w:ascii="Cambria" w:hAnsi="Cambria"/>
              </w:rPr>
              <w:t>use of technologies to improve case management</w:t>
            </w:r>
            <w:r w:rsidR="004405D4">
              <w:rPr>
                <w:rFonts w:ascii="Cambria" w:hAnsi="Cambria"/>
              </w:rPr>
              <w:t xml:space="preserve">; including </w:t>
            </w:r>
            <w:r>
              <w:rPr>
                <w:rFonts w:ascii="Cambria" w:hAnsi="Cambria"/>
              </w:rPr>
              <w:t xml:space="preserve">case tracking systems, and automatic </w:t>
            </w:r>
            <w:r w:rsidR="00A00713">
              <w:rPr>
                <w:rFonts w:ascii="Cambria" w:hAnsi="Cambria"/>
              </w:rPr>
              <w:t>reminder systems;</w:t>
            </w:r>
          </w:p>
          <w:p w:rsidR="007140E4" w:rsidRDefault="007140E4" w:rsidP="00E623C2">
            <w:pPr>
              <w:pStyle w:val="SingleTxtG"/>
              <w:numPr>
                <w:ilvl w:val="0"/>
                <w:numId w:val="23"/>
              </w:numPr>
              <w:ind w:right="0"/>
              <w:rPr>
                <w:rFonts w:ascii="Cambria" w:hAnsi="Cambria"/>
              </w:rPr>
            </w:pPr>
            <w:r>
              <w:rPr>
                <w:rFonts w:ascii="Cambria" w:hAnsi="Cambria"/>
              </w:rPr>
              <w:t>investing in and making available on-line technologies to speed up and simplify the task of formulating mutual legal assistance requests (see fu</w:t>
            </w:r>
            <w:r w:rsidR="00A00713">
              <w:rPr>
                <w:rFonts w:ascii="Cambria" w:hAnsi="Cambria"/>
              </w:rPr>
              <w:t>rther 9.5 below);</w:t>
            </w:r>
          </w:p>
          <w:p w:rsidR="007E1542" w:rsidRPr="0064335D" w:rsidRDefault="004405D4" w:rsidP="00E623C2">
            <w:pPr>
              <w:pStyle w:val="SingleTxtG"/>
              <w:numPr>
                <w:ilvl w:val="0"/>
                <w:numId w:val="23"/>
              </w:numPr>
              <w:ind w:right="0"/>
              <w:rPr>
                <w:rFonts w:ascii="Cambria" w:hAnsi="Cambria"/>
                <w:i/>
                <w:sz w:val="22"/>
                <w:szCs w:val="22"/>
              </w:rPr>
            </w:pPr>
            <w:proofErr w:type="gramStart"/>
            <w:r>
              <w:rPr>
                <w:rFonts w:ascii="Cambria" w:hAnsi="Cambria"/>
              </w:rPr>
              <w:t>training</w:t>
            </w:r>
            <w:proofErr w:type="gramEnd"/>
            <w:r>
              <w:rPr>
                <w:rFonts w:ascii="Cambria" w:hAnsi="Cambria"/>
              </w:rPr>
              <w:t xml:space="preserve"> </w:t>
            </w:r>
            <w:r w:rsidR="007E1542">
              <w:rPr>
                <w:rFonts w:ascii="Cambria" w:hAnsi="Cambria"/>
              </w:rPr>
              <w:t xml:space="preserve">programmes </w:t>
            </w:r>
            <w:r>
              <w:rPr>
                <w:rFonts w:ascii="Cambria" w:hAnsi="Cambria"/>
              </w:rPr>
              <w:t>and networking opportunities.</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9.5</w:t>
      </w:r>
      <w:r w:rsidRPr="008B11B2">
        <w:rPr>
          <w:rFonts w:ascii="Cambria" w:hAnsi="Cambria"/>
          <w:b/>
          <w:sz w:val="22"/>
          <w:szCs w:val="22"/>
        </w:rPr>
        <w:tab/>
        <w:t>The State is actively involved with relevant bilateral and multilateral initiatives aimed at improving the ease and speed with which (a) requests for mutual legal assistance can be made and responded to; and (b) information can be exchanged between enforcement agencies and/or judicial bodies in cross-border cases, including through information repositories that provide clarity on points of contact, core process requirements and systems for updates on outstanding requests.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B8387C" w:rsidRDefault="00EF5D9A" w:rsidP="004F60D5">
            <w:pPr>
              <w:pStyle w:val="SingleTxtG"/>
              <w:ind w:left="0" w:right="0"/>
              <w:rPr>
                <w:rFonts w:ascii="Cambria" w:hAnsi="Cambria"/>
                <w:b/>
                <w:sz w:val="22"/>
                <w:szCs w:val="22"/>
              </w:rPr>
            </w:pPr>
            <w:r w:rsidRPr="00B8387C">
              <w:rPr>
                <w:rFonts w:ascii="Cambria" w:hAnsi="Cambria"/>
                <w:b/>
                <w:sz w:val="22"/>
                <w:szCs w:val="22"/>
              </w:rPr>
              <w:t>Illustrative example</w:t>
            </w:r>
            <w:r w:rsidR="000C317B" w:rsidRPr="00B8387C">
              <w:rPr>
                <w:rFonts w:ascii="Cambria" w:hAnsi="Cambria"/>
                <w:b/>
                <w:sz w:val="22"/>
                <w:szCs w:val="22"/>
              </w:rPr>
              <w:t>s</w:t>
            </w:r>
            <w:r w:rsidRPr="00B8387C">
              <w:rPr>
                <w:rFonts w:ascii="Cambria" w:hAnsi="Cambria"/>
                <w:b/>
                <w:sz w:val="22"/>
                <w:szCs w:val="22"/>
              </w:rPr>
              <w:t>: 9.5</w:t>
            </w:r>
          </w:p>
          <w:p w:rsidR="007140E4" w:rsidRPr="00B8387C" w:rsidRDefault="007E1542" w:rsidP="001902DB">
            <w:pPr>
              <w:pStyle w:val="SingleTxtG"/>
              <w:ind w:left="0" w:right="0"/>
              <w:rPr>
                <w:rFonts w:ascii="Cambria" w:hAnsi="Cambria"/>
              </w:rPr>
            </w:pPr>
            <w:r w:rsidRPr="00B8387C">
              <w:rPr>
                <w:rFonts w:ascii="Cambria" w:hAnsi="Cambria"/>
              </w:rPr>
              <w:t>A</w:t>
            </w:r>
            <w:r w:rsidR="000C317B" w:rsidRPr="00B8387C">
              <w:rPr>
                <w:rFonts w:ascii="Cambria" w:hAnsi="Cambria"/>
              </w:rPr>
              <w:t>. Advice for practitioners on overcoming challenges to international cooperation arising from differences in legal structures and standards between jurisdictions can be found in</w:t>
            </w:r>
            <w:r w:rsidR="007140E4" w:rsidRPr="00B8387C">
              <w:rPr>
                <w:rFonts w:ascii="Cambria" w:hAnsi="Cambria"/>
              </w:rPr>
              <w:t>;</w:t>
            </w:r>
          </w:p>
          <w:p w:rsidR="001902DB" w:rsidRPr="00B8387C" w:rsidRDefault="000C317B" w:rsidP="00E623C2">
            <w:pPr>
              <w:pStyle w:val="SingleTxtG"/>
              <w:numPr>
                <w:ilvl w:val="0"/>
                <w:numId w:val="25"/>
              </w:numPr>
              <w:ind w:right="0"/>
              <w:rPr>
                <w:rFonts w:ascii="Cambria" w:hAnsi="Cambria"/>
              </w:rPr>
            </w:pPr>
            <w:r w:rsidRPr="00B8387C">
              <w:rPr>
                <w:rFonts w:ascii="Cambria" w:hAnsi="Cambria"/>
              </w:rPr>
              <w:t xml:space="preserve"> </w:t>
            </w:r>
            <w:hyperlink r:id="rId16" w:history="1">
              <w:r w:rsidRPr="00B8387C">
                <w:rPr>
                  <w:rStyle w:val="Hyperlink"/>
                  <w:rFonts w:ascii="Cambria" w:hAnsi="Cambria"/>
                </w:rPr>
                <w:t>https://www.unodc.org/documents/organized-crime/Publications/Mutual_Legal_Assistance_Ebook_E.pdf</w:t>
              </w:r>
            </w:hyperlink>
          </w:p>
          <w:p w:rsidR="007140E4" w:rsidRPr="00B8387C" w:rsidRDefault="001902DB" w:rsidP="001902DB">
            <w:pPr>
              <w:pStyle w:val="SingleTxtG"/>
              <w:ind w:left="0" w:right="0"/>
              <w:rPr>
                <w:rFonts w:ascii="Cambria" w:hAnsi="Cambria"/>
              </w:rPr>
            </w:pPr>
            <w:r w:rsidRPr="00B8387C">
              <w:rPr>
                <w:rFonts w:ascii="Cambria" w:hAnsi="Cambria"/>
              </w:rPr>
              <w:t xml:space="preserve">B. On-line tools and technologies offer </w:t>
            </w:r>
            <w:r w:rsidR="007E147F" w:rsidRPr="00B8387C">
              <w:rPr>
                <w:rFonts w:ascii="Cambria" w:hAnsi="Cambria"/>
              </w:rPr>
              <w:t xml:space="preserve">the </w:t>
            </w:r>
            <w:r w:rsidRPr="00B8387C">
              <w:rPr>
                <w:rFonts w:ascii="Cambria" w:hAnsi="Cambria"/>
              </w:rPr>
              <w:t>potential to speed up and simplify the task of formulation of mutual legal assistance requests and responses</w:t>
            </w:r>
            <w:r w:rsidR="00A00713">
              <w:rPr>
                <w:rFonts w:ascii="Cambria" w:hAnsi="Cambria"/>
              </w:rPr>
              <w:t>.  See for example;</w:t>
            </w:r>
          </w:p>
          <w:p w:rsidR="00EF5D9A" w:rsidRPr="00B8387C" w:rsidRDefault="00C71D89" w:rsidP="00E623C2">
            <w:pPr>
              <w:pStyle w:val="SingleTxtG"/>
              <w:numPr>
                <w:ilvl w:val="0"/>
                <w:numId w:val="25"/>
              </w:numPr>
              <w:ind w:right="0"/>
              <w:rPr>
                <w:rFonts w:ascii="Cambria" w:hAnsi="Cambria"/>
              </w:rPr>
            </w:pPr>
            <w:hyperlink r:id="rId17" w:history="1">
              <w:r w:rsidR="007140E4" w:rsidRPr="00B8387C">
                <w:rPr>
                  <w:rStyle w:val="Hyperlink"/>
                  <w:rFonts w:ascii="Cambria" w:hAnsi="Cambria"/>
                </w:rPr>
                <w:t>http://www.unodc.org/mla/index.html</w:t>
              </w:r>
            </w:hyperlink>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9.6</w:t>
      </w:r>
      <w:r w:rsidRPr="008B11B2">
        <w:rPr>
          <w:rFonts w:ascii="Cambria" w:hAnsi="Cambria"/>
          <w:b/>
          <w:bCs/>
          <w:sz w:val="22"/>
          <w:szCs w:val="22"/>
        </w:rPr>
        <w:tab/>
      </w:r>
      <w:r w:rsidRPr="008B11B2">
        <w:rPr>
          <w:rFonts w:ascii="Cambria" w:hAnsi="Cambria"/>
          <w:b/>
          <w:sz w:val="22"/>
          <w:szCs w:val="22"/>
        </w:rPr>
        <w:t>Enforcement agencies and judicial bodies support and encourage the involvement of their personnel in relevant bilateral and multilateral initiatives and networks aimed at (a) facilitating contact and exchange of know-how between counterparts in other States; and (b) promoting awareness of different opportunities and options for international cooperation and the provision of legal assistance in cross-border cases.</w:t>
      </w:r>
    </w:p>
    <w:p w:rsidR="00EF5D9A" w:rsidRDefault="00EF5D9A" w:rsidP="00EF5D9A">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9.6</w:t>
            </w:r>
          </w:p>
          <w:p w:rsidR="00EF5D9A" w:rsidRPr="001902DB" w:rsidRDefault="00A364A0" w:rsidP="004F60D5">
            <w:pPr>
              <w:pStyle w:val="SingleTxtG"/>
              <w:ind w:left="0" w:right="0"/>
              <w:rPr>
                <w:rFonts w:ascii="Cambria" w:hAnsi="Cambria"/>
              </w:rPr>
            </w:pPr>
            <w:r>
              <w:rPr>
                <w:rFonts w:ascii="Cambria" w:hAnsi="Cambria"/>
              </w:rPr>
              <w:t xml:space="preserve">A. </w:t>
            </w:r>
            <w:r w:rsidR="001902DB" w:rsidRPr="001902DB">
              <w:rPr>
                <w:rFonts w:ascii="Cambria" w:hAnsi="Cambria"/>
              </w:rPr>
              <w:t>Examples of such initiatives and networks include;</w:t>
            </w:r>
          </w:p>
          <w:p w:rsidR="001902DB" w:rsidRPr="00AB0829" w:rsidRDefault="001902DB" w:rsidP="00E623C2">
            <w:pPr>
              <w:pStyle w:val="SingleTxtG"/>
              <w:numPr>
                <w:ilvl w:val="0"/>
                <w:numId w:val="24"/>
              </w:numPr>
              <w:ind w:right="0"/>
              <w:rPr>
                <w:rFonts w:ascii="Cambria" w:hAnsi="Cambria"/>
              </w:rPr>
            </w:pPr>
            <w:r w:rsidRPr="00AB0829">
              <w:rPr>
                <w:rFonts w:ascii="Cambria" w:hAnsi="Cambria"/>
              </w:rPr>
              <w:t>legal professional bodies and associations;</w:t>
            </w:r>
            <w:r w:rsidR="007140E4" w:rsidRPr="00AB0829">
              <w:rPr>
                <w:rFonts w:ascii="Cambria" w:hAnsi="Cambria"/>
              </w:rPr>
              <w:t xml:space="preserve"> </w:t>
            </w:r>
            <w:r w:rsidR="002C63B1" w:rsidRPr="00AB0829">
              <w:rPr>
                <w:rFonts w:ascii="Cambria" w:hAnsi="Cambria"/>
              </w:rPr>
              <w:t xml:space="preserve">international and </w:t>
            </w:r>
            <w:r w:rsidRPr="00AB0829">
              <w:rPr>
                <w:rFonts w:ascii="Cambria" w:hAnsi="Cambria"/>
              </w:rPr>
              <w:t>regional judicial networks;</w:t>
            </w:r>
            <w:r w:rsidR="007140E4" w:rsidRPr="00AB0829">
              <w:rPr>
                <w:rFonts w:ascii="Cambria" w:hAnsi="Cambria"/>
              </w:rPr>
              <w:t xml:space="preserve"> </w:t>
            </w:r>
          </w:p>
          <w:p w:rsidR="001902DB" w:rsidRDefault="001902DB" w:rsidP="00E623C2">
            <w:pPr>
              <w:pStyle w:val="SingleTxtG"/>
              <w:numPr>
                <w:ilvl w:val="0"/>
                <w:numId w:val="24"/>
              </w:numPr>
              <w:ind w:right="0"/>
              <w:rPr>
                <w:rFonts w:ascii="Cambria" w:hAnsi="Cambria"/>
              </w:rPr>
            </w:pPr>
            <w:r>
              <w:rPr>
                <w:rFonts w:ascii="Cambria" w:hAnsi="Cambria"/>
              </w:rPr>
              <w:t xml:space="preserve">networks of representatives of States agencies designated as “competent authorities” under </w:t>
            </w:r>
            <w:r>
              <w:rPr>
                <w:rFonts w:ascii="Cambria" w:hAnsi="Cambria"/>
              </w:rPr>
              <w:lastRenderedPageBreak/>
              <w:t>mutual legal assistance treaties</w:t>
            </w:r>
            <w:r w:rsidR="007140E4">
              <w:rPr>
                <w:rFonts w:ascii="Cambria" w:hAnsi="Cambria"/>
              </w:rPr>
              <w:t>;</w:t>
            </w:r>
            <w:r w:rsidR="002C63B1">
              <w:rPr>
                <w:rFonts w:ascii="Cambria" w:hAnsi="Cambria"/>
              </w:rPr>
              <w:t xml:space="preserve"> </w:t>
            </w:r>
          </w:p>
          <w:p w:rsidR="007140E4" w:rsidRDefault="007140E4" w:rsidP="00E623C2">
            <w:pPr>
              <w:pStyle w:val="SingleTxtG"/>
              <w:numPr>
                <w:ilvl w:val="0"/>
                <w:numId w:val="24"/>
              </w:numPr>
              <w:ind w:right="0"/>
              <w:rPr>
                <w:rFonts w:ascii="Cambria" w:hAnsi="Cambria"/>
              </w:rPr>
            </w:pPr>
            <w:r>
              <w:rPr>
                <w:rFonts w:ascii="Cambria" w:hAnsi="Cambria"/>
              </w:rPr>
              <w:t>international networks of regulators;</w:t>
            </w:r>
          </w:p>
          <w:p w:rsidR="00EF5D9A" w:rsidRDefault="007140E4" w:rsidP="00AB0829">
            <w:pPr>
              <w:pStyle w:val="SingleTxtG"/>
              <w:numPr>
                <w:ilvl w:val="0"/>
                <w:numId w:val="24"/>
              </w:numPr>
              <w:ind w:right="0"/>
              <w:rPr>
                <w:rFonts w:ascii="Cambria" w:hAnsi="Cambria"/>
                <w:b/>
                <w:sz w:val="22"/>
                <w:szCs w:val="22"/>
              </w:rPr>
            </w:pPr>
            <w:proofErr w:type="gramStart"/>
            <w:r>
              <w:rPr>
                <w:rFonts w:ascii="Cambria" w:hAnsi="Cambria"/>
              </w:rPr>
              <w:t>various</w:t>
            </w:r>
            <w:proofErr w:type="gramEnd"/>
            <w:r w:rsidR="001902DB">
              <w:rPr>
                <w:rFonts w:ascii="Cambria" w:hAnsi="Cambria"/>
              </w:rPr>
              <w:t xml:space="preserve"> initiatives to facilitate cross-border police </w:t>
            </w:r>
            <w:r>
              <w:rPr>
                <w:rFonts w:ascii="Cambria" w:hAnsi="Cambria"/>
              </w:rPr>
              <w:t xml:space="preserve">cooperation and </w:t>
            </w:r>
            <w:r w:rsidR="001902DB">
              <w:rPr>
                <w:rFonts w:ascii="Cambria" w:hAnsi="Cambria"/>
              </w:rPr>
              <w:t>liaison</w:t>
            </w:r>
            <w:r w:rsidR="00AB0829">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 xml:space="preserve">9.7 </w:t>
      </w:r>
      <w:r w:rsidRPr="008B11B2">
        <w:rPr>
          <w:rFonts w:ascii="Cambria" w:hAnsi="Cambria"/>
          <w:b/>
          <w:sz w:val="22"/>
          <w:szCs w:val="22"/>
        </w:rPr>
        <w:tab/>
        <w:t>The State keeps under review the scope, adequacy and appropriateness of its arrangements for mutual legal assistance with other States in the light of relevant factors, such as patterns of inward and outward foreign direct investment, and takes relevant steps to add to or improve such arrangements as necessary.</w:t>
      </w:r>
    </w:p>
    <w:p w:rsidR="000C317B" w:rsidRDefault="000C317B"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10: The State works through relevant bilateral and multilateral forums to strengthen methods, systems and legal regimes relevant to cross-border cases concerning business involvement in human rights abuses.</w:t>
            </w:r>
          </w:p>
        </w:tc>
      </w:tr>
    </w:tbl>
    <w:p w:rsidR="008B11B2" w:rsidRDefault="008B11B2" w:rsidP="008B11B2">
      <w:pPr>
        <w:pStyle w:val="SingleTxtG"/>
        <w:ind w:left="0" w:right="0"/>
        <w:rPr>
          <w:rFonts w:ascii="Cambria" w:hAnsi="Cambria"/>
          <w:b/>
          <w:bCs/>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10.1</w:t>
      </w:r>
      <w:r w:rsidRPr="008B11B2">
        <w:rPr>
          <w:rFonts w:ascii="Cambria" w:hAnsi="Cambria"/>
          <w:b/>
          <w:bCs/>
          <w:sz w:val="22"/>
          <w:szCs w:val="22"/>
        </w:rPr>
        <w:tab/>
      </w:r>
      <w:r w:rsidRPr="008B11B2">
        <w:rPr>
          <w:rFonts w:ascii="Cambria" w:hAnsi="Cambria"/>
          <w:b/>
          <w:sz w:val="22"/>
          <w:szCs w:val="22"/>
        </w:rPr>
        <w:t xml:space="preserve">The State actively participates in bilateral, regional and multilateral initiatives aimed at strengthening domestic legal responses to cross-border human rights challenges with a business connection. </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10.1</w:t>
            </w:r>
          </w:p>
          <w:p w:rsidR="00EF5D9A" w:rsidRDefault="00A364A0" w:rsidP="00B8387C">
            <w:pPr>
              <w:pStyle w:val="SingleTxtG"/>
              <w:ind w:left="0" w:right="0"/>
              <w:rPr>
                <w:rFonts w:ascii="Cambria" w:hAnsi="Cambria"/>
              </w:rPr>
            </w:pPr>
            <w:r>
              <w:rPr>
                <w:rFonts w:ascii="Cambria" w:hAnsi="Cambria"/>
              </w:rPr>
              <w:t xml:space="preserve">A. </w:t>
            </w:r>
            <w:r w:rsidR="00B8387C" w:rsidRPr="00B8387C">
              <w:rPr>
                <w:rFonts w:ascii="Cambria" w:hAnsi="Cambria"/>
              </w:rPr>
              <w:t xml:space="preserve">Steps taken by States pursuant to multilateral initiatives relevant to business respect for human rights (e.g. treaties relating to worst forms of child labour, forced labour, human trafficking) aimed at strengthening domestic legal responses </w:t>
            </w:r>
            <w:r w:rsidR="002C2BAD">
              <w:rPr>
                <w:rFonts w:ascii="Cambria" w:hAnsi="Cambria"/>
              </w:rPr>
              <w:t xml:space="preserve">in a cross-border context </w:t>
            </w:r>
            <w:r w:rsidR="00A00713">
              <w:rPr>
                <w:rFonts w:ascii="Cambria" w:hAnsi="Cambria"/>
              </w:rPr>
              <w:t>include;</w:t>
            </w:r>
          </w:p>
          <w:p w:rsidR="002C2BAD" w:rsidRDefault="00B8387C" w:rsidP="00E623C2">
            <w:pPr>
              <w:pStyle w:val="SingleTxtG"/>
              <w:numPr>
                <w:ilvl w:val="0"/>
                <w:numId w:val="26"/>
              </w:numPr>
              <w:ind w:right="0"/>
              <w:rPr>
                <w:rFonts w:ascii="Cambria" w:hAnsi="Cambria"/>
              </w:rPr>
            </w:pPr>
            <w:r w:rsidRPr="002C2BAD">
              <w:rPr>
                <w:rFonts w:ascii="Cambria" w:hAnsi="Cambria"/>
              </w:rPr>
              <w:t>information gathering and sharing to aid detection and investigation of crimes</w:t>
            </w:r>
            <w:r w:rsidR="002C2BAD">
              <w:rPr>
                <w:rFonts w:ascii="Cambria" w:hAnsi="Cambria"/>
              </w:rPr>
              <w:t>;</w:t>
            </w:r>
          </w:p>
          <w:p w:rsidR="002C2BAD" w:rsidRDefault="00B8387C" w:rsidP="00E623C2">
            <w:pPr>
              <w:pStyle w:val="SingleTxtG"/>
              <w:numPr>
                <w:ilvl w:val="0"/>
                <w:numId w:val="26"/>
              </w:numPr>
              <w:ind w:right="0"/>
              <w:rPr>
                <w:rFonts w:ascii="Cambria" w:hAnsi="Cambria"/>
              </w:rPr>
            </w:pPr>
            <w:r w:rsidRPr="002C2BAD">
              <w:rPr>
                <w:rFonts w:ascii="Cambria" w:hAnsi="Cambria"/>
              </w:rPr>
              <w:t>technical assistance, capacity building and awareness raising projects</w:t>
            </w:r>
            <w:r w:rsidR="002C2BAD">
              <w:rPr>
                <w:rFonts w:ascii="Cambria" w:hAnsi="Cambria"/>
              </w:rPr>
              <w:t>;</w:t>
            </w:r>
          </w:p>
          <w:p w:rsidR="002C2BAD" w:rsidRPr="002C2BAD" w:rsidRDefault="00B8387C" w:rsidP="00E623C2">
            <w:pPr>
              <w:pStyle w:val="SingleTxtG"/>
              <w:numPr>
                <w:ilvl w:val="0"/>
                <w:numId w:val="26"/>
              </w:numPr>
              <w:ind w:right="0"/>
              <w:rPr>
                <w:rFonts w:ascii="Cambria" w:hAnsi="Cambria"/>
              </w:rPr>
            </w:pPr>
            <w:r w:rsidRPr="002C2BAD">
              <w:rPr>
                <w:rFonts w:ascii="Cambria" w:hAnsi="Cambria"/>
              </w:rPr>
              <w:t>bilateral and regional agreements between source, transit and destination countries covering operational matters</w:t>
            </w:r>
            <w:r w:rsidR="002C2BAD">
              <w:rPr>
                <w:rFonts w:ascii="Cambria" w:hAnsi="Cambria"/>
              </w:rPr>
              <w:t xml:space="preserve"> relating to prevention of human trafficking an</w:t>
            </w:r>
            <w:r w:rsidR="00A00713">
              <w:rPr>
                <w:rFonts w:ascii="Cambria" w:hAnsi="Cambria"/>
              </w:rPr>
              <w:t>d protection of migrant workers;</w:t>
            </w:r>
          </w:p>
          <w:p w:rsidR="002C2BAD" w:rsidRDefault="00B8387C" w:rsidP="00E623C2">
            <w:pPr>
              <w:pStyle w:val="SingleTxtG"/>
              <w:numPr>
                <w:ilvl w:val="0"/>
                <w:numId w:val="26"/>
              </w:numPr>
              <w:ind w:right="0"/>
              <w:rPr>
                <w:rFonts w:ascii="Cambria" w:hAnsi="Cambria"/>
              </w:rPr>
            </w:pPr>
            <w:r w:rsidRPr="002C2BAD">
              <w:rPr>
                <w:rFonts w:ascii="Cambria" w:hAnsi="Cambria"/>
              </w:rPr>
              <w:t xml:space="preserve">initiatives to </w:t>
            </w:r>
            <w:r w:rsidR="00224DE3">
              <w:rPr>
                <w:rFonts w:ascii="Cambria" w:hAnsi="Cambria"/>
              </w:rPr>
              <w:t>help build awareness among affected persons</w:t>
            </w:r>
            <w:r w:rsidRPr="002C2BAD">
              <w:rPr>
                <w:rFonts w:ascii="Cambria" w:hAnsi="Cambria"/>
              </w:rPr>
              <w:t xml:space="preserve"> about their rights and where to get help</w:t>
            </w:r>
            <w:r w:rsidR="00A00713">
              <w:rPr>
                <w:rFonts w:ascii="Cambria" w:hAnsi="Cambria"/>
              </w:rPr>
              <w:t>;</w:t>
            </w:r>
          </w:p>
          <w:p w:rsidR="00B8387C" w:rsidRPr="002C2BAD" w:rsidRDefault="00B8387C" w:rsidP="00E623C2">
            <w:pPr>
              <w:pStyle w:val="SingleTxtG"/>
              <w:numPr>
                <w:ilvl w:val="0"/>
                <w:numId w:val="26"/>
              </w:numPr>
              <w:ind w:right="0"/>
              <w:rPr>
                <w:rFonts w:ascii="Cambria" w:hAnsi="Cambria"/>
              </w:rPr>
            </w:pPr>
            <w:proofErr w:type="gramStart"/>
            <w:r w:rsidRPr="002C2BAD">
              <w:rPr>
                <w:rFonts w:ascii="Cambria" w:hAnsi="Cambria"/>
              </w:rPr>
              <w:t>support</w:t>
            </w:r>
            <w:proofErr w:type="gramEnd"/>
            <w:r w:rsidRPr="002C2BAD">
              <w:rPr>
                <w:rFonts w:ascii="Cambria" w:hAnsi="Cambria"/>
              </w:rPr>
              <w:t xml:space="preserve"> for socio-economic development, and especially in the field of education.  </w:t>
            </w:r>
          </w:p>
        </w:tc>
      </w:tr>
    </w:tbl>
    <w:p w:rsidR="00A364A0" w:rsidRDefault="00A364A0" w:rsidP="008B11B2">
      <w:pPr>
        <w:pStyle w:val="Heading2"/>
      </w:pPr>
    </w:p>
    <w:p w:rsidR="008B11B2" w:rsidRDefault="008B11B2" w:rsidP="008B11B2">
      <w:pPr>
        <w:pStyle w:val="Heading2"/>
      </w:pPr>
      <w:r w:rsidRPr="008B11B2">
        <w:t>Public law sanctions and other remedies</w:t>
      </w:r>
    </w:p>
    <w:p w:rsidR="008B11B2" w:rsidRPr="008B11B2" w:rsidRDefault="008B11B2" w:rsidP="008B11B2"/>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Pr="008B11B2" w:rsidRDefault="008B11B2" w:rsidP="008B11B2">
            <w:pPr>
              <w:pStyle w:val="SingleTxtG"/>
              <w:ind w:left="0" w:right="0"/>
              <w:rPr>
                <w:rFonts w:ascii="Cambria" w:hAnsi="Cambria"/>
                <w:b/>
                <w:bCs/>
                <w:sz w:val="22"/>
                <w:szCs w:val="22"/>
              </w:rPr>
            </w:pPr>
            <w:r w:rsidRPr="008B11B2">
              <w:rPr>
                <w:rFonts w:ascii="Cambria" w:hAnsi="Cambria"/>
                <w:b/>
                <w:sz w:val="22"/>
                <w:szCs w:val="22"/>
              </w:rPr>
              <w:t>Policy objective 11: Sanctions and other remedies that may be imposed following a determination of corporate legal liability in cases of business-related human rights abuse offer the prospect of an effective remedy for the relevant loss and/or harm.</w:t>
            </w:r>
          </w:p>
        </w:tc>
      </w:tr>
    </w:tbl>
    <w:p w:rsidR="008B11B2" w:rsidRDefault="008B11B2" w:rsidP="008B11B2">
      <w:pPr>
        <w:pStyle w:val="SingleTxtG"/>
        <w:ind w:left="0" w:right="0"/>
        <w:rPr>
          <w:rFonts w:ascii="Cambria" w:hAnsi="Cambria"/>
          <w:b/>
          <w:sz w:val="22"/>
          <w:szCs w:val="22"/>
        </w:rPr>
      </w:pPr>
    </w:p>
    <w:p w:rsidR="00082881" w:rsidRDefault="008B11B2" w:rsidP="00082881">
      <w:pPr>
        <w:pStyle w:val="SingleTxtG"/>
        <w:ind w:left="0" w:right="0"/>
        <w:rPr>
          <w:rFonts w:ascii="Cambria" w:hAnsi="Cambria"/>
          <w:b/>
          <w:sz w:val="22"/>
          <w:szCs w:val="22"/>
        </w:rPr>
      </w:pPr>
      <w:r w:rsidRPr="008B11B2">
        <w:rPr>
          <w:rFonts w:ascii="Cambria" w:hAnsi="Cambria"/>
          <w:b/>
          <w:sz w:val="22"/>
          <w:szCs w:val="22"/>
        </w:rPr>
        <w:t>11.1</w:t>
      </w:r>
      <w:r w:rsidRPr="008B11B2">
        <w:rPr>
          <w:rFonts w:ascii="Cambria" w:hAnsi="Cambria"/>
          <w:b/>
          <w:sz w:val="22"/>
          <w:szCs w:val="22"/>
        </w:rPr>
        <w:tab/>
        <w:t xml:space="preserve">Judicial bodies have the authority and ability, in law and in practice, to impose a range of sanctions following a finding of corporate legal liability in cases of business-related human rights abuse, which may include financial penalties and/or non-financial remedies, such as orders for restitution, measures to assist with the rehabilitation of victims and/or resources, satisfaction (e.g. public apologies) and guarantees of non-repetition (e.g. cancellation of operating licenses, mandated compliance programmes, education and training). </w:t>
      </w:r>
    </w:p>
    <w:p w:rsidR="00A00713" w:rsidRDefault="00A00713" w:rsidP="00082881">
      <w:pPr>
        <w:pStyle w:val="SingleTxtG"/>
        <w:ind w:left="0" w:right="0"/>
        <w:rPr>
          <w:rFonts w:ascii="Cambria" w:hAnsi="Cambria"/>
          <w:b/>
          <w:sz w:val="22"/>
          <w:szCs w:val="22"/>
        </w:rPr>
      </w:pPr>
    </w:p>
    <w:p w:rsidR="00A00713" w:rsidRDefault="00A00713" w:rsidP="0008288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Pr="007A1509" w:rsidRDefault="00082881" w:rsidP="004F60D5">
            <w:pPr>
              <w:pStyle w:val="SingleTxtG"/>
              <w:ind w:left="0" w:right="0"/>
              <w:rPr>
                <w:rFonts w:ascii="Cambria" w:hAnsi="Cambria"/>
              </w:rPr>
            </w:pPr>
            <w:r>
              <w:rPr>
                <w:rFonts w:ascii="Cambria" w:hAnsi="Cambria"/>
                <w:b/>
                <w:sz w:val="22"/>
                <w:szCs w:val="22"/>
              </w:rPr>
              <w:lastRenderedPageBreak/>
              <w:t>Illustrative example</w:t>
            </w:r>
            <w:r w:rsidR="007A1509">
              <w:rPr>
                <w:rFonts w:ascii="Cambria" w:hAnsi="Cambria"/>
                <w:b/>
                <w:sz w:val="22"/>
                <w:szCs w:val="22"/>
              </w:rPr>
              <w:t>s</w:t>
            </w:r>
            <w:r>
              <w:rPr>
                <w:rFonts w:ascii="Cambria" w:hAnsi="Cambria"/>
                <w:b/>
                <w:sz w:val="22"/>
                <w:szCs w:val="22"/>
              </w:rPr>
              <w:t>: 11.1</w:t>
            </w:r>
          </w:p>
          <w:p w:rsidR="003B3BBB" w:rsidRDefault="00A364A0" w:rsidP="004F60D5">
            <w:pPr>
              <w:pStyle w:val="SingleTxtG"/>
              <w:ind w:left="0" w:right="0"/>
              <w:rPr>
                <w:rFonts w:ascii="Cambria" w:hAnsi="Cambria"/>
              </w:rPr>
            </w:pPr>
            <w:r>
              <w:rPr>
                <w:rFonts w:ascii="Cambria" w:hAnsi="Cambria"/>
              </w:rPr>
              <w:t xml:space="preserve">A. </w:t>
            </w:r>
            <w:r w:rsidR="003B3BBB">
              <w:rPr>
                <w:rFonts w:ascii="Cambria" w:hAnsi="Cambria"/>
              </w:rPr>
              <w:t>Sanctions and remedies that have been used or provided for under domestic public law regimes applicable to corporate entities include:</w:t>
            </w:r>
          </w:p>
          <w:p w:rsidR="003B3BBB" w:rsidRDefault="003B3BBB" w:rsidP="00E623C2">
            <w:pPr>
              <w:pStyle w:val="SingleTxtG"/>
              <w:numPr>
                <w:ilvl w:val="0"/>
                <w:numId w:val="28"/>
              </w:numPr>
              <w:ind w:right="0"/>
              <w:rPr>
                <w:rFonts w:ascii="Cambria" w:hAnsi="Cambria"/>
              </w:rPr>
            </w:pPr>
            <w:r>
              <w:rPr>
                <w:rFonts w:ascii="Cambria" w:hAnsi="Cambria"/>
              </w:rPr>
              <w:t>Punitive measures such as:</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monetary penalties or “fines”;</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c</w:t>
            </w:r>
            <w:r w:rsidR="000D161C" w:rsidRPr="00C97801">
              <w:rPr>
                <w:rFonts w:ascii="Cambria" w:hAnsi="Cambria"/>
              </w:rPr>
              <w:t>onfiscation of asse</w:t>
            </w:r>
            <w:r w:rsidR="00BF3C9D" w:rsidRPr="00C97801">
              <w:rPr>
                <w:rFonts w:ascii="Cambria" w:hAnsi="Cambria"/>
              </w:rPr>
              <w:t>t</w:t>
            </w:r>
            <w:r w:rsidR="000D161C" w:rsidRPr="00C97801">
              <w:rPr>
                <w:rFonts w:ascii="Cambria" w:hAnsi="Cambria"/>
              </w:rPr>
              <w:t>s</w:t>
            </w:r>
            <w:r w:rsidR="00BF3C9D" w:rsidRPr="00C97801">
              <w:rPr>
                <w:rFonts w:ascii="Cambria" w:hAnsi="Cambria"/>
              </w:rPr>
              <w:t xml:space="preserve"> (including the objects or appar</w:t>
            </w:r>
            <w:r w:rsidRPr="00C97801">
              <w:rPr>
                <w:rFonts w:ascii="Cambria" w:hAnsi="Cambria"/>
              </w:rPr>
              <w:t>atus used to commit the offence</w:t>
            </w:r>
            <w:r w:rsidR="00C97801" w:rsidRPr="00C97801">
              <w:rPr>
                <w:rFonts w:ascii="Cambria" w:hAnsi="Cambria"/>
              </w:rPr>
              <w:t>)</w:t>
            </w:r>
            <w:r w:rsidRPr="00C97801">
              <w:rPr>
                <w:rFonts w:ascii="Cambria" w:hAnsi="Cambria"/>
              </w:rPr>
              <w:t>;</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d</w:t>
            </w:r>
            <w:r w:rsidR="00B93C4A" w:rsidRPr="00C97801">
              <w:rPr>
                <w:rFonts w:ascii="Cambria" w:hAnsi="Cambria"/>
              </w:rPr>
              <w:t xml:space="preserve">isgorgement of profits, </w:t>
            </w:r>
            <w:r w:rsidR="00F62A46" w:rsidRPr="00C97801">
              <w:rPr>
                <w:rFonts w:ascii="Cambria" w:hAnsi="Cambria"/>
              </w:rPr>
              <w:t xml:space="preserve">confiscation of </w:t>
            </w:r>
            <w:r w:rsidRPr="00C97801">
              <w:rPr>
                <w:rFonts w:ascii="Cambria" w:hAnsi="Cambria"/>
              </w:rPr>
              <w:t>“proceeds of crime”;</w:t>
            </w:r>
          </w:p>
          <w:p w:rsidR="003B3BBB" w:rsidRPr="00C97801" w:rsidRDefault="00B100CA" w:rsidP="00E623C2">
            <w:pPr>
              <w:pStyle w:val="SingleTxtG"/>
              <w:numPr>
                <w:ilvl w:val="0"/>
                <w:numId w:val="27"/>
              </w:numPr>
              <w:ind w:right="0"/>
              <w:rPr>
                <w:rFonts w:ascii="Cambria" w:hAnsi="Cambria"/>
              </w:rPr>
            </w:pPr>
            <w:r w:rsidRPr="00C97801">
              <w:rPr>
                <w:rFonts w:ascii="Cambria" w:hAnsi="Cambria"/>
              </w:rPr>
              <w:t xml:space="preserve">temporary or permanent bans from </w:t>
            </w:r>
            <w:r w:rsidR="000D161C" w:rsidRPr="00C97801">
              <w:rPr>
                <w:rFonts w:ascii="Cambria" w:hAnsi="Cambria"/>
              </w:rPr>
              <w:t xml:space="preserve">participating in public procurement processes or receiving </w:t>
            </w:r>
            <w:r w:rsidRPr="00C97801">
              <w:rPr>
                <w:rFonts w:ascii="Cambria" w:hAnsi="Cambria"/>
              </w:rPr>
              <w:t>government contracts</w:t>
            </w:r>
            <w:r w:rsidR="003B3BBB" w:rsidRPr="00C97801">
              <w:rPr>
                <w:rFonts w:ascii="Cambria" w:hAnsi="Cambria"/>
              </w:rPr>
              <w:t>;</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p</w:t>
            </w:r>
            <w:r w:rsidR="000D161C" w:rsidRPr="00C97801">
              <w:rPr>
                <w:rFonts w:ascii="Cambria" w:hAnsi="Cambria"/>
              </w:rPr>
              <w:t>rohibition from c</w:t>
            </w:r>
            <w:r w:rsidRPr="00C97801">
              <w:rPr>
                <w:rFonts w:ascii="Cambria" w:hAnsi="Cambria"/>
              </w:rPr>
              <w:t>arrying out certain activities, closing down certain operating facilities (on a temporary or permanent basis);</w:t>
            </w:r>
          </w:p>
          <w:p w:rsidR="003B3BBB" w:rsidRPr="00C97801" w:rsidRDefault="00BF3247" w:rsidP="00E623C2">
            <w:pPr>
              <w:pStyle w:val="SingleTxtG"/>
              <w:numPr>
                <w:ilvl w:val="0"/>
                <w:numId w:val="27"/>
              </w:numPr>
              <w:ind w:right="0"/>
              <w:rPr>
                <w:rFonts w:ascii="Cambria" w:hAnsi="Cambria"/>
              </w:rPr>
            </w:pPr>
            <w:r w:rsidRPr="00C97801">
              <w:rPr>
                <w:rFonts w:ascii="Cambria" w:hAnsi="Cambria"/>
              </w:rPr>
              <w:t xml:space="preserve">prohibitions on </w:t>
            </w:r>
            <w:r w:rsidR="003B3BBB" w:rsidRPr="00C97801">
              <w:rPr>
                <w:rFonts w:ascii="Cambria" w:hAnsi="Cambria"/>
              </w:rPr>
              <w:t>offering or listing securities;</w:t>
            </w:r>
          </w:p>
          <w:p w:rsidR="003B3BBB" w:rsidRPr="00C97801" w:rsidRDefault="00B93C4A" w:rsidP="00E623C2">
            <w:pPr>
              <w:pStyle w:val="SingleTxtG"/>
              <w:numPr>
                <w:ilvl w:val="0"/>
                <w:numId w:val="27"/>
              </w:numPr>
              <w:ind w:right="0"/>
              <w:rPr>
                <w:rFonts w:ascii="Cambria" w:hAnsi="Cambria"/>
              </w:rPr>
            </w:pPr>
            <w:r w:rsidRPr="00C97801">
              <w:rPr>
                <w:rFonts w:ascii="Cambria" w:hAnsi="Cambria"/>
              </w:rPr>
              <w:t>suspensi</w:t>
            </w:r>
            <w:r w:rsidR="003B3BBB" w:rsidRPr="00C97801">
              <w:rPr>
                <w:rFonts w:ascii="Cambria" w:hAnsi="Cambria"/>
              </w:rPr>
              <w:t>on or cancellation of licences;</w:t>
            </w:r>
          </w:p>
          <w:p w:rsidR="003B3BBB" w:rsidRPr="00C97801" w:rsidRDefault="00B93C4A" w:rsidP="00E623C2">
            <w:pPr>
              <w:pStyle w:val="SingleTxtG"/>
              <w:numPr>
                <w:ilvl w:val="0"/>
                <w:numId w:val="27"/>
              </w:numPr>
              <w:ind w:right="0"/>
              <w:rPr>
                <w:rFonts w:ascii="Cambria" w:hAnsi="Cambria"/>
              </w:rPr>
            </w:pPr>
            <w:r w:rsidRPr="00C97801">
              <w:rPr>
                <w:rFonts w:ascii="Cambria" w:hAnsi="Cambria"/>
              </w:rPr>
              <w:t>prohibitions or restrictions o</w:t>
            </w:r>
            <w:r w:rsidR="003B3BBB" w:rsidRPr="00C97801">
              <w:rPr>
                <w:rFonts w:ascii="Cambria" w:hAnsi="Cambria"/>
              </w:rPr>
              <w:t>n advertising certain products;</w:t>
            </w:r>
          </w:p>
          <w:p w:rsidR="003B3BBB" w:rsidRPr="00C97801" w:rsidRDefault="006D45CF" w:rsidP="00E623C2">
            <w:pPr>
              <w:pStyle w:val="SingleTxtG"/>
              <w:numPr>
                <w:ilvl w:val="0"/>
                <w:numId w:val="27"/>
              </w:numPr>
              <w:ind w:right="0"/>
              <w:rPr>
                <w:rFonts w:ascii="Cambria" w:hAnsi="Cambria"/>
              </w:rPr>
            </w:pPr>
            <w:r w:rsidRPr="00C97801">
              <w:rPr>
                <w:rFonts w:ascii="Cambria" w:hAnsi="Cambria"/>
              </w:rPr>
              <w:t>prohibitions on</w:t>
            </w:r>
            <w:r w:rsidR="00C97801" w:rsidRPr="00C97801">
              <w:rPr>
                <w:rFonts w:ascii="Cambria" w:hAnsi="Cambria"/>
              </w:rPr>
              <w:t xml:space="preserve"> receiving grants or subsidies;</w:t>
            </w:r>
          </w:p>
          <w:p w:rsidR="00C97801" w:rsidRPr="00C97801" w:rsidRDefault="00C97801" w:rsidP="00E623C2">
            <w:pPr>
              <w:pStyle w:val="SingleTxtG"/>
              <w:numPr>
                <w:ilvl w:val="0"/>
                <w:numId w:val="27"/>
              </w:numPr>
              <w:ind w:right="0"/>
              <w:rPr>
                <w:rFonts w:ascii="Cambria" w:hAnsi="Cambria"/>
              </w:rPr>
            </w:pPr>
            <w:r w:rsidRPr="00C97801">
              <w:rPr>
                <w:rFonts w:ascii="Cambria" w:hAnsi="Cambria"/>
              </w:rPr>
              <w:t>public announcements (including publication of judicial findings and sanctions) and apologies;</w:t>
            </w:r>
          </w:p>
          <w:p w:rsidR="00C97801" w:rsidRPr="00C97801" w:rsidRDefault="00C97801" w:rsidP="00E623C2">
            <w:pPr>
              <w:pStyle w:val="SingleTxtG"/>
              <w:numPr>
                <w:ilvl w:val="0"/>
                <w:numId w:val="27"/>
              </w:numPr>
              <w:ind w:right="0"/>
              <w:rPr>
                <w:rFonts w:ascii="Cambria" w:hAnsi="Cambria"/>
              </w:rPr>
            </w:pPr>
            <w:r w:rsidRPr="00C97801">
              <w:rPr>
                <w:rFonts w:ascii="Cambria" w:hAnsi="Cambria"/>
              </w:rPr>
              <w:t>listing on national registers of companies subject to public law sanctions;</w:t>
            </w:r>
          </w:p>
          <w:p w:rsidR="00C97801" w:rsidRPr="00C97801" w:rsidRDefault="00C97801" w:rsidP="00E623C2">
            <w:pPr>
              <w:pStyle w:val="SingleTxtG"/>
              <w:numPr>
                <w:ilvl w:val="0"/>
                <w:numId w:val="27"/>
              </w:numPr>
              <w:ind w:right="0"/>
              <w:rPr>
                <w:rFonts w:ascii="Cambria" w:hAnsi="Cambria"/>
              </w:rPr>
            </w:pPr>
            <w:proofErr w:type="gramStart"/>
            <w:r w:rsidRPr="00C97801">
              <w:rPr>
                <w:rFonts w:ascii="Cambria" w:hAnsi="Cambria"/>
              </w:rPr>
              <w:t>dissolution</w:t>
            </w:r>
            <w:proofErr w:type="gramEnd"/>
            <w:r w:rsidRPr="00C97801">
              <w:rPr>
                <w:rFonts w:ascii="Cambria" w:hAnsi="Cambria"/>
              </w:rPr>
              <w:t>.</w:t>
            </w:r>
          </w:p>
          <w:p w:rsidR="003B3BBB" w:rsidRDefault="003B3BBB" w:rsidP="00E623C2">
            <w:pPr>
              <w:pStyle w:val="SingleTxtG"/>
              <w:numPr>
                <w:ilvl w:val="0"/>
                <w:numId w:val="28"/>
              </w:numPr>
              <w:ind w:right="0"/>
              <w:rPr>
                <w:rFonts w:ascii="Cambria" w:hAnsi="Cambria"/>
              </w:rPr>
            </w:pPr>
            <w:r>
              <w:rPr>
                <w:rFonts w:ascii="Cambria" w:hAnsi="Cambria"/>
              </w:rPr>
              <w:t>Compensatory or restorative measures such as;</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 xml:space="preserve">obligations to pay money into funds </w:t>
            </w:r>
            <w:r w:rsidR="00C97801">
              <w:rPr>
                <w:rFonts w:ascii="Cambria" w:hAnsi="Cambria"/>
              </w:rPr>
              <w:t xml:space="preserve">for specified purposes </w:t>
            </w:r>
            <w:r w:rsidRPr="00C97801">
              <w:rPr>
                <w:rFonts w:ascii="Cambria" w:hAnsi="Cambria"/>
              </w:rPr>
              <w:t>(e.g. environmental, social or developmental fund</w:t>
            </w:r>
            <w:r w:rsidR="00C97801">
              <w:rPr>
                <w:rFonts w:ascii="Cambria" w:hAnsi="Cambria"/>
              </w:rPr>
              <w:t>s)</w:t>
            </w:r>
            <w:r w:rsidR="00765829">
              <w:rPr>
                <w:rFonts w:ascii="Cambria" w:hAnsi="Cambria"/>
              </w:rPr>
              <w:t xml:space="preserve"> (</w:t>
            </w:r>
            <w:r w:rsidR="00A00713">
              <w:rPr>
                <w:rFonts w:ascii="Cambria" w:hAnsi="Cambria"/>
                <w:b/>
              </w:rPr>
              <w:t xml:space="preserve">Note: </w:t>
            </w:r>
            <w:r w:rsidR="00765829">
              <w:rPr>
                <w:rFonts w:ascii="Cambria" w:hAnsi="Cambria"/>
              </w:rPr>
              <w:t>On the distribution of funds to affected persons see further 19.6 below)</w:t>
            </w:r>
            <w:r w:rsidR="00C97801">
              <w:rPr>
                <w:rFonts w:ascii="Cambria" w:hAnsi="Cambria"/>
              </w:rPr>
              <w:t>;</w:t>
            </w:r>
          </w:p>
          <w:p w:rsidR="00C97801" w:rsidRPr="00C97801" w:rsidRDefault="003B3BBB" w:rsidP="00E623C2">
            <w:pPr>
              <w:pStyle w:val="SingleTxtG"/>
              <w:numPr>
                <w:ilvl w:val="0"/>
                <w:numId w:val="27"/>
              </w:numPr>
              <w:ind w:right="0"/>
              <w:rPr>
                <w:rFonts w:ascii="Cambria" w:hAnsi="Cambria"/>
              </w:rPr>
            </w:pPr>
            <w:r w:rsidRPr="00C97801">
              <w:rPr>
                <w:rFonts w:ascii="Cambria" w:hAnsi="Cambria"/>
              </w:rPr>
              <w:t xml:space="preserve"> “corporate community service” (e.g. performing upkeep of public areas, contributions to</w:t>
            </w:r>
            <w:r w:rsidR="00C97801" w:rsidRPr="00C97801">
              <w:rPr>
                <w:rFonts w:ascii="Cambria" w:hAnsi="Cambria"/>
              </w:rPr>
              <w:t xml:space="preserve"> public or cultural amenities)</w:t>
            </w:r>
            <w:r w:rsidR="00C97801">
              <w:rPr>
                <w:rFonts w:ascii="Cambria" w:hAnsi="Cambria"/>
              </w:rPr>
              <w:t>;</w:t>
            </w:r>
          </w:p>
          <w:p w:rsidR="003B3BBB" w:rsidRDefault="00C97801" w:rsidP="00E623C2">
            <w:pPr>
              <w:pStyle w:val="SingleTxtG"/>
              <w:numPr>
                <w:ilvl w:val="0"/>
                <w:numId w:val="27"/>
              </w:numPr>
              <w:ind w:right="0"/>
              <w:rPr>
                <w:rFonts w:ascii="Cambria" w:hAnsi="Cambria"/>
              </w:rPr>
            </w:pPr>
            <w:r w:rsidRPr="00C97801">
              <w:rPr>
                <w:rFonts w:ascii="Cambria" w:hAnsi="Cambria"/>
              </w:rPr>
              <w:t xml:space="preserve">compulsory orders regarding </w:t>
            </w:r>
            <w:r w:rsidR="003B3BBB" w:rsidRPr="00C97801">
              <w:rPr>
                <w:rFonts w:ascii="Cambria" w:hAnsi="Cambria"/>
              </w:rPr>
              <w:t>funding of environmental projects</w:t>
            </w:r>
            <w:r w:rsidR="00765829">
              <w:rPr>
                <w:rFonts w:ascii="Cambria" w:hAnsi="Cambria"/>
              </w:rPr>
              <w:t>;</w:t>
            </w:r>
          </w:p>
          <w:p w:rsidR="00546B8C" w:rsidRDefault="00765829" w:rsidP="00E623C2">
            <w:pPr>
              <w:pStyle w:val="SingleTxtG"/>
              <w:numPr>
                <w:ilvl w:val="0"/>
                <w:numId w:val="27"/>
              </w:numPr>
              <w:ind w:right="0"/>
              <w:rPr>
                <w:rFonts w:ascii="Cambria" w:hAnsi="Cambria"/>
              </w:rPr>
            </w:pPr>
            <w:r>
              <w:rPr>
                <w:rFonts w:ascii="Cambria" w:hAnsi="Cambria"/>
              </w:rPr>
              <w:t>compensation to individual victims (especially in cases of child labour and forced labour)</w:t>
            </w:r>
            <w:r w:rsidR="00546B8C">
              <w:rPr>
                <w:rFonts w:ascii="Cambria" w:hAnsi="Cambria"/>
              </w:rPr>
              <w:t>;</w:t>
            </w:r>
          </w:p>
          <w:p w:rsidR="00765829" w:rsidRPr="00C97801" w:rsidRDefault="00546B8C" w:rsidP="00E623C2">
            <w:pPr>
              <w:pStyle w:val="SingleTxtG"/>
              <w:numPr>
                <w:ilvl w:val="0"/>
                <w:numId w:val="27"/>
              </w:numPr>
              <w:ind w:right="0"/>
              <w:rPr>
                <w:rFonts w:ascii="Cambria" w:hAnsi="Cambria"/>
              </w:rPr>
            </w:pPr>
            <w:proofErr w:type="gramStart"/>
            <w:r>
              <w:rPr>
                <w:rFonts w:ascii="Cambria" w:hAnsi="Cambria"/>
              </w:rPr>
              <w:t>orders</w:t>
            </w:r>
            <w:proofErr w:type="gramEnd"/>
            <w:r>
              <w:rPr>
                <w:rFonts w:ascii="Cambria" w:hAnsi="Cambria"/>
              </w:rPr>
              <w:t xml:space="preserve"> to reimburse prosecutors’ costs (or a proportion of such costs).  </w:t>
            </w:r>
            <w:r w:rsidR="00E516BD" w:rsidRPr="00E516BD">
              <w:rPr>
                <w:rFonts w:ascii="Cambria" w:hAnsi="Cambria"/>
                <w:b/>
              </w:rPr>
              <w:t>Note</w:t>
            </w:r>
            <w:r w:rsidRPr="00E516BD">
              <w:rPr>
                <w:rFonts w:ascii="Cambria" w:hAnsi="Cambria"/>
                <w:b/>
              </w:rPr>
              <w:t>:</w:t>
            </w:r>
            <w:r>
              <w:rPr>
                <w:rFonts w:ascii="Cambria" w:hAnsi="Cambria"/>
                <w:b/>
              </w:rPr>
              <w:t xml:space="preserve"> </w:t>
            </w:r>
            <w:r>
              <w:rPr>
                <w:rFonts w:ascii="Cambria" w:hAnsi="Cambria"/>
              </w:rPr>
              <w:t>On ensuring sufficient resources for enforcement agencies, see 6.1 above</w:t>
            </w:r>
            <w:r w:rsidR="00A00713">
              <w:rPr>
                <w:rFonts w:ascii="Cambria" w:hAnsi="Cambria"/>
              </w:rPr>
              <w:t>.</w:t>
            </w:r>
          </w:p>
          <w:p w:rsidR="003B3BBB" w:rsidRDefault="003B3BBB" w:rsidP="00E623C2">
            <w:pPr>
              <w:pStyle w:val="SingleTxtG"/>
              <w:numPr>
                <w:ilvl w:val="0"/>
                <w:numId w:val="28"/>
              </w:numPr>
              <w:ind w:right="0"/>
              <w:rPr>
                <w:rFonts w:ascii="Cambria" w:hAnsi="Cambria"/>
              </w:rPr>
            </w:pPr>
            <w:r>
              <w:rPr>
                <w:rFonts w:ascii="Cambria" w:hAnsi="Cambria"/>
              </w:rPr>
              <w:t>Preventative measures such as;</w:t>
            </w:r>
          </w:p>
          <w:p w:rsidR="003B3BBB" w:rsidRPr="00C97801" w:rsidRDefault="00722628" w:rsidP="00E623C2">
            <w:pPr>
              <w:pStyle w:val="SingleTxtG"/>
              <w:numPr>
                <w:ilvl w:val="0"/>
                <w:numId w:val="27"/>
              </w:numPr>
              <w:ind w:right="0"/>
              <w:rPr>
                <w:rFonts w:ascii="Cambria" w:hAnsi="Cambria"/>
              </w:rPr>
            </w:pPr>
            <w:r w:rsidRPr="00C97801">
              <w:rPr>
                <w:rFonts w:ascii="Cambria" w:hAnsi="Cambria"/>
              </w:rPr>
              <w:t>requirements to und</w:t>
            </w:r>
            <w:r w:rsidR="00A00713">
              <w:rPr>
                <w:rFonts w:ascii="Cambria" w:hAnsi="Cambria"/>
              </w:rPr>
              <w:t>ertake audits;</w:t>
            </w:r>
          </w:p>
          <w:p w:rsidR="003B3BBB" w:rsidRPr="00C97801" w:rsidRDefault="00C97801" w:rsidP="00E623C2">
            <w:pPr>
              <w:pStyle w:val="SingleTxtG"/>
              <w:numPr>
                <w:ilvl w:val="0"/>
                <w:numId w:val="27"/>
              </w:numPr>
              <w:ind w:right="0"/>
              <w:rPr>
                <w:rFonts w:ascii="Cambria" w:hAnsi="Cambria"/>
              </w:rPr>
            </w:pPr>
            <w:r>
              <w:rPr>
                <w:rFonts w:ascii="Cambria" w:hAnsi="Cambria"/>
              </w:rPr>
              <w:t xml:space="preserve">imposition of </w:t>
            </w:r>
            <w:r w:rsidR="00241E41" w:rsidRPr="00C97801">
              <w:rPr>
                <w:rFonts w:ascii="Cambria" w:hAnsi="Cambria"/>
              </w:rPr>
              <w:t xml:space="preserve">government approved clean up </w:t>
            </w:r>
            <w:r w:rsidR="000D161C" w:rsidRPr="00C97801">
              <w:rPr>
                <w:rFonts w:ascii="Cambria" w:hAnsi="Cambria"/>
              </w:rPr>
              <w:t xml:space="preserve">(or remediation) </w:t>
            </w:r>
            <w:r>
              <w:rPr>
                <w:rFonts w:ascii="Cambria" w:hAnsi="Cambria"/>
              </w:rPr>
              <w:t>plans;</w:t>
            </w:r>
          </w:p>
          <w:p w:rsidR="003B3BBB" w:rsidRPr="00C97801" w:rsidRDefault="00BF3C9D" w:rsidP="00E623C2">
            <w:pPr>
              <w:pStyle w:val="SingleTxtG"/>
              <w:numPr>
                <w:ilvl w:val="0"/>
                <w:numId w:val="27"/>
              </w:numPr>
              <w:ind w:right="0"/>
              <w:rPr>
                <w:rFonts w:ascii="Cambria" w:hAnsi="Cambria"/>
              </w:rPr>
            </w:pPr>
            <w:r w:rsidRPr="00C97801">
              <w:rPr>
                <w:rFonts w:ascii="Cambria" w:hAnsi="Cambria"/>
              </w:rPr>
              <w:t>judicial supervision (or corporate “probation”)</w:t>
            </w:r>
            <w:r w:rsidR="006F64F4" w:rsidRPr="00C97801">
              <w:rPr>
                <w:rFonts w:ascii="Cambria" w:hAnsi="Cambria"/>
              </w:rPr>
              <w:t xml:space="preserve"> </w:t>
            </w:r>
            <w:r w:rsidR="009F21F6">
              <w:rPr>
                <w:rFonts w:ascii="Cambria" w:hAnsi="Cambria"/>
              </w:rPr>
              <w:t>(see further 11.4 below);</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 xml:space="preserve">orders requiring specific corrective action </w:t>
            </w:r>
            <w:r w:rsidR="00C97801">
              <w:rPr>
                <w:rFonts w:ascii="Cambria" w:hAnsi="Cambria"/>
              </w:rPr>
              <w:t xml:space="preserve">with respect to management and organisation </w:t>
            </w:r>
            <w:r w:rsidRPr="00C97801">
              <w:rPr>
                <w:rFonts w:ascii="Cambria" w:hAnsi="Cambria"/>
              </w:rPr>
              <w:t>(including internal disciplinary act</w:t>
            </w:r>
            <w:r w:rsidR="00C97801">
              <w:rPr>
                <w:rFonts w:ascii="Cambria" w:hAnsi="Cambria"/>
              </w:rPr>
              <w:t>ion and organisational reforms);</w:t>
            </w:r>
            <w:r w:rsidR="009F21F6">
              <w:rPr>
                <w:rFonts w:ascii="Cambria" w:hAnsi="Cambria"/>
              </w:rPr>
              <w:t xml:space="preserve"> orders requiring compliance with specified management standards (e.g. environmental management standards) and compliance auditing standards;</w:t>
            </w:r>
          </w:p>
          <w:p w:rsidR="00A93658" w:rsidRPr="00C97801" w:rsidRDefault="00241E41" w:rsidP="00E623C2">
            <w:pPr>
              <w:pStyle w:val="SingleTxtG"/>
              <w:numPr>
                <w:ilvl w:val="0"/>
                <w:numId w:val="27"/>
              </w:numPr>
              <w:ind w:right="0"/>
              <w:rPr>
                <w:rFonts w:ascii="Cambria" w:hAnsi="Cambria"/>
              </w:rPr>
            </w:pPr>
            <w:r w:rsidRPr="00C97801">
              <w:rPr>
                <w:rFonts w:ascii="Cambria" w:hAnsi="Cambria"/>
              </w:rPr>
              <w:t>administrative orders for correction of design flaws (e.g. i</w:t>
            </w:r>
            <w:r w:rsidR="00C97801">
              <w:rPr>
                <w:rFonts w:ascii="Cambria" w:hAnsi="Cambria"/>
              </w:rPr>
              <w:t>n industrial processes, set-up);</w:t>
            </w:r>
            <w:r w:rsidR="000D161C" w:rsidRPr="00C97801">
              <w:rPr>
                <w:rFonts w:ascii="Cambria" w:hAnsi="Cambria"/>
              </w:rPr>
              <w:t xml:space="preserve"> </w:t>
            </w:r>
          </w:p>
          <w:p w:rsidR="00C97801" w:rsidRDefault="00C97801" w:rsidP="00E623C2">
            <w:pPr>
              <w:pStyle w:val="SingleTxtG"/>
              <w:numPr>
                <w:ilvl w:val="0"/>
                <w:numId w:val="27"/>
              </w:numPr>
              <w:ind w:right="0"/>
              <w:rPr>
                <w:rFonts w:ascii="Cambria" w:hAnsi="Cambria"/>
              </w:rPr>
            </w:pPr>
            <w:r w:rsidRPr="00C97801">
              <w:rPr>
                <w:rFonts w:ascii="Cambria" w:hAnsi="Cambria"/>
              </w:rPr>
              <w:t>confiscation of assets (including the objects or apparatus used to commit the offence)</w:t>
            </w:r>
            <w:r>
              <w:rPr>
                <w:rFonts w:ascii="Cambria" w:hAnsi="Cambria"/>
              </w:rPr>
              <w:t>;</w:t>
            </w:r>
          </w:p>
          <w:p w:rsidR="00546B8C" w:rsidRDefault="00C97801" w:rsidP="00546B8C">
            <w:pPr>
              <w:pStyle w:val="SingleTxtG"/>
              <w:numPr>
                <w:ilvl w:val="0"/>
                <w:numId w:val="27"/>
              </w:numPr>
              <w:ind w:right="0"/>
              <w:rPr>
                <w:rFonts w:ascii="Cambria" w:hAnsi="Cambria"/>
              </w:rPr>
            </w:pPr>
            <w:proofErr w:type="gramStart"/>
            <w:r w:rsidRPr="00C97801">
              <w:rPr>
                <w:rFonts w:ascii="Cambria" w:hAnsi="Cambria"/>
              </w:rPr>
              <w:t>prohibition</w:t>
            </w:r>
            <w:proofErr w:type="gramEnd"/>
            <w:r w:rsidRPr="00C97801">
              <w:rPr>
                <w:rFonts w:ascii="Cambria" w:hAnsi="Cambria"/>
              </w:rPr>
              <w:t xml:space="preserve"> from carrying out certain activities, closing down certain operating facilities (on a temporary or permanent basis).</w:t>
            </w:r>
          </w:p>
          <w:p w:rsidR="00A00713" w:rsidRPr="00546B8C" w:rsidRDefault="00A00713" w:rsidP="00A00713">
            <w:pPr>
              <w:pStyle w:val="SingleTxtG"/>
              <w:ind w:left="1440" w:right="0"/>
              <w:rPr>
                <w:rFonts w:ascii="Cambria" w:hAnsi="Cambria"/>
              </w:rPr>
            </w:pPr>
          </w:p>
          <w:p w:rsidR="00546B8C" w:rsidRDefault="00546B8C" w:rsidP="00546B8C">
            <w:pPr>
              <w:pStyle w:val="SingleTxtG"/>
              <w:numPr>
                <w:ilvl w:val="0"/>
                <w:numId w:val="28"/>
              </w:numPr>
              <w:ind w:right="0"/>
              <w:rPr>
                <w:rFonts w:ascii="Cambria" w:hAnsi="Cambria"/>
              </w:rPr>
            </w:pPr>
            <w:r>
              <w:rPr>
                <w:rFonts w:ascii="Cambria" w:hAnsi="Cambria"/>
              </w:rPr>
              <w:t>Interim measures (i.e. measures taken prior to, or pending, or as an alternative to formal enforcement) such as;</w:t>
            </w:r>
          </w:p>
          <w:p w:rsidR="0006191C" w:rsidRDefault="00546B8C">
            <w:pPr>
              <w:pStyle w:val="SingleTxtG"/>
              <w:numPr>
                <w:ilvl w:val="0"/>
                <w:numId w:val="27"/>
              </w:numPr>
              <w:ind w:right="0"/>
              <w:rPr>
                <w:rFonts w:ascii="Cambria" w:hAnsi="Cambria"/>
              </w:rPr>
            </w:pPr>
            <w:r w:rsidRPr="00546B8C">
              <w:rPr>
                <w:rFonts w:ascii="Cambria" w:hAnsi="Cambria"/>
              </w:rPr>
              <w:t>injunctions requiring specific performance</w:t>
            </w:r>
            <w:r>
              <w:rPr>
                <w:rFonts w:ascii="Cambria" w:hAnsi="Cambria"/>
              </w:rPr>
              <w:t>;</w:t>
            </w:r>
          </w:p>
          <w:p w:rsidR="0006191C" w:rsidRDefault="00546B8C">
            <w:pPr>
              <w:pStyle w:val="SingleTxtG"/>
              <w:numPr>
                <w:ilvl w:val="0"/>
                <w:numId w:val="27"/>
              </w:numPr>
              <w:ind w:right="0"/>
              <w:rPr>
                <w:rFonts w:ascii="Cambria" w:hAnsi="Cambria"/>
              </w:rPr>
            </w:pPr>
            <w:r w:rsidRPr="00546B8C">
              <w:rPr>
                <w:rFonts w:ascii="Cambria" w:hAnsi="Cambria"/>
              </w:rPr>
              <w:t>enforcement notices, requiring compan</w:t>
            </w:r>
            <w:r w:rsidR="00E516BD">
              <w:rPr>
                <w:rFonts w:ascii="Cambria" w:hAnsi="Cambria"/>
              </w:rPr>
              <w:t>ies to rectify certain breaches;</w:t>
            </w:r>
          </w:p>
          <w:p w:rsidR="0006191C" w:rsidRDefault="00546B8C">
            <w:pPr>
              <w:pStyle w:val="SingleTxtG"/>
              <w:numPr>
                <w:ilvl w:val="0"/>
                <w:numId w:val="27"/>
              </w:numPr>
              <w:ind w:right="0"/>
              <w:rPr>
                <w:rFonts w:ascii="Cambria" w:hAnsi="Cambria"/>
              </w:rPr>
            </w:pPr>
            <w:r w:rsidRPr="00546B8C">
              <w:rPr>
                <w:rFonts w:ascii="Cambria" w:hAnsi="Cambria"/>
              </w:rPr>
              <w:t>or “stop” notices</w:t>
            </w:r>
            <w:r>
              <w:rPr>
                <w:rFonts w:ascii="Cambria" w:hAnsi="Cambria"/>
              </w:rPr>
              <w:t>;</w:t>
            </w:r>
          </w:p>
          <w:p w:rsidR="0006191C" w:rsidRDefault="00546B8C">
            <w:pPr>
              <w:pStyle w:val="SingleTxtG"/>
              <w:numPr>
                <w:ilvl w:val="0"/>
                <w:numId w:val="27"/>
              </w:numPr>
              <w:ind w:right="0"/>
              <w:rPr>
                <w:rFonts w:ascii="Cambria" w:hAnsi="Cambria"/>
              </w:rPr>
            </w:pPr>
            <w:r>
              <w:rPr>
                <w:rFonts w:ascii="Cambria" w:hAnsi="Cambria"/>
              </w:rPr>
              <w:t xml:space="preserve">powers to seek </w:t>
            </w:r>
            <w:r w:rsidRPr="00546B8C">
              <w:rPr>
                <w:rFonts w:ascii="Cambria" w:hAnsi="Cambria"/>
              </w:rPr>
              <w:t>enforceable undertakings from the companies concerned</w:t>
            </w:r>
            <w:r>
              <w:rPr>
                <w:rFonts w:ascii="Cambria" w:hAnsi="Cambria"/>
              </w:rPr>
              <w:t>;</w:t>
            </w:r>
          </w:p>
          <w:p w:rsidR="0006191C" w:rsidRDefault="00546B8C">
            <w:pPr>
              <w:pStyle w:val="SingleTxtG"/>
              <w:numPr>
                <w:ilvl w:val="0"/>
                <w:numId w:val="27"/>
              </w:numPr>
              <w:ind w:right="0"/>
              <w:rPr>
                <w:rFonts w:ascii="Cambria" w:hAnsi="Cambria"/>
              </w:rPr>
            </w:pPr>
            <w:proofErr w:type="gramStart"/>
            <w:r>
              <w:rPr>
                <w:rFonts w:ascii="Cambria" w:hAnsi="Cambria"/>
              </w:rPr>
              <w:t>deferred</w:t>
            </w:r>
            <w:proofErr w:type="gramEnd"/>
            <w:r>
              <w:rPr>
                <w:rFonts w:ascii="Cambria" w:hAnsi="Cambria"/>
              </w:rPr>
              <w:t xml:space="preserve"> prosecution agreements (</w:t>
            </w:r>
            <w:r>
              <w:rPr>
                <w:rFonts w:ascii="Cambria" w:hAnsi="Cambria"/>
                <w:color w:val="000000" w:themeColor="text1"/>
              </w:rPr>
              <w:t xml:space="preserve">whereby a State agency agrees not to take enforcement action in exchange for certain actions on the part of the relevant company, which may include the payment of monetary penalties, taking certain remedial action to ensure future legal compliance, which may include managerial and/or organisational reforms, and cooperation with investigators and full disclosure).  </w:t>
            </w:r>
            <w:r w:rsidR="00DD7E43" w:rsidRPr="00DD7E43">
              <w:rPr>
                <w:rFonts w:ascii="Cambria" w:hAnsi="Cambria"/>
                <w:b/>
                <w:color w:val="000000" w:themeColor="text1"/>
              </w:rPr>
              <w:t>Note:</w:t>
            </w:r>
            <w:r>
              <w:rPr>
                <w:rFonts w:ascii="Cambria" w:hAnsi="Cambria"/>
                <w:color w:val="000000" w:themeColor="text1"/>
              </w:rPr>
              <w:t xml:space="preserve"> </w:t>
            </w:r>
            <w:r>
              <w:rPr>
                <w:rFonts w:ascii="Cambria" w:hAnsi="Cambria"/>
              </w:rPr>
              <w:t>On consultation with affected persons about the use of deferred prosecution agreements, see further 11.3 below).</w:t>
            </w:r>
          </w:p>
          <w:p w:rsidR="0006191C" w:rsidRDefault="00DD7E43">
            <w:pPr>
              <w:pStyle w:val="SingleTxtG"/>
              <w:ind w:left="0" w:right="0"/>
              <w:rPr>
                <w:rFonts w:ascii="Cambria" w:hAnsi="Cambria"/>
              </w:rPr>
            </w:pPr>
            <w:r w:rsidRPr="00DD7E43">
              <w:rPr>
                <w:rFonts w:ascii="Cambria" w:hAnsi="Cambria"/>
                <w:b/>
              </w:rPr>
              <w:t>Note:</w:t>
            </w:r>
            <w:r w:rsidR="00546B8C">
              <w:rPr>
                <w:rFonts w:ascii="Cambria" w:hAnsi="Cambria"/>
              </w:rPr>
              <w:t xml:space="preserve"> </w:t>
            </w:r>
            <w:r w:rsidR="00546B8C" w:rsidRPr="00546B8C">
              <w:rPr>
                <w:rFonts w:ascii="Cambria" w:hAnsi="Cambria"/>
              </w:rPr>
              <w:t>On the use of discretion as to the appropriate enforcement strat</w:t>
            </w:r>
            <w:r w:rsidR="002F6DC5">
              <w:rPr>
                <w:rFonts w:ascii="Cambria" w:hAnsi="Cambria"/>
              </w:rPr>
              <w:t>egy, see 4.3, 4.4 and 5.1 above</w:t>
            </w:r>
            <w:r w:rsidR="00546B8C" w:rsidRPr="00546B8C">
              <w:rPr>
                <w:rFonts w:ascii="Cambria" w:hAnsi="Cambria"/>
              </w:rPr>
              <w:t>.</w:t>
            </w:r>
          </w:p>
          <w:p w:rsidR="00082881" w:rsidRPr="009F0D3E" w:rsidRDefault="00FD65A3" w:rsidP="00546B8C">
            <w:pPr>
              <w:pStyle w:val="SingleTxtG"/>
              <w:ind w:left="0" w:right="0"/>
              <w:rPr>
                <w:rFonts w:ascii="Cambria" w:hAnsi="Cambria"/>
                <w:color w:val="000000" w:themeColor="text1"/>
              </w:rPr>
            </w:pPr>
            <w:r w:rsidRPr="0087408A">
              <w:rPr>
                <w:rFonts w:ascii="Cambria" w:hAnsi="Cambria"/>
                <w:b/>
                <w:i/>
              </w:rPr>
              <w:t xml:space="preserve">Note: </w:t>
            </w:r>
            <w:r w:rsidR="00DC1D78">
              <w:rPr>
                <w:rFonts w:ascii="Cambria" w:hAnsi="Cambria"/>
                <w:b/>
                <w:i/>
              </w:rPr>
              <w:t xml:space="preserve">The above list </w:t>
            </w:r>
            <w:r w:rsidR="009F0D3E">
              <w:rPr>
                <w:rFonts w:ascii="Cambria" w:hAnsi="Cambria"/>
                <w:b/>
                <w:i/>
              </w:rPr>
              <w:t xml:space="preserve">of sanctions and remedies potentially applicable to corporate entities </w:t>
            </w:r>
            <w:r w:rsidR="00DC1D78">
              <w:rPr>
                <w:rFonts w:ascii="Cambria" w:hAnsi="Cambria"/>
                <w:b/>
                <w:i/>
              </w:rPr>
              <w:t>is drawn from domestic public law regimes from many different jurisdictions. The list is drawn from domestic legal regimes that regulate corporate behavio</w:t>
            </w:r>
            <w:r w:rsidR="002F6DC5">
              <w:rPr>
                <w:rFonts w:ascii="Cambria" w:hAnsi="Cambria"/>
                <w:b/>
                <w:i/>
              </w:rPr>
              <w:t>u</w:t>
            </w:r>
            <w:r w:rsidR="00DC1D78">
              <w:rPr>
                <w:rFonts w:ascii="Cambria" w:hAnsi="Cambria"/>
                <w:b/>
                <w:i/>
              </w:rPr>
              <w:t xml:space="preserve">r, including (but not limited to) domestic law regimes that regulate respect for human rights directly. </w:t>
            </w:r>
            <w:r w:rsidR="009F0D3E">
              <w:rPr>
                <w:rFonts w:ascii="Cambria" w:hAnsi="Cambria"/>
                <w:b/>
                <w:i/>
              </w:rPr>
              <w:t>However, i</w:t>
            </w:r>
            <w:r w:rsidRPr="0087408A">
              <w:rPr>
                <w:rFonts w:ascii="Cambria" w:hAnsi="Cambria"/>
                <w:b/>
                <w:i/>
              </w:rPr>
              <w:t xml:space="preserve">n practice, domestic public law regimes do not </w:t>
            </w:r>
            <w:r w:rsidR="00DC1D78">
              <w:rPr>
                <w:rFonts w:ascii="Cambria" w:hAnsi="Cambria"/>
                <w:b/>
                <w:i/>
              </w:rPr>
              <w:t>provide for</w:t>
            </w:r>
            <w:r w:rsidRPr="0087408A">
              <w:rPr>
                <w:rFonts w:ascii="Cambria" w:hAnsi="Cambria"/>
                <w:b/>
                <w:i/>
              </w:rPr>
              <w:t xml:space="preserve"> </w:t>
            </w:r>
            <w:r>
              <w:rPr>
                <w:rFonts w:ascii="Cambria" w:hAnsi="Cambria"/>
                <w:b/>
                <w:i/>
              </w:rPr>
              <w:t>all of these sanctions</w:t>
            </w:r>
            <w:r w:rsidR="00DC1D78">
              <w:rPr>
                <w:rFonts w:ascii="Cambria" w:hAnsi="Cambria"/>
                <w:b/>
                <w:i/>
              </w:rPr>
              <w:t xml:space="preserve"> and remedies</w:t>
            </w:r>
            <w:r w:rsidRPr="0087408A">
              <w:rPr>
                <w:rFonts w:ascii="Cambria" w:hAnsi="Cambria"/>
                <w:b/>
                <w:i/>
              </w:rPr>
              <w:t xml:space="preserve">.  Instead, different </w:t>
            </w:r>
            <w:r w:rsidR="00DC1D78">
              <w:rPr>
                <w:rFonts w:ascii="Cambria" w:hAnsi="Cambria"/>
                <w:b/>
                <w:i/>
              </w:rPr>
              <w:t xml:space="preserve">sanctions and remedies are </w:t>
            </w:r>
            <w:r w:rsidRPr="0087408A">
              <w:rPr>
                <w:rFonts w:ascii="Cambria" w:hAnsi="Cambria"/>
                <w:b/>
                <w:i/>
              </w:rPr>
              <w:t>used in combination, or in the alternative, depending on the relevant policy objectives and regulatory needs.</w:t>
            </w:r>
            <w:r w:rsidR="00546B8C" w:rsidRPr="0087408A" w:rsidDel="00546B8C">
              <w:rPr>
                <w:rFonts w:ascii="Cambria" w:hAnsi="Cambria"/>
                <w:b/>
                <w:i/>
              </w:rPr>
              <w:t xml:space="preserve"> </w:t>
            </w:r>
          </w:p>
        </w:tc>
      </w:tr>
    </w:tbl>
    <w:p w:rsidR="00082881" w:rsidRPr="008B11B2" w:rsidRDefault="0008288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11.2</w:t>
      </w:r>
      <w:r w:rsidRPr="008B11B2">
        <w:rPr>
          <w:rFonts w:ascii="Cambria" w:hAnsi="Cambria"/>
          <w:b/>
          <w:sz w:val="22"/>
          <w:szCs w:val="22"/>
        </w:rPr>
        <w:tab/>
        <w:t>In each case, the sanctions imposed on companies: (a) are proportional to the gravity of the abuse and the harm suffered; (b) reflect the degree of culpability of the relevant company (e.g. as demonstrated by whether the company exercised appropriate human rights due diligence, the strength and effectiveness of the company’s legal compliance efforts, any history of similar conduct, whether the company had responded adequately to warnings and other relevant factors); (c) are designed in such a way as to minimize the risks of repetition or continuation of the abuse and/or harm; (d) are sufficiently dissuasive to be a credible deterrent to that company, and others, from engaging in the prohibited behaviour; and (e) take into account gender issues and the particular needs of individuals or groups at heightened risk of vulnerability or marginalization.</w:t>
      </w:r>
    </w:p>
    <w:p w:rsidR="00082881" w:rsidRDefault="00082881" w:rsidP="0008288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Default="00082881" w:rsidP="004F60D5">
            <w:pPr>
              <w:pStyle w:val="SingleTxtG"/>
              <w:ind w:left="0" w:right="0"/>
              <w:rPr>
                <w:rFonts w:ascii="Cambria" w:hAnsi="Cambria"/>
                <w:b/>
                <w:sz w:val="22"/>
                <w:szCs w:val="22"/>
              </w:rPr>
            </w:pPr>
            <w:r>
              <w:rPr>
                <w:rFonts w:ascii="Cambria" w:hAnsi="Cambria"/>
                <w:b/>
                <w:sz w:val="22"/>
                <w:szCs w:val="22"/>
              </w:rPr>
              <w:t>Illustrative example</w:t>
            </w:r>
            <w:r w:rsidR="00B63529">
              <w:rPr>
                <w:rFonts w:ascii="Cambria" w:hAnsi="Cambria"/>
                <w:b/>
                <w:sz w:val="22"/>
                <w:szCs w:val="22"/>
              </w:rPr>
              <w:t>s</w:t>
            </w:r>
            <w:r>
              <w:rPr>
                <w:rFonts w:ascii="Cambria" w:hAnsi="Cambria"/>
                <w:b/>
                <w:sz w:val="22"/>
                <w:szCs w:val="22"/>
              </w:rPr>
              <w:t>: 11.2</w:t>
            </w:r>
          </w:p>
          <w:p w:rsidR="00495131" w:rsidRDefault="006B15E1" w:rsidP="00B63529">
            <w:pPr>
              <w:jc w:val="both"/>
              <w:rPr>
                <w:rFonts w:ascii="Cambria" w:hAnsi="Cambria"/>
                <w:sz w:val="20"/>
                <w:szCs w:val="20"/>
              </w:rPr>
            </w:pPr>
            <w:r>
              <w:rPr>
                <w:rFonts w:ascii="Cambria" w:hAnsi="Cambria"/>
                <w:sz w:val="20"/>
                <w:szCs w:val="20"/>
              </w:rPr>
              <w:t xml:space="preserve">A. The following factors are </w:t>
            </w:r>
            <w:r w:rsidR="00A00713">
              <w:rPr>
                <w:rFonts w:ascii="Cambria" w:hAnsi="Cambria"/>
                <w:sz w:val="20"/>
                <w:szCs w:val="20"/>
              </w:rPr>
              <w:t>commonly</w:t>
            </w:r>
            <w:r>
              <w:rPr>
                <w:rFonts w:ascii="Cambria" w:hAnsi="Cambria"/>
                <w:sz w:val="20"/>
                <w:szCs w:val="20"/>
              </w:rPr>
              <w:t xml:space="preserve"> mentioned in sentencing policies developed for the purposes of domestic public law regimes relating to corporate conduct as matters to be taken into account in the determination of suitable sanctions</w:t>
            </w:r>
            <w:r w:rsidR="00A00713">
              <w:rPr>
                <w:rFonts w:ascii="Cambria" w:hAnsi="Cambria"/>
                <w:sz w:val="20"/>
                <w:szCs w:val="20"/>
              </w:rPr>
              <w:t xml:space="preserve"> and remedies in specific cases;</w:t>
            </w:r>
          </w:p>
          <w:p w:rsidR="00495131" w:rsidRDefault="00495131" w:rsidP="00B63529">
            <w:pPr>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r>
              <w:rPr>
                <w:rFonts w:ascii="Cambria" w:hAnsi="Cambria"/>
                <w:sz w:val="20"/>
                <w:szCs w:val="20"/>
              </w:rPr>
              <w:t>issues relating to the level of intent, such as degree of planning, pre-mediation;</w:t>
            </w:r>
          </w:p>
          <w:p w:rsidR="00A00713" w:rsidRPr="00A00713" w:rsidRDefault="00A00713" w:rsidP="00A00713">
            <w:pPr>
              <w:ind w:left="360"/>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r>
              <w:rPr>
                <w:rFonts w:ascii="Cambria" w:hAnsi="Cambria"/>
                <w:sz w:val="20"/>
                <w:szCs w:val="20"/>
              </w:rPr>
              <w:t>seniority of personnel responsible for wrongdoing;</w:t>
            </w:r>
          </w:p>
          <w:p w:rsidR="00A00713" w:rsidRPr="00A00713" w:rsidRDefault="00A00713" w:rsidP="00A00713">
            <w:pPr>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r>
              <w:rPr>
                <w:rFonts w:ascii="Cambria" w:hAnsi="Cambria"/>
                <w:sz w:val="20"/>
                <w:szCs w:val="20"/>
              </w:rPr>
              <w:t>whether there is a past history of similar conduct;</w:t>
            </w:r>
          </w:p>
          <w:p w:rsidR="00A00713" w:rsidRPr="00A00713" w:rsidRDefault="00A00713" w:rsidP="00A00713">
            <w:pPr>
              <w:jc w:val="both"/>
              <w:rPr>
                <w:rFonts w:ascii="Cambria" w:hAnsi="Cambria"/>
                <w:sz w:val="20"/>
                <w:szCs w:val="20"/>
              </w:rPr>
            </w:pPr>
          </w:p>
          <w:p w:rsidR="0010410D" w:rsidRDefault="0010410D" w:rsidP="00E623C2">
            <w:pPr>
              <w:pStyle w:val="ListParagraph"/>
              <w:numPr>
                <w:ilvl w:val="0"/>
                <w:numId w:val="28"/>
              </w:numPr>
              <w:jc w:val="both"/>
              <w:rPr>
                <w:rFonts w:ascii="Cambria" w:hAnsi="Cambria"/>
                <w:sz w:val="20"/>
                <w:szCs w:val="20"/>
              </w:rPr>
            </w:pPr>
            <w:r>
              <w:rPr>
                <w:rFonts w:ascii="Cambria" w:hAnsi="Cambria"/>
                <w:sz w:val="20"/>
                <w:szCs w:val="20"/>
              </w:rPr>
              <w:t>whether there was a c</w:t>
            </w:r>
            <w:r w:rsidR="00A00713">
              <w:rPr>
                <w:rFonts w:ascii="Cambria" w:hAnsi="Cambria"/>
                <w:sz w:val="20"/>
                <w:szCs w:val="20"/>
              </w:rPr>
              <w:t>ultural tolerance of wrongdoing;</w:t>
            </w:r>
          </w:p>
          <w:p w:rsidR="00A00713" w:rsidRPr="00A00713" w:rsidRDefault="00A00713" w:rsidP="00A00713">
            <w:pPr>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proofErr w:type="gramStart"/>
            <w:r>
              <w:rPr>
                <w:rFonts w:ascii="Cambria" w:hAnsi="Cambria"/>
                <w:sz w:val="20"/>
                <w:szCs w:val="20"/>
              </w:rPr>
              <w:t>extent</w:t>
            </w:r>
            <w:proofErr w:type="gramEnd"/>
            <w:r>
              <w:rPr>
                <w:rFonts w:ascii="Cambria" w:hAnsi="Cambria"/>
                <w:sz w:val="20"/>
                <w:szCs w:val="20"/>
              </w:rPr>
              <w:t xml:space="preserve"> and effectiveness of compliance and due diligence procedures, or “corporate integrity” </w:t>
            </w:r>
            <w:r w:rsidRPr="00A10D39">
              <w:rPr>
                <w:rFonts w:ascii="Cambria" w:hAnsi="Cambria"/>
                <w:sz w:val="20"/>
                <w:szCs w:val="20"/>
              </w:rPr>
              <w:t>programmes;</w:t>
            </w:r>
            <w:r w:rsidR="0010410D">
              <w:rPr>
                <w:rFonts w:ascii="Cambria" w:hAnsi="Cambria"/>
                <w:sz w:val="20"/>
                <w:szCs w:val="20"/>
              </w:rPr>
              <w:t xml:space="preserve"> existence and effectiveness of voluntary auditing programmes</w:t>
            </w:r>
            <w:r w:rsidR="00784842">
              <w:rPr>
                <w:rFonts w:ascii="Cambria" w:hAnsi="Cambria"/>
                <w:sz w:val="20"/>
                <w:szCs w:val="20"/>
              </w:rPr>
              <w:t xml:space="preserve">.  </w:t>
            </w:r>
            <w:r w:rsidR="00DD7E43" w:rsidRPr="00DD7E43">
              <w:rPr>
                <w:rFonts w:ascii="Cambria" w:hAnsi="Cambria"/>
                <w:b/>
                <w:sz w:val="20"/>
                <w:szCs w:val="20"/>
              </w:rPr>
              <w:t>Note:</w:t>
            </w:r>
            <w:r w:rsidR="00784842">
              <w:rPr>
                <w:rFonts w:ascii="Cambria" w:hAnsi="Cambria"/>
                <w:sz w:val="20"/>
                <w:szCs w:val="20"/>
              </w:rPr>
              <w:t xml:space="preserve"> On ensuring </w:t>
            </w:r>
            <w:r w:rsidR="00784842">
              <w:rPr>
                <w:rFonts w:ascii="Cambria" w:hAnsi="Cambria"/>
                <w:sz w:val="20"/>
                <w:szCs w:val="20"/>
              </w:rPr>
              <w:lastRenderedPageBreak/>
              <w:t xml:space="preserve">that decision-making by State agencies and judicial bodies is taken in light of appropriate due diligence standards, see </w:t>
            </w:r>
            <w:r w:rsidR="00B824DF">
              <w:rPr>
                <w:rFonts w:ascii="Cambria" w:hAnsi="Cambria"/>
                <w:sz w:val="20"/>
                <w:szCs w:val="20"/>
              </w:rPr>
              <w:t>3.4, 4.2 and 6.1 above</w:t>
            </w:r>
            <w:r w:rsidR="0010410D">
              <w:rPr>
                <w:rFonts w:ascii="Cambria" w:hAnsi="Cambria"/>
                <w:sz w:val="20"/>
                <w:szCs w:val="20"/>
              </w:rPr>
              <w:t>;</w:t>
            </w:r>
          </w:p>
          <w:p w:rsidR="00A00713" w:rsidRPr="00A00713" w:rsidRDefault="00A00713" w:rsidP="00A00713">
            <w:pPr>
              <w:jc w:val="both"/>
              <w:rPr>
                <w:rFonts w:ascii="Cambria" w:hAnsi="Cambria"/>
                <w:sz w:val="20"/>
                <w:szCs w:val="20"/>
              </w:rPr>
            </w:pPr>
          </w:p>
          <w:p w:rsidR="00495131" w:rsidRDefault="00A10D39" w:rsidP="00E623C2">
            <w:pPr>
              <w:pStyle w:val="ListParagraph"/>
              <w:numPr>
                <w:ilvl w:val="0"/>
                <w:numId w:val="28"/>
              </w:numPr>
              <w:jc w:val="both"/>
              <w:rPr>
                <w:rFonts w:ascii="Cambria" w:hAnsi="Cambria"/>
                <w:sz w:val="20"/>
                <w:szCs w:val="20"/>
              </w:rPr>
            </w:pPr>
            <w:r w:rsidRPr="00A10D39">
              <w:rPr>
                <w:rFonts w:ascii="Cambria" w:hAnsi="Cambria"/>
                <w:sz w:val="20"/>
                <w:szCs w:val="20"/>
              </w:rPr>
              <w:t>amount of economic advantage obtained from wrongful conduct;</w:t>
            </w:r>
          </w:p>
          <w:p w:rsidR="00A00713" w:rsidRPr="00A00713" w:rsidRDefault="00A00713" w:rsidP="00A00713">
            <w:pPr>
              <w:jc w:val="both"/>
              <w:rPr>
                <w:rFonts w:ascii="Cambria" w:hAnsi="Cambria"/>
                <w:sz w:val="20"/>
                <w:szCs w:val="20"/>
              </w:rPr>
            </w:pPr>
          </w:p>
          <w:p w:rsidR="00A10D39" w:rsidRDefault="00A10D39" w:rsidP="00E623C2">
            <w:pPr>
              <w:pStyle w:val="ListParagraph"/>
              <w:numPr>
                <w:ilvl w:val="0"/>
                <w:numId w:val="28"/>
              </w:numPr>
              <w:jc w:val="both"/>
              <w:rPr>
                <w:rFonts w:ascii="Cambria" w:hAnsi="Cambria"/>
                <w:sz w:val="20"/>
                <w:szCs w:val="20"/>
              </w:rPr>
            </w:pPr>
            <w:r w:rsidRPr="00A10D39">
              <w:rPr>
                <w:rFonts w:ascii="Cambria" w:hAnsi="Cambria"/>
                <w:sz w:val="20"/>
                <w:szCs w:val="20"/>
              </w:rPr>
              <w:t>gravity of harm suffered by victim (or victims);</w:t>
            </w:r>
          </w:p>
          <w:p w:rsidR="00A00713" w:rsidRPr="00A00713" w:rsidRDefault="00A00713" w:rsidP="00A00713">
            <w:pPr>
              <w:jc w:val="both"/>
              <w:rPr>
                <w:rFonts w:ascii="Cambria" w:hAnsi="Cambria"/>
                <w:sz w:val="20"/>
                <w:szCs w:val="20"/>
              </w:rPr>
            </w:pPr>
          </w:p>
          <w:p w:rsidR="00A00713" w:rsidRDefault="00A10D39" w:rsidP="00E623C2">
            <w:pPr>
              <w:pStyle w:val="ListParagraph"/>
              <w:numPr>
                <w:ilvl w:val="0"/>
                <w:numId w:val="28"/>
              </w:numPr>
              <w:jc w:val="both"/>
              <w:rPr>
                <w:rFonts w:ascii="Cambria" w:hAnsi="Cambria"/>
                <w:sz w:val="20"/>
                <w:szCs w:val="20"/>
              </w:rPr>
            </w:pPr>
            <w:r>
              <w:rPr>
                <w:rFonts w:ascii="Cambria" w:hAnsi="Cambria"/>
                <w:sz w:val="20"/>
                <w:szCs w:val="20"/>
              </w:rPr>
              <w:t>extent to which the company has cooper</w:t>
            </w:r>
            <w:r w:rsidR="00A00713">
              <w:rPr>
                <w:rFonts w:ascii="Cambria" w:hAnsi="Cambria"/>
                <w:sz w:val="20"/>
                <w:szCs w:val="20"/>
              </w:rPr>
              <w:t>ated with enforcement agencies;</w:t>
            </w:r>
          </w:p>
          <w:p w:rsidR="00A00713" w:rsidRPr="00A00713" w:rsidRDefault="00A00713" w:rsidP="00A00713">
            <w:pPr>
              <w:pStyle w:val="ListParagraph"/>
              <w:rPr>
                <w:rFonts w:ascii="Cambria" w:hAnsi="Cambria"/>
                <w:sz w:val="20"/>
                <w:szCs w:val="20"/>
              </w:rPr>
            </w:pPr>
          </w:p>
          <w:p w:rsidR="00A00713" w:rsidRDefault="00A10D39" w:rsidP="00E623C2">
            <w:pPr>
              <w:pStyle w:val="ListParagraph"/>
              <w:numPr>
                <w:ilvl w:val="0"/>
                <w:numId w:val="28"/>
              </w:numPr>
              <w:jc w:val="both"/>
              <w:rPr>
                <w:rFonts w:ascii="Cambria" w:hAnsi="Cambria"/>
                <w:sz w:val="20"/>
                <w:szCs w:val="20"/>
              </w:rPr>
            </w:pPr>
            <w:r>
              <w:rPr>
                <w:rFonts w:ascii="Cambria" w:hAnsi="Cambria"/>
                <w:sz w:val="20"/>
                <w:szCs w:val="20"/>
              </w:rPr>
              <w:t>extent to which the company has sought to conceal wrongdoing, or t</w:t>
            </w:r>
            <w:r w:rsidR="00A00713">
              <w:rPr>
                <w:rFonts w:ascii="Cambria" w:hAnsi="Cambria"/>
                <w:sz w:val="20"/>
                <w:szCs w:val="20"/>
              </w:rPr>
              <w:t>he economic advantage obtained;</w:t>
            </w:r>
          </w:p>
          <w:p w:rsidR="00A00713" w:rsidRPr="00A00713" w:rsidRDefault="00A00713" w:rsidP="00A00713">
            <w:pPr>
              <w:pStyle w:val="ListParagraph"/>
              <w:rPr>
                <w:rFonts w:ascii="Cambria" w:hAnsi="Cambria"/>
                <w:sz w:val="20"/>
                <w:szCs w:val="20"/>
              </w:rPr>
            </w:pPr>
          </w:p>
          <w:p w:rsidR="00A00713" w:rsidRDefault="00A00713" w:rsidP="00E623C2">
            <w:pPr>
              <w:pStyle w:val="ListParagraph"/>
              <w:numPr>
                <w:ilvl w:val="0"/>
                <w:numId w:val="28"/>
              </w:numPr>
              <w:jc w:val="both"/>
              <w:rPr>
                <w:rFonts w:ascii="Cambria" w:hAnsi="Cambria"/>
                <w:sz w:val="20"/>
                <w:szCs w:val="20"/>
              </w:rPr>
            </w:pPr>
            <w:r>
              <w:rPr>
                <w:rFonts w:ascii="Cambria" w:hAnsi="Cambria"/>
                <w:sz w:val="20"/>
                <w:szCs w:val="20"/>
              </w:rPr>
              <w:t>early acknowledgement of guilt;</w:t>
            </w:r>
          </w:p>
          <w:p w:rsidR="00A00713" w:rsidRPr="00A00713" w:rsidRDefault="00A00713" w:rsidP="00A00713">
            <w:pPr>
              <w:pStyle w:val="ListParagraph"/>
              <w:rPr>
                <w:rFonts w:ascii="Cambria" w:hAnsi="Cambria"/>
                <w:sz w:val="20"/>
                <w:szCs w:val="20"/>
              </w:rPr>
            </w:pPr>
          </w:p>
          <w:p w:rsidR="00A10D39" w:rsidRDefault="00A10D39" w:rsidP="00E623C2">
            <w:pPr>
              <w:pStyle w:val="ListParagraph"/>
              <w:numPr>
                <w:ilvl w:val="0"/>
                <w:numId w:val="28"/>
              </w:numPr>
              <w:jc w:val="both"/>
              <w:rPr>
                <w:rFonts w:ascii="Cambria" w:hAnsi="Cambria"/>
                <w:sz w:val="20"/>
                <w:szCs w:val="20"/>
              </w:rPr>
            </w:pPr>
            <w:r>
              <w:rPr>
                <w:rFonts w:ascii="Cambria" w:hAnsi="Cambria"/>
                <w:sz w:val="20"/>
                <w:szCs w:val="20"/>
              </w:rPr>
              <w:t>speed with which the company self-reported wrongdoing to authorities;</w:t>
            </w:r>
          </w:p>
          <w:p w:rsidR="00A00713" w:rsidRPr="00A00713" w:rsidRDefault="00A00713" w:rsidP="00A00713">
            <w:pPr>
              <w:jc w:val="both"/>
              <w:rPr>
                <w:rFonts w:ascii="Cambria" w:hAnsi="Cambria"/>
                <w:sz w:val="20"/>
                <w:szCs w:val="20"/>
              </w:rPr>
            </w:pPr>
          </w:p>
          <w:p w:rsidR="00A10D39" w:rsidRPr="00A10D39" w:rsidRDefault="00A10D39" w:rsidP="00E623C2">
            <w:pPr>
              <w:pStyle w:val="ListParagraph"/>
              <w:numPr>
                <w:ilvl w:val="0"/>
                <w:numId w:val="28"/>
              </w:numPr>
              <w:jc w:val="both"/>
              <w:rPr>
                <w:rFonts w:ascii="Cambria" w:hAnsi="Cambria"/>
                <w:sz w:val="20"/>
                <w:szCs w:val="20"/>
              </w:rPr>
            </w:pPr>
            <w:proofErr w:type="gramStart"/>
            <w:r>
              <w:rPr>
                <w:rFonts w:ascii="Cambria" w:hAnsi="Cambria"/>
                <w:sz w:val="20"/>
                <w:szCs w:val="20"/>
              </w:rPr>
              <w:t>extent</w:t>
            </w:r>
            <w:proofErr w:type="gramEnd"/>
            <w:r>
              <w:rPr>
                <w:rFonts w:ascii="Cambria" w:hAnsi="Cambria"/>
                <w:sz w:val="20"/>
                <w:szCs w:val="20"/>
              </w:rPr>
              <w:t xml:space="preserve"> to which company has already taken corrective action and/or ceased the wrongdoing</w:t>
            </w:r>
            <w:r w:rsidR="0048043A">
              <w:rPr>
                <w:rFonts w:ascii="Cambria" w:hAnsi="Cambria"/>
                <w:sz w:val="20"/>
                <w:szCs w:val="20"/>
              </w:rPr>
              <w:t>.</w:t>
            </w:r>
          </w:p>
          <w:p w:rsidR="006B15E1" w:rsidRPr="006B15E1" w:rsidRDefault="006B15E1" w:rsidP="00B63529">
            <w:pPr>
              <w:jc w:val="both"/>
              <w:rPr>
                <w:rFonts w:ascii="Cambria" w:hAnsi="Cambria"/>
                <w:sz w:val="20"/>
                <w:szCs w:val="20"/>
              </w:rPr>
            </w:pPr>
          </w:p>
          <w:p w:rsidR="006B15E1" w:rsidRDefault="00A10D39" w:rsidP="00B63529">
            <w:pPr>
              <w:jc w:val="both"/>
              <w:rPr>
                <w:rFonts w:ascii="Cambria" w:hAnsi="Cambria"/>
                <w:sz w:val="20"/>
                <w:szCs w:val="20"/>
              </w:rPr>
            </w:pPr>
            <w:r>
              <w:rPr>
                <w:rFonts w:ascii="Cambria" w:hAnsi="Cambria"/>
                <w:sz w:val="20"/>
                <w:szCs w:val="20"/>
              </w:rPr>
              <w:t xml:space="preserve">B. With respect to the quantum of monetary penalties, </w:t>
            </w:r>
            <w:r w:rsidR="0010410D">
              <w:rPr>
                <w:rFonts w:ascii="Cambria" w:hAnsi="Cambria"/>
                <w:sz w:val="20"/>
                <w:szCs w:val="20"/>
              </w:rPr>
              <w:t xml:space="preserve">additional </w:t>
            </w:r>
            <w:r>
              <w:rPr>
                <w:rFonts w:ascii="Cambria" w:hAnsi="Cambria"/>
                <w:sz w:val="20"/>
                <w:szCs w:val="20"/>
              </w:rPr>
              <w:t>issues that may be taken account of under different domestic</w:t>
            </w:r>
            <w:r w:rsidR="00A00713">
              <w:rPr>
                <w:rFonts w:ascii="Cambria" w:hAnsi="Cambria"/>
                <w:sz w:val="20"/>
                <w:szCs w:val="20"/>
              </w:rPr>
              <w:t xml:space="preserve"> public law regimes may include;</w:t>
            </w:r>
          </w:p>
          <w:p w:rsidR="00A00713" w:rsidRDefault="00A00713" w:rsidP="00B63529">
            <w:pPr>
              <w:jc w:val="both"/>
              <w:rPr>
                <w:rFonts w:ascii="Cambria" w:hAnsi="Cambria"/>
                <w:sz w:val="20"/>
                <w:szCs w:val="20"/>
              </w:rPr>
            </w:pPr>
          </w:p>
          <w:p w:rsidR="0010410D" w:rsidRDefault="002F6DC5" w:rsidP="00E623C2">
            <w:pPr>
              <w:pStyle w:val="ListParagraph"/>
              <w:numPr>
                <w:ilvl w:val="0"/>
                <w:numId w:val="30"/>
              </w:numPr>
              <w:jc w:val="both"/>
              <w:rPr>
                <w:rFonts w:ascii="Cambria" w:hAnsi="Cambria"/>
                <w:sz w:val="20"/>
                <w:szCs w:val="20"/>
              </w:rPr>
            </w:pPr>
            <w:r>
              <w:rPr>
                <w:rFonts w:ascii="Cambria" w:hAnsi="Cambria"/>
                <w:sz w:val="20"/>
                <w:szCs w:val="20"/>
              </w:rPr>
              <w:t>the company’s annual turnover</w:t>
            </w:r>
            <w:r w:rsidR="0010410D">
              <w:rPr>
                <w:rFonts w:ascii="Cambria" w:hAnsi="Cambria"/>
                <w:sz w:val="20"/>
                <w:szCs w:val="20"/>
              </w:rPr>
              <w:t>;</w:t>
            </w:r>
          </w:p>
          <w:p w:rsidR="00A00713" w:rsidRPr="00A00713" w:rsidRDefault="00A00713" w:rsidP="00A00713">
            <w:pPr>
              <w:ind w:left="360"/>
              <w:jc w:val="both"/>
              <w:rPr>
                <w:rFonts w:ascii="Cambria" w:hAnsi="Cambria"/>
                <w:sz w:val="20"/>
                <w:szCs w:val="20"/>
              </w:rPr>
            </w:pPr>
          </w:p>
          <w:p w:rsidR="005D5940" w:rsidRDefault="0010410D" w:rsidP="00E623C2">
            <w:pPr>
              <w:pStyle w:val="ListParagraph"/>
              <w:numPr>
                <w:ilvl w:val="0"/>
                <w:numId w:val="30"/>
              </w:numPr>
              <w:jc w:val="both"/>
              <w:rPr>
                <w:rFonts w:ascii="Cambria" w:hAnsi="Cambria"/>
                <w:sz w:val="20"/>
                <w:szCs w:val="20"/>
              </w:rPr>
            </w:pPr>
            <w:r>
              <w:rPr>
                <w:rFonts w:ascii="Cambria" w:hAnsi="Cambria"/>
                <w:sz w:val="20"/>
                <w:szCs w:val="20"/>
              </w:rPr>
              <w:t>the economic benefit of wrongdoing obtained by the company;</w:t>
            </w:r>
          </w:p>
          <w:p w:rsidR="00A00713" w:rsidRPr="00A00713" w:rsidRDefault="00A00713" w:rsidP="00A00713">
            <w:pPr>
              <w:jc w:val="both"/>
              <w:rPr>
                <w:rFonts w:ascii="Cambria" w:hAnsi="Cambria"/>
                <w:sz w:val="20"/>
                <w:szCs w:val="20"/>
              </w:rPr>
            </w:pPr>
          </w:p>
          <w:p w:rsidR="0010410D" w:rsidRPr="00A00713" w:rsidRDefault="0010410D" w:rsidP="00E623C2">
            <w:pPr>
              <w:pStyle w:val="ListParagraph"/>
              <w:numPr>
                <w:ilvl w:val="0"/>
                <w:numId w:val="30"/>
              </w:numPr>
              <w:jc w:val="both"/>
              <w:rPr>
                <w:rFonts w:ascii="Cambria" w:hAnsi="Cambria"/>
                <w:sz w:val="20"/>
                <w:szCs w:val="20"/>
              </w:rPr>
            </w:pPr>
            <w:r>
              <w:rPr>
                <w:rFonts w:ascii="Cambria" w:hAnsi="Cambria"/>
                <w:sz w:val="20"/>
                <w:szCs w:val="20"/>
              </w:rPr>
              <w:t>duration of wrongdoing</w:t>
            </w:r>
            <w:r w:rsidR="00B24402">
              <w:rPr>
                <w:rFonts w:ascii="Cambria" w:hAnsi="Cambria"/>
                <w:i/>
                <w:sz w:val="20"/>
                <w:szCs w:val="20"/>
              </w:rPr>
              <w:t>;</w:t>
            </w:r>
          </w:p>
          <w:p w:rsidR="00A00713" w:rsidRPr="00A00713" w:rsidRDefault="00A00713" w:rsidP="00A00713">
            <w:pPr>
              <w:jc w:val="both"/>
              <w:rPr>
                <w:rFonts w:ascii="Cambria" w:hAnsi="Cambria"/>
                <w:sz w:val="20"/>
                <w:szCs w:val="20"/>
              </w:rPr>
            </w:pPr>
          </w:p>
          <w:p w:rsidR="00A00713" w:rsidRDefault="00DD7E43" w:rsidP="00A00713">
            <w:pPr>
              <w:pStyle w:val="ListParagraph"/>
              <w:numPr>
                <w:ilvl w:val="0"/>
                <w:numId w:val="30"/>
              </w:numPr>
              <w:jc w:val="both"/>
              <w:rPr>
                <w:rFonts w:ascii="Cambria" w:hAnsi="Cambria"/>
                <w:sz w:val="20"/>
                <w:szCs w:val="20"/>
              </w:rPr>
            </w:pPr>
            <w:r w:rsidRPr="00DD7E43">
              <w:rPr>
                <w:rFonts w:ascii="Cambria" w:hAnsi="Cambria"/>
                <w:sz w:val="20"/>
                <w:szCs w:val="20"/>
              </w:rPr>
              <w:t>social and economic consequences</w:t>
            </w:r>
            <w:r w:rsidR="00A00713">
              <w:rPr>
                <w:rFonts w:ascii="Cambria" w:hAnsi="Cambria"/>
                <w:sz w:val="20"/>
                <w:szCs w:val="20"/>
              </w:rPr>
              <w:t>;</w:t>
            </w:r>
          </w:p>
          <w:p w:rsidR="00A00713" w:rsidRPr="00A00713" w:rsidRDefault="00A00713" w:rsidP="00A00713">
            <w:pPr>
              <w:jc w:val="both"/>
              <w:rPr>
                <w:rFonts w:ascii="Cambria" w:hAnsi="Cambria"/>
                <w:sz w:val="20"/>
                <w:szCs w:val="20"/>
              </w:rPr>
            </w:pPr>
          </w:p>
          <w:p w:rsidR="00B24402" w:rsidRPr="00B24402" w:rsidRDefault="00B24402" w:rsidP="00E623C2">
            <w:pPr>
              <w:pStyle w:val="ListParagraph"/>
              <w:numPr>
                <w:ilvl w:val="0"/>
                <w:numId w:val="30"/>
              </w:numPr>
              <w:jc w:val="both"/>
              <w:rPr>
                <w:rFonts w:ascii="Cambria" w:hAnsi="Cambria"/>
                <w:sz w:val="20"/>
                <w:szCs w:val="20"/>
              </w:rPr>
            </w:pPr>
            <w:r w:rsidRPr="0010410D">
              <w:rPr>
                <w:rFonts w:ascii="Cambria" w:hAnsi="Cambria"/>
                <w:sz w:val="20"/>
                <w:szCs w:val="20"/>
              </w:rPr>
              <w:t>public interest</w:t>
            </w:r>
            <w:r w:rsidR="00690614">
              <w:rPr>
                <w:rFonts w:ascii="Cambria" w:hAnsi="Cambria"/>
                <w:sz w:val="20"/>
                <w:szCs w:val="20"/>
              </w:rPr>
              <w:t xml:space="preserve"> considerations</w:t>
            </w:r>
          </w:p>
          <w:p w:rsidR="0010410D" w:rsidRDefault="0010410D" w:rsidP="00765829">
            <w:pPr>
              <w:pStyle w:val="SingleTxtG"/>
              <w:ind w:left="0" w:right="0"/>
              <w:rPr>
                <w:rFonts w:ascii="Cambria" w:hAnsi="Cambria"/>
              </w:rPr>
            </w:pPr>
          </w:p>
          <w:p w:rsidR="00784842" w:rsidRDefault="00A10D39" w:rsidP="00784842">
            <w:pPr>
              <w:pStyle w:val="SingleTxtG"/>
              <w:ind w:left="0" w:right="0"/>
              <w:rPr>
                <w:rFonts w:ascii="Cambria" w:hAnsi="Cambria"/>
              </w:rPr>
            </w:pPr>
            <w:r>
              <w:rPr>
                <w:rFonts w:ascii="Cambria" w:hAnsi="Cambria"/>
              </w:rPr>
              <w:t>C</w:t>
            </w:r>
            <w:r w:rsidR="0010410D">
              <w:rPr>
                <w:rFonts w:ascii="Cambria" w:hAnsi="Cambria"/>
              </w:rPr>
              <w:t xml:space="preserve">. </w:t>
            </w:r>
            <w:r w:rsidR="00784842">
              <w:rPr>
                <w:rFonts w:ascii="Cambria" w:hAnsi="Cambria"/>
              </w:rPr>
              <w:t>Methods for calculating the quantu</w:t>
            </w:r>
            <w:r w:rsidR="00A00713">
              <w:rPr>
                <w:rFonts w:ascii="Cambria" w:hAnsi="Cambria"/>
              </w:rPr>
              <w:t>m of monetary penalties include;</w:t>
            </w:r>
          </w:p>
          <w:p w:rsidR="0006191C" w:rsidRDefault="00784842">
            <w:pPr>
              <w:pStyle w:val="SingleTxtG"/>
              <w:numPr>
                <w:ilvl w:val="0"/>
                <w:numId w:val="61"/>
              </w:numPr>
              <w:ind w:right="0"/>
              <w:rPr>
                <w:rFonts w:ascii="Cambria" w:hAnsi="Cambria"/>
              </w:rPr>
            </w:pPr>
            <w:r>
              <w:rPr>
                <w:rFonts w:ascii="Cambria" w:hAnsi="Cambria"/>
              </w:rPr>
              <w:t>application of</w:t>
            </w:r>
            <w:r w:rsidR="00765829">
              <w:rPr>
                <w:rFonts w:ascii="Cambria" w:hAnsi="Cambria"/>
              </w:rPr>
              <w:t xml:space="preserve"> a formula to determine suitable financial penalties for corporate entities in respect of offences where the usual punishment would be imprisonment (e.g. based on the nu</w:t>
            </w:r>
            <w:r w:rsidR="00A00713">
              <w:rPr>
                <w:rFonts w:ascii="Cambria" w:hAnsi="Cambria"/>
              </w:rPr>
              <w:t>mber of months of imprisonment);</w:t>
            </w:r>
          </w:p>
          <w:p w:rsidR="0006191C" w:rsidRDefault="00784842">
            <w:pPr>
              <w:pStyle w:val="SingleTxtG"/>
              <w:numPr>
                <w:ilvl w:val="0"/>
                <w:numId w:val="61"/>
              </w:numPr>
              <w:ind w:right="0"/>
              <w:rPr>
                <w:rFonts w:ascii="Cambria" w:hAnsi="Cambria"/>
              </w:rPr>
            </w:pPr>
            <w:r>
              <w:rPr>
                <w:rFonts w:ascii="Cambria" w:hAnsi="Cambria"/>
              </w:rPr>
              <w:t xml:space="preserve">application of a formula which links the monetary penalties to </w:t>
            </w:r>
            <w:r w:rsidR="00765829">
              <w:rPr>
                <w:rFonts w:ascii="Cambria" w:hAnsi="Cambria"/>
              </w:rPr>
              <w:t xml:space="preserve">the financial benefit derived from the commission of the offence </w:t>
            </w:r>
            <w:r>
              <w:rPr>
                <w:rFonts w:ascii="Cambria" w:hAnsi="Cambria"/>
              </w:rPr>
              <w:t xml:space="preserve">(e.g. by way of a multiplier) </w:t>
            </w:r>
          </w:p>
          <w:p w:rsidR="0006191C" w:rsidRDefault="00784842">
            <w:pPr>
              <w:pStyle w:val="SingleTxtG"/>
              <w:numPr>
                <w:ilvl w:val="0"/>
                <w:numId w:val="61"/>
              </w:numPr>
              <w:ind w:right="0"/>
              <w:rPr>
                <w:rFonts w:ascii="Cambria" w:hAnsi="Cambria"/>
              </w:rPr>
            </w:pPr>
            <w:proofErr w:type="gramStart"/>
            <w:r>
              <w:rPr>
                <w:rFonts w:ascii="Cambria" w:hAnsi="Cambria"/>
              </w:rPr>
              <w:t>application</w:t>
            </w:r>
            <w:proofErr w:type="gramEnd"/>
            <w:r>
              <w:rPr>
                <w:rFonts w:ascii="Cambria" w:hAnsi="Cambria"/>
              </w:rPr>
              <w:t xml:space="preserve"> of a formula which links the monetary penalties payable by a corporate entity to the monetary penalties that would have been imposed on a natural person (e.g. by way of </w:t>
            </w:r>
            <w:r w:rsidR="00765829">
              <w:rPr>
                <w:rFonts w:ascii="Cambria" w:hAnsi="Cambria"/>
              </w:rPr>
              <w:t>a multiplier or escalator of the fines that would have been applicable to an individual offender</w:t>
            </w:r>
            <w:r w:rsidR="00A00713">
              <w:rPr>
                <w:rFonts w:ascii="Cambria" w:hAnsi="Cambria"/>
              </w:rPr>
              <w:t>)</w:t>
            </w:r>
            <w:r w:rsidR="00765829">
              <w:rPr>
                <w:rFonts w:ascii="Cambria" w:hAnsi="Cambria"/>
              </w:rPr>
              <w:t>.  These calculations may be subject to a cap.</w:t>
            </w:r>
          </w:p>
          <w:p w:rsidR="00100006" w:rsidRDefault="00100006" w:rsidP="00B63529">
            <w:pPr>
              <w:jc w:val="both"/>
              <w:rPr>
                <w:rFonts w:ascii="Cambria" w:hAnsi="Cambria"/>
                <w:sz w:val="20"/>
                <w:szCs w:val="20"/>
              </w:rPr>
            </w:pPr>
          </w:p>
          <w:p w:rsidR="00100006" w:rsidRPr="00EF7950" w:rsidRDefault="00100006" w:rsidP="00B63529">
            <w:pPr>
              <w:jc w:val="both"/>
              <w:rPr>
                <w:rFonts w:ascii="Cambria" w:hAnsi="Cambria"/>
                <w:i/>
                <w:sz w:val="20"/>
                <w:szCs w:val="20"/>
              </w:rPr>
            </w:pPr>
            <w:r w:rsidRPr="0087408A">
              <w:rPr>
                <w:rFonts w:ascii="Cambria" w:hAnsi="Cambria"/>
                <w:b/>
                <w:i/>
                <w:sz w:val="20"/>
                <w:szCs w:val="20"/>
              </w:rPr>
              <w:t xml:space="preserve">Note: </w:t>
            </w:r>
            <w:r>
              <w:rPr>
                <w:rFonts w:ascii="Cambria" w:hAnsi="Cambria"/>
                <w:b/>
                <w:i/>
                <w:sz w:val="20"/>
                <w:szCs w:val="20"/>
              </w:rPr>
              <w:t>The above methods of determining sanctions and remedies are drawn from domestic public law regimes from many different jurisdictions. These methods are drawn from domestic legal regimes that regulate corporate behavior, including (but not limited to) domestic law regimes that regulate respect for human rights directly. However, i</w:t>
            </w:r>
            <w:r w:rsidRPr="0087408A">
              <w:rPr>
                <w:rFonts w:ascii="Cambria" w:hAnsi="Cambria"/>
                <w:b/>
                <w:i/>
                <w:sz w:val="20"/>
                <w:szCs w:val="20"/>
              </w:rPr>
              <w:t xml:space="preserve">n practice, domestic public law regimes do not </w:t>
            </w:r>
            <w:r>
              <w:rPr>
                <w:rFonts w:ascii="Cambria" w:hAnsi="Cambria"/>
                <w:b/>
                <w:i/>
                <w:sz w:val="20"/>
                <w:szCs w:val="20"/>
              </w:rPr>
              <w:t>necessarily utilize all of these methods</w:t>
            </w:r>
            <w:r w:rsidRPr="0087408A">
              <w:rPr>
                <w:rFonts w:ascii="Cambria" w:hAnsi="Cambria"/>
                <w:b/>
                <w:i/>
                <w:sz w:val="20"/>
                <w:szCs w:val="20"/>
              </w:rPr>
              <w:t xml:space="preserve">.  Instead, different </w:t>
            </w:r>
            <w:r>
              <w:rPr>
                <w:rFonts w:ascii="Cambria" w:hAnsi="Cambria"/>
                <w:b/>
                <w:i/>
                <w:sz w:val="20"/>
                <w:szCs w:val="20"/>
              </w:rPr>
              <w:t xml:space="preserve">methods are </w:t>
            </w:r>
            <w:r w:rsidRPr="0087408A">
              <w:rPr>
                <w:rFonts w:ascii="Cambria" w:hAnsi="Cambria"/>
                <w:b/>
                <w:i/>
                <w:sz w:val="20"/>
                <w:szCs w:val="20"/>
              </w:rPr>
              <w:t>used in combination, or in the alternative, depending on the relevant policy objectives and regulatory needs</w:t>
            </w:r>
            <w:r>
              <w:rPr>
                <w:rFonts w:ascii="Cambria" w:hAnsi="Cambria"/>
                <w:b/>
                <w:i/>
                <w:sz w:val="20"/>
                <w:szCs w:val="20"/>
              </w:rPr>
              <w:t>.</w:t>
            </w:r>
          </w:p>
          <w:p w:rsidR="00B63529" w:rsidRDefault="00B63529" w:rsidP="0010410D">
            <w:pPr>
              <w:jc w:val="both"/>
              <w:rPr>
                <w:rFonts w:ascii="Cambria" w:hAnsi="Cambria"/>
                <w:b/>
                <w:sz w:val="22"/>
                <w:szCs w:val="22"/>
              </w:rPr>
            </w:pPr>
          </w:p>
        </w:tc>
      </w:tr>
    </w:tbl>
    <w:p w:rsidR="00082881" w:rsidRPr="008B11B2" w:rsidRDefault="0008288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11.3</w:t>
      </w:r>
      <w:r w:rsidRPr="008B11B2">
        <w:rPr>
          <w:rFonts w:ascii="Cambria" w:hAnsi="Cambria"/>
          <w:b/>
          <w:bCs/>
          <w:sz w:val="22"/>
          <w:szCs w:val="22"/>
        </w:rPr>
        <w:tab/>
        <w:t xml:space="preserve">To the extent possible, </w:t>
      </w:r>
      <w:r w:rsidRPr="008B11B2">
        <w:rPr>
          <w:rFonts w:ascii="Cambria" w:hAnsi="Cambria"/>
          <w:b/>
          <w:sz w:val="22"/>
          <w:szCs w:val="22"/>
        </w:rPr>
        <w:t xml:space="preserve">victims are appropriately consulted: (a) with respect to the design and implementation of sanctions and other remedies; (b) with respect to any decision to enter into a deferred prosecution agreement, and the terms of any such agreement; and (c) with respect to the terms of any settlement. </w:t>
      </w:r>
      <w:r w:rsidR="00B24402">
        <w:rPr>
          <w:rFonts w:ascii="Cambria" w:hAnsi="Cambria"/>
          <w:b/>
          <w:sz w:val="22"/>
          <w:szCs w:val="22"/>
        </w:rPr>
        <w:t xml:space="preserve"> </w:t>
      </w:r>
      <w:r w:rsidRPr="008B11B2">
        <w:rPr>
          <w:rFonts w:ascii="Cambria" w:hAnsi="Cambria"/>
          <w:b/>
          <w:sz w:val="22"/>
          <w:szCs w:val="22"/>
        </w:rPr>
        <w:t xml:space="preserve">Such consultation takes </w:t>
      </w:r>
      <w:r w:rsidRPr="008B11B2">
        <w:rPr>
          <w:rFonts w:ascii="Cambria" w:hAnsi="Cambria"/>
          <w:b/>
          <w:sz w:val="22"/>
          <w:szCs w:val="22"/>
        </w:rPr>
        <w:lastRenderedPageBreak/>
        <w:t>into account gender issues and the particular needs of individuals or groups at heightened risk of vulnerability or marginalization.</w:t>
      </w: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Pr="00BD3288" w:rsidRDefault="00082881" w:rsidP="004F60D5">
            <w:pPr>
              <w:pStyle w:val="SingleTxtG"/>
              <w:ind w:left="0" w:right="0"/>
              <w:rPr>
                <w:rFonts w:ascii="Cambria" w:hAnsi="Cambria"/>
              </w:rPr>
            </w:pPr>
            <w:r>
              <w:rPr>
                <w:rFonts w:ascii="Cambria" w:hAnsi="Cambria"/>
                <w:b/>
                <w:sz w:val="22"/>
                <w:szCs w:val="22"/>
              </w:rPr>
              <w:t>Illustrative example</w:t>
            </w:r>
            <w:r w:rsidR="00B24402">
              <w:rPr>
                <w:rFonts w:ascii="Cambria" w:hAnsi="Cambria"/>
                <w:b/>
                <w:sz w:val="22"/>
                <w:szCs w:val="22"/>
              </w:rPr>
              <w:t>s</w:t>
            </w:r>
            <w:r>
              <w:rPr>
                <w:rFonts w:ascii="Cambria" w:hAnsi="Cambria"/>
                <w:b/>
                <w:sz w:val="22"/>
                <w:szCs w:val="22"/>
              </w:rPr>
              <w:t>: 11.3</w:t>
            </w:r>
          </w:p>
          <w:p w:rsidR="00B824DF" w:rsidRDefault="00A364A0" w:rsidP="009C7A6A">
            <w:pPr>
              <w:pStyle w:val="SingleTxtG"/>
              <w:ind w:left="0" w:right="0"/>
              <w:rPr>
                <w:rFonts w:ascii="Cambria" w:hAnsi="Cambria"/>
              </w:rPr>
            </w:pPr>
            <w:r>
              <w:rPr>
                <w:rFonts w:ascii="Cambria" w:hAnsi="Cambria"/>
              </w:rPr>
              <w:t xml:space="preserve">A. </w:t>
            </w:r>
            <w:r w:rsidR="00B824DF">
              <w:rPr>
                <w:rFonts w:ascii="Cambria" w:hAnsi="Cambria"/>
              </w:rPr>
              <w:t>Ways of involving victims in decision-making with respect to the design and implementation of sanctions and other remedies include:</w:t>
            </w:r>
          </w:p>
          <w:p w:rsidR="0006191C" w:rsidRDefault="00B824DF">
            <w:pPr>
              <w:pStyle w:val="SingleTxtG"/>
              <w:numPr>
                <w:ilvl w:val="0"/>
                <w:numId w:val="62"/>
              </w:numPr>
              <w:ind w:right="0"/>
              <w:rPr>
                <w:rFonts w:ascii="Cambria" w:hAnsi="Cambria"/>
              </w:rPr>
            </w:pPr>
            <w:r>
              <w:rPr>
                <w:rFonts w:ascii="Cambria" w:hAnsi="Cambria"/>
              </w:rPr>
              <w:t>Reading of victim impact statements in court;</w:t>
            </w:r>
          </w:p>
          <w:p w:rsidR="0006191C" w:rsidRDefault="00B824DF">
            <w:pPr>
              <w:pStyle w:val="SingleTxtG"/>
              <w:numPr>
                <w:ilvl w:val="0"/>
                <w:numId w:val="62"/>
              </w:numPr>
              <w:ind w:right="0"/>
              <w:rPr>
                <w:rFonts w:ascii="Cambria" w:hAnsi="Cambria"/>
              </w:rPr>
            </w:pPr>
            <w:r>
              <w:rPr>
                <w:rFonts w:ascii="Cambria" w:hAnsi="Cambria"/>
              </w:rPr>
              <w:t>Providing formal opportunities to victims to express a view to relevant State agencies and judicial bodies as to the appropriate remedies in the circumstances;</w:t>
            </w:r>
          </w:p>
          <w:p w:rsidR="006E516D" w:rsidRDefault="00A00713" w:rsidP="00A00713">
            <w:pPr>
              <w:pStyle w:val="SingleTxtG"/>
              <w:ind w:left="0" w:right="0"/>
              <w:rPr>
                <w:rFonts w:ascii="Cambria" w:hAnsi="Cambria"/>
                <w:b/>
                <w:sz w:val="22"/>
                <w:szCs w:val="22"/>
              </w:rPr>
            </w:pPr>
            <w:r>
              <w:rPr>
                <w:rFonts w:ascii="Cambria" w:hAnsi="Cambria"/>
              </w:rPr>
              <w:t xml:space="preserve">B. </w:t>
            </w:r>
            <w:r>
              <w:rPr>
                <w:rFonts w:ascii="Cambria" w:hAnsi="Cambria"/>
                <w:b/>
              </w:rPr>
              <w:t xml:space="preserve">Note: </w:t>
            </w:r>
            <w:r w:rsidR="00B824DF" w:rsidRPr="00BD3288">
              <w:rPr>
                <w:rFonts w:ascii="Cambria" w:hAnsi="Cambria"/>
              </w:rPr>
              <w:t xml:space="preserve">In States </w:t>
            </w:r>
            <w:r w:rsidR="00B824DF">
              <w:rPr>
                <w:rFonts w:ascii="Cambria" w:hAnsi="Cambria"/>
              </w:rPr>
              <w:t xml:space="preserve">that provide for the mechanism of </w:t>
            </w:r>
            <w:proofErr w:type="spellStart"/>
            <w:r w:rsidR="00B824DF">
              <w:rPr>
                <w:rFonts w:ascii="Cambria" w:hAnsi="Cambria"/>
                <w:i/>
              </w:rPr>
              <w:t>partie</w:t>
            </w:r>
            <w:proofErr w:type="spellEnd"/>
            <w:r w:rsidR="00B824DF">
              <w:rPr>
                <w:rFonts w:ascii="Cambria" w:hAnsi="Cambria"/>
                <w:i/>
              </w:rPr>
              <w:t xml:space="preserve"> </w:t>
            </w:r>
            <w:proofErr w:type="spellStart"/>
            <w:r w:rsidR="00B824DF">
              <w:rPr>
                <w:rFonts w:ascii="Cambria" w:hAnsi="Cambria"/>
                <w:i/>
              </w:rPr>
              <w:t>civile</w:t>
            </w:r>
            <w:proofErr w:type="spellEnd"/>
            <w:r w:rsidR="00B824DF">
              <w:rPr>
                <w:rFonts w:ascii="Cambria" w:hAnsi="Cambria"/>
              </w:rPr>
              <w:t xml:space="preserve">, victims of business-related human rights abuses that have declared themselves a </w:t>
            </w:r>
            <w:proofErr w:type="spellStart"/>
            <w:r w:rsidR="00B824DF">
              <w:rPr>
                <w:rFonts w:ascii="Cambria" w:hAnsi="Cambria"/>
                <w:i/>
              </w:rPr>
              <w:t>partie</w:t>
            </w:r>
            <w:proofErr w:type="spellEnd"/>
            <w:r w:rsidR="00B824DF">
              <w:rPr>
                <w:rFonts w:ascii="Cambria" w:hAnsi="Cambria"/>
                <w:i/>
              </w:rPr>
              <w:t xml:space="preserve"> </w:t>
            </w:r>
            <w:proofErr w:type="spellStart"/>
            <w:r w:rsidR="00B824DF">
              <w:rPr>
                <w:rFonts w:ascii="Cambria" w:hAnsi="Cambria"/>
                <w:i/>
              </w:rPr>
              <w:t>civile</w:t>
            </w:r>
            <w:proofErr w:type="spellEnd"/>
            <w:r w:rsidR="00B824DF">
              <w:rPr>
                <w:rFonts w:ascii="Cambria" w:hAnsi="Cambria"/>
                <w:i/>
              </w:rPr>
              <w:t xml:space="preserve"> </w:t>
            </w:r>
            <w:r w:rsidR="00B824DF">
              <w:rPr>
                <w:rFonts w:ascii="Cambria" w:hAnsi="Cambria"/>
              </w:rPr>
              <w:t>in a criminal proceeding have a right to be represented and to make representations in court as a direct participant, rather than as a witness only.</w:t>
            </w:r>
          </w:p>
        </w:tc>
      </w:tr>
    </w:tbl>
    <w:p w:rsidR="00082881" w:rsidRPr="008B11B2" w:rsidRDefault="0008288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11.4</w:t>
      </w:r>
      <w:r w:rsidRPr="008B11B2">
        <w:rPr>
          <w:rFonts w:ascii="Cambria" w:hAnsi="Cambria"/>
          <w:b/>
          <w:sz w:val="22"/>
          <w:szCs w:val="22"/>
        </w:rPr>
        <w:tab/>
        <w:t>State agencies and/or judicial bodies monitor the implementation of sanctions and other remedies and ensure that there is an effective mechanism by which interested persons can report and/or raise a complaint regarding and/or seek remedial action with respect to any non-implementation of such sanctions and/or other remedies.</w:t>
      </w: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Default="00082881" w:rsidP="004F60D5">
            <w:pPr>
              <w:pStyle w:val="SingleTxtG"/>
              <w:ind w:left="0" w:right="0"/>
              <w:rPr>
                <w:rFonts w:ascii="Cambria" w:hAnsi="Cambria"/>
                <w:b/>
                <w:sz w:val="22"/>
                <w:szCs w:val="22"/>
              </w:rPr>
            </w:pPr>
            <w:r>
              <w:rPr>
                <w:rFonts w:ascii="Cambria" w:hAnsi="Cambria"/>
                <w:b/>
                <w:sz w:val="22"/>
                <w:szCs w:val="22"/>
              </w:rPr>
              <w:t>Illustrative example</w:t>
            </w:r>
            <w:r w:rsidR="00100006">
              <w:rPr>
                <w:rFonts w:ascii="Cambria" w:hAnsi="Cambria"/>
                <w:b/>
                <w:sz w:val="22"/>
                <w:szCs w:val="22"/>
              </w:rPr>
              <w:t>s</w:t>
            </w:r>
            <w:r>
              <w:rPr>
                <w:rFonts w:ascii="Cambria" w:hAnsi="Cambria"/>
                <w:b/>
                <w:sz w:val="22"/>
                <w:szCs w:val="22"/>
              </w:rPr>
              <w:t>: 11.4</w:t>
            </w:r>
          </w:p>
          <w:p w:rsidR="005102C3" w:rsidRDefault="00A364A0" w:rsidP="00241E41">
            <w:pPr>
              <w:pStyle w:val="SingleTxtG"/>
              <w:ind w:left="0" w:right="0"/>
              <w:rPr>
                <w:rFonts w:ascii="Cambria" w:hAnsi="Cambria"/>
              </w:rPr>
            </w:pPr>
            <w:r>
              <w:rPr>
                <w:rFonts w:ascii="Cambria" w:hAnsi="Cambria"/>
              </w:rPr>
              <w:t xml:space="preserve">A. </w:t>
            </w:r>
            <w:r w:rsidR="00FC7094">
              <w:rPr>
                <w:rFonts w:ascii="Cambria" w:hAnsi="Cambria"/>
              </w:rPr>
              <w:t>Methods used to monitor the implementation of</w:t>
            </w:r>
            <w:r w:rsidR="00A00713">
              <w:rPr>
                <w:rFonts w:ascii="Cambria" w:hAnsi="Cambria"/>
              </w:rPr>
              <w:t xml:space="preserve"> sanctions and remedies include;</w:t>
            </w:r>
          </w:p>
          <w:p w:rsidR="00FC7094" w:rsidRDefault="00FC7094" w:rsidP="00E623C2">
            <w:pPr>
              <w:pStyle w:val="SingleTxtG"/>
              <w:numPr>
                <w:ilvl w:val="0"/>
                <w:numId w:val="31"/>
              </w:numPr>
              <w:ind w:right="0"/>
              <w:rPr>
                <w:rFonts w:ascii="Cambria" w:hAnsi="Cambria"/>
              </w:rPr>
            </w:pPr>
            <w:r>
              <w:rPr>
                <w:rFonts w:ascii="Cambria" w:hAnsi="Cambria"/>
              </w:rPr>
              <w:t>the appointment of independent experts to supervise and report on implementation and give regular progress updates;</w:t>
            </w:r>
          </w:p>
          <w:p w:rsidR="00FC7094" w:rsidRDefault="00FC7094" w:rsidP="00E623C2">
            <w:pPr>
              <w:pStyle w:val="SingleTxtG"/>
              <w:numPr>
                <w:ilvl w:val="0"/>
                <w:numId w:val="31"/>
              </w:numPr>
              <w:ind w:right="0"/>
              <w:rPr>
                <w:rFonts w:ascii="Cambria" w:hAnsi="Cambria"/>
              </w:rPr>
            </w:pPr>
            <w:r>
              <w:rPr>
                <w:rFonts w:ascii="Cambria" w:hAnsi="Cambria"/>
              </w:rPr>
              <w:t>delegation of supervision of implementatio</w:t>
            </w:r>
            <w:r w:rsidR="00A00713">
              <w:rPr>
                <w:rFonts w:ascii="Cambria" w:hAnsi="Cambria"/>
              </w:rPr>
              <w:t>n to a suitable regulatory body;</w:t>
            </w:r>
          </w:p>
          <w:p w:rsidR="00FC7094" w:rsidRDefault="00FC7094" w:rsidP="00E623C2">
            <w:pPr>
              <w:pStyle w:val="SingleTxtG"/>
              <w:numPr>
                <w:ilvl w:val="0"/>
                <w:numId w:val="31"/>
              </w:numPr>
              <w:ind w:right="0"/>
              <w:rPr>
                <w:rFonts w:ascii="Cambria" w:hAnsi="Cambria"/>
              </w:rPr>
            </w:pPr>
            <w:r>
              <w:rPr>
                <w:rFonts w:ascii="Cambria" w:hAnsi="Cambria"/>
              </w:rPr>
              <w:t>appointment of technical experts (e.g. engineers to advise on remediation and clean up);</w:t>
            </w:r>
          </w:p>
          <w:p w:rsidR="0010410D" w:rsidRDefault="00FC7094" w:rsidP="00E623C2">
            <w:pPr>
              <w:pStyle w:val="SingleTxtG"/>
              <w:numPr>
                <w:ilvl w:val="0"/>
                <w:numId w:val="31"/>
              </w:numPr>
              <w:ind w:right="0"/>
              <w:rPr>
                <w:rFonts w:ascii="Cambria" w:hAnsi="Cambria"/>
              </w:rPr>
            </w:pPr>
            <w:r>
              <w:rPr>
                <w:rFonts w:ascii="Cambria" w:hAnsi="Cambria"/>
              </w:rPr>
              <w:t>appointment of observers to a company board;</w:t>
            </w:r>
          </w:p>
          <w:p w:rsidR="009820DC" w:rsidRPr="009820DC" w:rsidRDefault="00FC7094" w:rsidP="00A00713">
            <w:pPr>
              <w:pStyle w:val="SingleTxtG"/>
              <w:numPr>
                <w:ilvl w:val="0"/>
                <w:numId w:val="31"/>
              </w:numPr>
              <w:ind w:right="0"/>
              <w:rPr>
                <w:rFonts w:ascii="Cambria" w:hAnsi="Cambria"/>
              </w:rPr>
            </w:pPr>
            <w:proofErr w:type="gramStart"/>
            <w:r>
              <w:rPr>
                <w:rFonts w:ascii="Cambria" w:hAnsi="Cambria"/>
              </w:rPr>
              <w:t>provision</w:t>
            </w:r>
            <w:proofErr w:type="gramEnd"/>
            <w:r>
              <w:rPr>
                <w:rFonts w:ascii="Cambria" w:hAnsi="Cambria"/>
              </w:rPr>
              <w:t xml:space="preserve"> for independent auditing of compliance </w:t>
            </w:r>
            <w:r w:rsidR="00A00713">
              <w:rPr>
                <w:rFonts w:ascii="Cambria" w:hAnsi="Cambria"/>
              </w:rPr>
              <w:t>by reference to  specific</w:t>
            </w:r>
            <w:r>
              <w:rPr>
                <w:rFonts w:ascii="Cambria" w:hAnsi="Cambria"/>
              </w:rPr>
              <w:t xml:space="preserve"> management quality standards.</w:t>
            </w:r>
          </w:p>
        </w:tc>
      </w:tr>
    </w:tbl>
    <w:p w:rsidR="00082881" w:rsidRPr="008B11B2" w:rsidRDefault="00082881" w:rsidP="008B11B2">
      <w:pPr>
        <w:pStyle w:val="SingleTxtG"/>
        <w:ind w:left="0" w:right="0"/>
        <w:rPr>
          <w:rFonts w:ascii="Cambria" w:hAnsi="Cambria"/>
          <w:b/>
          <w:sz w:val="22"/>
          <w:szCs w:val="22"/>
        </w:rPr>
      </w:pPr>
    </w:p>
    <w:p w:rsidR="009820DC" w:rsidRDefault="008B11B2" w:rsidP="005249A4">
      <w:pPr>
        <w:pStyle w:val="SingleTxtG"/>
        <w:ind w:left="0" w:right="0"/>
        <w:rPr>
          <w:rFonts w:asciiTheme="majorHAnsi" w:eastAsiaTheme="majorEastAsia" w:hAnsiTheme="majorHAnsi" w:cstheme="majorBidi"/>
          <w:color w:val="2E74B5" w:themeColor="accent1" w:themeShade="BF"/>
          <w:sz w:val="32"/>
          <w:szCs w:val="32"/>
        </w:rPr>
      </w:pPr>
      <w:r w:rsidRPr="008B11B2">
        <w:rPr>
          <w:rFonts w:ascii="Cambria" w:hAnsi="Cambria"/>
          <w:b/>
          <w:bCs/>
          <w:sz w:val="22"/>
          <w:szCs w:val="22"/>
        </w:rPr>
        <w:t>11.5</w:t>
      </w:r>
      <w:r w:rsidRPr="008B11B2">
        <w:rPr>
          <w:rFonts w:ascii="Cambria" w:hAnsi="Cambria"/>
          <w:b/>
          <w:sz w:val="22"/>
          <w:szCs w:val="22"/>
        </w:rPr>
        <w:tab/>
        <w:t>The domestic legal system does not permit the tax deductibility of amounts paid as financial penalties following a determination of corporate legal liability for business-related human rights abuses.</w:t>
      </w:r>
    </w:p>
    <w:p w:rsidR="008B11B2" w:rsidRPr="008B11B2" w:rsidRDefault="008B11B2" w:rsidP="008B11B2">
      <w:pPr>
        <w:pStyle w:val="Heading1"/>
      </w:pPr>
      <w:r w:rsidRPr="008B11B2">
        <w:t>II.</w:t>
      </w:r>
      <w:r w:rsidRPr="008B11B2">
        <w:tab/>
        <w:t>Private law claims by affected individuals and communities</w:t>
      </w:r>
    </w:p>
    <w:p w:rsidR="008B11B2" w:rsidRDefault="008B11B2" w:rsidP="008B11B2">
      <w:pPr>
        <w:pStyle w:val="Heading2"/>
      </w:pPr>
    </w:p>
    <w:p w:rsidR="008B11B2" w:rsidRPr="008B11B2" w:rsidRDefault="008B11B2" w:rsidP="008B11B2">
      <w:pPr>
        <w:pStyle w:val="Heading2"/>
      </w:pPr>
      <w:r w:rsidRPr="008B11B2">
        <w:t xml:space="preserve">Principles for assessing corporate legal liability </w:t>
      </w:r>
    </w:p>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12: Domestic private law regimes that regulate the respect by businesses of human rights (“domestic private law regimes”) are sufficiently robust to ensure that there is both proper deterrence from and effective remedy in the event of business-related human rights abuses.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12.1</w:t>
      </w:r>
      <w:r w:rsidRPr="008B11B2">
        <w:rPr>
          <w:rFonts w:ascii="Cambria" w:hAnsi="Cambria"/>
          <w:b/>
          <w:sz w:val="22"/>
          <w:szCs w:val="22"/>
        </w:rPr>
        <w:tab/>
        <w:t xml:space="preserve">Domestic private law regimes: (a) provide the necessary coverage with respect to business-related human rights abuses; (b) ensure that there are causes of action for business-related human rights abuses corresponding appropriately to the varying degrees of severity and the different kinds of harm that can result from such abuse; and </w:t>
      </w:r>
      <w:r w:rsidRPr="008B11B2">
        <w:rPr>
          <w:rFonts w:ascii="Cambria" w:hAnsi="Cambria"/>
          <w:b/>
          <w:sz w:val="22"/>
          <w:szCs w:val="22"/>
        </w:rPr>
        <w:lastRenderedPageBreak/>
        <w:t xml:space="preserve">(c) are clear as to whether and the extent to which they impose legal obligations on companies. </w:t>
      </w:r>
    </w:p>
    <w:p w:rsidR="00AB07D9" w:rsidRDefault="00AB07D9" w:rsidP="00AB07D9">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AB07D9" w:rsidTr="004F60D5">
        <w:tc>
          <w:tcPr>
            <w:tcW w:w="9236" w:type="dxa"/>
            <w:shd w:val="clear" w:color="auto" w:fill="C5E0B3" w:themeFill="accent6" w:themeFillTint="66"/>
          </w:tcPr>
          <w:p w:rsidR="00A364A0" w:rsidRDefault="00AB07D9" w:rsidP="004F60D5">
            <w:pPr>
              <w:pStyle w:val="SingleTxtG"/>
              <w:ind w:left="0" w:right="0"/>
              <w:rPr>
                <w:rFonts w:ascii="Cambria" w:hAnsi="Cambria"/>
                <w:b/>
                <w:sz w:val="22"/>
                <w:szCs w:val="22"/>
              </w:rPr>
            </w:pPr>
            <w:r>
              <w:rPr>
                <w:rFonts w:ascii="Cambria" w:hAnsi="Cambria"/>
                <w:b/>
                <w:sz w:val="22"/>
                <w:szCs w:val="22"/>
              </w:rPr>
              <w:t>Illustrative example</w:t>
            </w:r>
            <w:r w:rsidR="006B3A42">
              <w:rPr>
                <w:rFonts w:ascii="Cambria" w:hAnsi="Cambria"/>
                <w:b/>
                <w:sz w:val="22"/>
                <w:szCs w:val="22"/>
              </w:rPr>
              <w:t>s</w:t>
            </w:r>
            <w:r>
              <w:rPr>
                <w:rFonts w:ascii="Cambria" w:hAnsi="Cambria"/>
                <w:b/>
                <w:sz w:val="22"/>
                <w:szCs w:val="22"/>
              </w:rPr>
              <w:t>: 1</w:t>
            </w:r>
            <w:r w:rsidR="00B52A61">
              <w:rPr>
                <w:rFonts w:ascii="Cambria" w:hAnsi="Cambria"/>
                <w:b/>
                <w:sz w:val="22"/>
                <w:szCs w:val="22"/>
              </w:rPr>
              <w:t>2</w:t>
            </w:r>
            <w:r>
              <w:rPr>
                <w:rFonts w:ascii="Cambria" w:hAnsi="Cambria"/>
                <w:b/>
                <w:sz w:val="22"/>
                <w:szCs w:val="22"/>
              </w:rPr>
              <w:t>.1</w:t>
            </w:r>
          </w:p>
          <w:p w:rsidR="00176F60" w:rsidRDefault="00A364A0" w:rsidP="004F60D5">
            <w:pPr>
              <w:pStyle w:val="SingleTxtG"/>
              <w:ind w:left="0" w:right="0"/>
              <w:rPr>
                <w:rFonts w:ascii="Cambria" w:hAnsi="Cambria"/>
              </w:rPr>
            </w:pPr>
            <w:r w:rsidRPr="00A364A0">
              <w:rPr>
                <w:rFonts w:ascii="Cambria" w:hAnsi="Cambria"/>
              </w:rPr>
              <w:t>A.</w:t>
            </w:r>
            <w:r>
              <w:rPr>
                <w:rFonts w:ascii="Cambria" w:hAnsi="Cambria"/>
                <w:b/>
                <w:sz w:val="22"/>
                <w:szCs w:val="22"/>
              </w:rPr>
              <w:t xml:space="preserve"> </w:t>
            </w:r>
            <w:r w:rsidR="00176F60">
              <w:rPr>
                <w:rFonts w:ascii="Cambria" w:hAnsi="Cambria"/>
              </w:rPr>
              <w:t>Potential sources of private law c</w:t>
            </w:r>
            <w:r w:rsidR="00024AD7">
              <w:rPr>
                <w:rFonts w:ascii="Cambria" w:hAnsi="Cambria"/>
              </w:rPr>
              <w:t xml:space="preserve">auses of action with relevance </w:t>
            </w:r>
            <w:r w:rsidR="00176F60">
              <w:rPr>
                <w:rFonts w:ascii="Cambria" w:hAnsi="Cambria"/>
              </w:rPr>
              <w:t>to business-rela</w:t>
            </w:r>
            <w:r w:rsidR="00024AD7">
              <w:rPr>
                <w:rFonts w:ascii="Cambria" w:hAnsi="Cambria"/>
              </w:rPr>
              <w:t>ted human rights abuses include;</w:t>
            </w:r>
          </w:p>
          <w:p w:rsidR="0006191C" w:rsidRDefault="00024AD7">
            <w:pPr>
              <w:pStyle w:val="SingleTxtG"/>
              <w:numPr>
                <w:ilvl w:val="0"/>
                <w:numId w:val="64"/>
              </w:numPr>
              <w:ind w:right="0"/>
              <w:rPr>
                <w:rFonts w:ascii="Cambria" w:hAnsi="Cambria"/>
              </w:rPr>
            </w:pPr>
            <w:proofErr w:type="gramStart"/>
            <w:r>
              <w:t>g</w:t>
            </w:r>
            <w:r w:rsidR="00176F60">
              <w:t>eneral</w:t>
            </w:r>
            <w:proofErr w:type="gramEnd"/>
            <w:r w:rsidR="00176F60">
              <w:t xml:space="preserve"> legal regimes (which may be formulated through the operation of common law, customary law or codified regimes).  For instance, </w:t>
            </w:r>
            <w:r w:rsidR="00176F60" w:rsidRPr="00A75885">
              <w:rPr>
                <w:rFonts w:ascii="Cambria" w:hAnsi="Cambria"/>
              </w:rPr>
              <w:t>murder, serious physical assault, torture and other severe human rights abuses may be actionable as intentional torts</w:t>
            </w:r>
            <w:r w:rsidR="00176F60">
              <w:rPr>
                <w:rFonts w:ascii="Cambria" w:hAnsi="Cambria"/>
              </w:rPr>
              <w:t xml:space="preserve">; </w:t>
            </w:r>
            <w:r>
              <w:rPr>
                <w:rFonts w:ascii="Cambria" w:hAnsi="Cambria"/>
              </w:rPr>
              <w:t>a</w:t>
            </w:r>
            <w:r w:rsidR="00176F60" w:rsidRPr="00A75885">
              <w:rPr>
                <w:rFonts w:ascii="Cambria" w:hAnsi="Cambria"/>
              </w:rPr>
              <w:t>rbitrary detention, slavery and slavery-like practices may be actionable as acts amounting to deprivation of liberty</w:t>
            </w:r>
            <w:r w:rsidR="002F6DC5">
              <w:rPr>
                <w:rFonts w:ascii="Cambria" w:hAnsi="Cambria"/>
              </w:rPr>
              <w:t>,</w:t>
            </w:r>
            <w:r w:rsidR="00176F60" w:rsidRPr="00A75885">
              <w:rPr>
                <w:rFonts w:ascii="Cambria" w:hAnsi="Cambria"/>
              </w:rPr>
              <w:t xml:space="preserve"> as well as acts amounting to the infliction of physical and mental distress</w:t>
            </w:r>
            <w:r>
              <w:rPr>
                <w:rFonts w:ascii="Cambria" w:hAnsi="Cambria"/>
              </w:rPr>
              <w:t>;</w:t>
            </w:r>
          </w:p>
          <w:p w:rsidR="00AB07D9" w:rsidRDefault="00024AD7" w:rsidP="00A364A0">
            <w:pPr>
              <w:pStyle w:val="SingleTxtG"/>
              <w:numPr>
                <w:ilvl w:val="0"/>
                <w:numId w:val="64"/>
              </w:numPr>
              <w:ind w:right="0"/>
              <w:rPr>
                <w:rFonts w:ascii="Cambria" w:hAnsi="Cambria"/>
                <w:b/>
                <w:sz w:val="22"/>
                <w:szCs w:val="22"/>
              </w:rPr>
            </w:pPr>
            <w:r>
              <w:t>m</w:t>
            </w:r>
            <w:r w:rsidR="00176F60">
              <w:t xml:space="preserve">ore specialised statutory regimes which provide for private enforcement of internationally-recognised human rights (for example through domestic law regimes relating to protection of the environment, protection of consumers, protection of rights to ownership or use of land or other property, or regimes relating to the prohibition of child labour or the prohibition of forced labour).  </w:t>
            </w:r>
          </w:p>
        </w:tc>
      </w:tr>
    </w:tbl>
    <w:p w:rsidR="00AB07D9" w:rsidRPr="008B11B2" w:rsidRDefault="00AB07D9"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12.2</w:t>
      </w:r>
      <w:r w:rsidRPr="008B11B2">
        <w:rPr>
          <w:rFonts w:ascii="Cambria" w:hAnsi="Cambria"/>
          <w:b/>
          <w:sz w:val="22"/>
          <w:szCs w:val="22"/>
        </w:rPr>
        <w:tab/>
        <w:t>Domestic private law regimes apply principles for assessing corporate legal liability that focus on the quality of corporate management and the actions, omissions and intentions of individual officers or employees.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AA4A85">
              <w:rPr>
                <w:rFonts w:ascii="Cambria" w:hAnsi="Cambria"/>
                <w:b/>
                <w:sz w:val="22"/>
                <w:szCs w:val="22"/>
              </w:rPr>
              <w:t>s</w:t>
            </w:r>
            <w:r>
              <w:rPr>
                <w:rFonts w:ascii="Cambria" w:hAnsi="Cambria"/>
                <w:b/>
                <w:sz w:val="22"/>
                <w:szCs w:val="22"/>
              </w:rPr>
              <w:t>: 12.2</w:t>
            </w:r>
          </w:p>
          <w:p w:rsidR="00847FF6" w:rsidRDefault="00A364A0" w:rsidP="00AA4A85">
            <w:pPr>
              <w:jc w:val="both"/>
              <w:rPr>
                <w:rFonts w:ascii="Cambria" w:hAnsi="Cambria"/>
                <w:sz w:val="20"/>
                <w:szCs w:val="20"/>
              </w:rPr>
            </w:pPr>
            <w:r>
              <w:rPr>
                <w:rFonts w:ascii="Cambria" w:hAnsi="Cambria"/>
                <w:sz w:val="20"/>
                <w:szCs w:val="20"/>
              </w:rPr>
              <w:t xml:space="preserve">A. </w:t>
            </w:r>
            <w:r w:rsidR="00176F60">
              <w:rPr>
                <w:rFonts w:ascii="Cambria" w:hAnsi="Cambria"/>
                <w:sz w:val="20"/>
                <w:szCs w:val="20"/>
              </w:rPr>
              <w:t xml:space="preserve">Ways that actions, omission and intentions of individual officers or employees can be relevant to corporate legal liability under </w:t>
            </w:r>
            <w:r w:rsidR="00847FF6">
              <w:rPr>
                <w:rFonts w:ascii="Cambria" w:hAnsi="Cambria"/>
                <w:sz w:val="20"/>
                <w:szCs w:val="20"/>
              </w:rPr>
              <w:t>domestic private law regimes include:</w:t>
            </w:r>
          </w:p>
          <w:p w:rsidR="00AA4A85" w:rsidRPr="00AA4A85" w:rsidRDefault="00AA4A85" w:rsidP="00AA4A85">
            <w:pPr>
              <w:jc w:val="both"/>
              <w:rPr>
                <w:rFonts w:ascii="Cambria" w:hAnsi="Cambria"/>
                <w:sz w:val="20"/>
                <w:szCs w:val="20"/>
              </w:rPr>
            </w:pPr>
          </w:p>
          <w:p w:rsidR="00AA4A85" w:rsidRPr="00AA4A85" w:rsidRDefault="00847FF6" w:rsidP="00E623C2">
            <w:pPr>
              <w:pStyle w:val="ListParagraph"/>
              <w:numPr>
                <w:ilvl w:val="0"/>
                <w:numId w:val="5"/>
              </w:numPr>
              <w:jc w:val="both"/>
              <w:rPr>
                <w:rFonts w:ascii="Cambria" w:hAnsi="Cambria"/>
                <w:sz w:val="20"/>
                <w:szCs w:val="20"/>
              </w:rPr>
            </w:pPr>
            <w:r>
              <w:rPr>
                <w:rFonts w:ascii="Cambria" w:hAnsi="Cambria"/>
                <w:sz w:val="20"/>
                <w:szCs w:val="20"/>
              </w:rPr>
              <w:t>attributing to the company the</w:t>
            </w:r>
            <w:r w:rsidR="00AA4A85" w:rsidRPr="00AA4A85">
              <w:rPr>
                <w:rFonts w:ascii="Cambria" w:hAnsi="Cambria"/>
                <w:sz w:val="20"/>
                <w:szCs w:val="20"/>
              </w:rPr>
              <w:t xml:space="preserve"> acts, omissions and intentions of those who can be said to represent the company’s “directing mind and will”;</w:t>
            </w:r>
          </w:p>
          <w:p w:rsidR="00AA4A85" w:rsidRPr="00AA4A85" w:rsidRDefault="00AA4A85" w:rsidP="00AA4A85">
            <w:pPr>
              <w:pStyle w:val="ListParagraph"/>
              <w:jc w:val="both"/>
              <w:rPr>
                <w:rFonts w:ascii="Cambria" w:hAnsi="Cambria"/>
                <w:sz w:val="20"/>
                <w:szCs w:val="20"/>
              </w:rPr>
            </w:pPr>
          </w:p>
          <w:p w:rsidR="00AA4A85" w:rsidRPr="00AA4A85" w:rsidRDefault="00847FF6" w:rsidP="00E623C2">
            <w:pPr>
              <w:pStyle w:val="ListParagraph"/>
              <w:numPr>
                <w:ilvl w:val="0"/>
                <w:numId w:val="5"/>
              </w:numPr>
              <w:jc w:val="both"/>
              <w:rPr>
                <w:rFonts w:ascii="Cambria" w:hAnsi="Cambria"/>
                <w:sz w:val="20"/>
                <w:szCs w:val="20"/>
              </w:rPr>
            </w:pPr>
            <w:r>
              <w:rPr>
                <w:rFonts w:ascii="Cambria" w:hAnsi="Cambria"/>
                <w:sz w:val="20"/>
                <w:szCs w:val="20"/>
              </w:rPr>
              <w:t>attributing to the company t</w:t>
            </w:r>
            <w:r w:rsidR="00AA4A85" w:rsidRPr="00AA4A85">
              <w:rPr>
                <w:rFonts w:ascii="Cambria" w:hAnsi="Cambria"/>
                <w:sz w:val="20"/>
                <w:szCs w:val="20"/>
              </w:rPr>
              <w:t>he acts, omissions and intentions of a company’s “legal representatives”;</w:t>
            </w:r>
          </w:p>
          <w:p w:rsidR="00AA4A85" w:rsidRPr="00A364A0" w:rsidRDefault="00AA4A85" w:rsidP="00A364A0">
            <w:pPr>
              <w:rPr>
                <w:rFonts w:ascii="Cambria" w:hAnsi="Cambria"/>
                <w:sz w:val="20"/>
                <w:szCs w:val="20"/>
              </w:rPr>
            </w:pPr>
          </w:p>
          <w:p w:rsidR="00AA4A85" w:rsidRDefault="00847FF6" w:rsidP="00E623C2">
            <w:pPr>
              <w:pStyle w:val="ListParagraph"/>
              <w:numPr>
                <w:ilvl w:val="0"/>
                <w:numId w:val="5"/>
              </w:numPr>
              <w:jc w:val="both"/>
              <w:rPr>
                <w:rFonts w:ascii="Cambria" w:hAnsi="Cambria"/>
                <w:sz w:val="20"/>
                <w:szCs w:val="20"/>
              </w:rPr>
            </w:pPr>
            <w:proofErr w:type="gramStart"/>
            <w:r>
              <w:rPr>
                <w:rFonts w:ascii="Cambria" w:hAnsi="Cambria"/>
                <w:sz w:val="20"/>
                <w:szCs w:val="20"/>
              </w:rPr>
              <w:t>attributing</w:t>
            </w:r>
            <w:proofErr w:type="gramEnd"/>
            <w:r>
              <w:rPr>
                <w:rFonts w:ascii="Cambria" w:hAnsi="Cambria"/>
                <w:sz w:val="20"/>
                <w:szCs w:val="20"/>
              </w:rPr>
              <w:t xml:space="preserve"> to the company t</w:t>
            </w:r>
            <w:r w:rsidR="00AA4A85" w:rsidRPr="00A31EBE">
              <w:rPr>
                <w:rFonts w:ascii="Cambria" w:hAnsi="Cambria"/>
                <w:sz w:val="20"/>
                <w:szCs w:val="20"/>
              </w:rPr>
              <w:t>he acts</w:t>
            </w:r>
            <w:r>
              <w:rPr>
                <w:rFonts w:ascii="Cambria" w:hAnsi="Cambria"/>
                <w:sz w:val="20"/>
                <w:szCs w:val="20"/>
              </w:rPr>
              <w:t>, omissions and intentions</w:t>
            </w:r>
            <w:r w:rsidR="00AA4A85" w:rsidRPr="00A31EBE">
              <w:rPr>
                <w:rFonts w:ascii="Cambria" w:hAnsi="Cambria"/>
                <w:sz w:val="20"/>
                <w:szCs w:val="20"/>
              </w:rPr>
              <w:t xml:space="preserve"> of </w:t>
            </w:r>
            <w:r>
              <w:rPr>
                <w:rFonts w:ascii="Cambria" w:hAnsi="Cambria"/>
                <w:sz w:val="20"/>
                <w:szCs w:val="20"/>
              </w:rPr>
              <w:t xml:space="preserve">certain </w:t>
            </w:r>
            <w:r w:rsidR="00AA4A85" w:rsidRPr="00A31EBE">
              <w:rPr>
                <w:rFonts w:ascii="Cambria" w:hAnsi="Cambria"/>
                <w:sz w:val="20"/>
                <w:szCs w:val="20"/>
              </w:rPr>
              <w:t xml:space="preserve">employees or agents </w:t>
            </w:r>
            <w:r w:rsidR="00B35740">
              <w:rPr>
                <w:rFonts w:ascii="Cambria" w:hAnsi="Cambria"/>
                <w:sz w:val="20"/>
                <w:szCs w:val="20"/>
              </w:rPr>
              <w:t xml:space="preserve">(or in some cases other contractors) </w:t>
            </w:r>
            <w:r w:rsidR="00AA4A85" w:rsidRPr="00A31EBE">
              <w:rPr>
                <w:rFonts w:ascii="Cambria" w:hAnsi="Cambria"/>
                <w:sz w:val="20"/>
                <w:szCs w:val="20"/>
              </w:rPr>
              <w:t xml:space="preserve">under theories of “vicarious liability”. </w:t>
            </w:r>
          </w:p>
          <w:p w:rsidR="00AA4A85" w:rsidRPr="00923D62" w:rsidRDefault="00AA4A85" w:rsidP="00AA4A85">
            <w:pPr>
              <w:pStyle w:val="ListParagraph"/>
              <w:rPr>
                <w:rFonts w:ascii="Cambria" w:hAnsi="Cambria"/>
                <w:sz w:val="20"/>
                <w:szCs w:val="20"/>
              </w:rPr>
            </w:pPr>
          </w:p>
          <w:p w:rsidR="00AA4A85" w:rsidRPr="00E23A39" w:rsidRDefault="00847FF6" w:rsidP="00E623C2">
            <w:pPr>
              <w:pStyle w:val="ListParagraph"/>
              <w:numPr>
                <w:ilvl w:val="0"/>
                <w:numId w:val="5"/>
              </w:numPr>
              <w:jc w:val="both"/>
              <w:rPr>
                <w:rFonts w:ascii="Cambria" w:hAnsi="Cambria"/>
                <w:sz w:val="20"/>
                <w:szCs w:val="20"/>
              </w:rPr>
            </w:pPr>
            <w:r>
              <w:rPr>
                <w:rFonts w:ascii="Cambria" w:hAnsi="Cambria"/>
                <w:sz w:val="20"/>
                <w:szCs w:val="20"/>
              </w:rPr>
              <w:t xml:space="preserve">attributing to the company the acts, omissions or intentions of certain other natural or legal persons that, from surrounding circumstances, the company appears to have </w:t>
            </w:r>
            <w:r w:rsidR="00AA4A85" w:rsidRPr="00923D62">
              <w:rPr>
                <w:rFonts w:ascii="Cambria" w:hAnsi="Cambria"/>
                <w:sz w:val="20"/>
                <w:szCs w:val="20"/>
              </w:rPr>
              <w:t>“accepted” or “ratified” as its own.</w:t>
            </w:r>
          </w:p>
          <w:p w:rsidR="00B52A61" w:rsidRDefault="00B52A61" w:rsidP="004F60D5">
            <w:pPr>
              <w:pStyle w:val="SingleTxtG"/>
              <w:ind w:left="0" w:right="0"/>
              <w:rPr>
                <w:rFonts w:ascii="Cambria" w:hAnsi="Cambria"/>
                <w:b/>
                <w:sz w:val="22"/>
                <w:szCs w:val="22"/>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12.3</w:t>
      </w:r>
      <w:r w:rsidRPr="008B11B2">
        <w:rPr>
          <w:rFonts w:ascii="Cambria" w:hAnsi="Cambria"/>
          <w:b/>
          <w:sz w:val="22"/>
          <w:szCs w:val="22"/>
        </w:rPr>
        <w:tab/>
        <w:t>Domestic private law regimes communicate clearly the standards of management and supervision expected of different corporate constituents of group business enterprises with respect to the identification, prevention and mitigation of human rights impacts associated with or arising from group operations, on the basis of their role and position within the group business enterprise, and take proper account of the diversity of relationships and linkages through which business enterprises may operate, including equity-based and contract-based relationships.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847FF6" w:rsidRDefault="00B52A61" w:rsidP="004F60D5">
            <w:pPr>
              <w:pStyle w:val="SingleTxtG"/>
              <w:ind w:left="0" w:right="0"/>
              <w:rPr>
                <w:rFonts w:ascii="Cambria" w:hAnsi="Cambria"/>
                <w:b/>
              </w:rPr>
            </w:pPr>
            <w:r>
              <w:rPr>
                <w:rFonts w:ascii="Cambria" w:hAnsi="Cambria"/>
                <w:b/>
                <w:sz w:val="22"/>
                <w:szCs w:val="22"/>
              </w:rPr>
              <w:t>Illustrative example: 12.3</w:t>
            </w:r>
          </w:p>
          <w:p w:rsidR="00847FF6" w:rsidRPr="00847FF6"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 xml:space="preserve">Ways to </w:t>
            </w:r>
            <w:r w:rsidR="00847FF6">
              <w:rPr>
                <w:rFonts w:ascii="Cambria" w:hAnsi="Cambria"/>
              </w:rPr>
              <w:t xml:space="preserve"> communicate the standards of management and supervision expected of different </w:t>
            </w:r>
            <w:r w:rsidR="003A41C8">
              <w:rPr>
                <w:rFonts w:ascii="Cambria" w:hAnsi="Cambria"/>
              </w:rPr>
              <w:t>corporate constituents of group</w:t>
            </w:r>
            <w:r w:rsidR="00847FF6">
              <w:rPr>
                <w:rFonts w:ascii="Cambria" w:hAnsi="Cambria"/>
              </w:rPr>
              <w:t xml:space="preserve"> business enterprises with respect to the identification, prevention and mitigation </w:t>
            </w:r>
            <w:r w:rsidR="003A41C8">
              <w:rPr>
                <w:rFonts w:ascii="Cambria" w:hAnsi="Cambria"/>
              </w:rPr>
              <w:t xml:space="preserve">of </w:t>
            </w:r>
            <w:r w:rsidR="003A41C8">
              <w:rPr>
                <w:rFonts w:ascii="Cambria" w:hAnsi="Cambria"/>
              </w:rPr>
              <w:lastRenderedPageBreak/>
              <w:t>human rights impacts include;</w:t>
            </w:r>
          </w:p>
          <w:p w:rsidR="0006191C" w:rsidRDefault="00847FF6">
            <w:pPr>
              <w:pStyle w:val="SingleTxtG"/>
              <w:numPr>
                <w:ilvl w:val="0"/>
                <w:numId w:val="66"/>
              </w:numPr>
              <w:ind w:right="0"/>
              <w:rPr>
                <w:rFonts w:ascii="Cambria" w:hAnsi="Cambria"/>
              </w:rPr>
            </w:pPr>
            <w:proofErr w:type="gramStart"/>
            <w:r>
              <w:rPr>
                <w:rFonts w:ascii="Cambria" w:hAnsi="Cambria"/>
              </w:rPr>
              <w:t>the</w:t>
            </w:r>
            <w:proofErr w:type="gramEnd"/>
            <w:r>
              <w:rPr>
                <w:rFonts w:ascii="Cambria" w:hAnsi="Cambria"/>
              </w:rPr>
              <w:t xml:space="preserve"> concept of a “duty of care”.  (Note, however, that duty of care is not an unlimited one and may be defined by reference to factors such as:</w:t>
            </w:r>
          </w:p>
          <w:p w:rsidR="0006191C" w:rsidRDefault="00847FF6">
            <w:pPr>
              <w:pStyle w:val="SingleTxtG"/>
              <w:numPr>
                <w:ilvl w:val="0"/>
                <w:numId w:val="27"/>
              </w:numPr>
              <w:ind w:right="0"/>
              <w:rPr>
                <w:rFonts w:ascii="Cambria" w:hAnsi="Cambria"/>
              </w:rPr>
            </w:pPr>
            <w:r w:rsidRPr="001E34A8">
              <w:rPr>
                <w:rFonts w:ascii="Cambria" w:hAnsi="Cambria"/>
              </w:rPr>
              <w:t xml:space="preserve">the foreseeability of harm (e.g. the harm suffered by the claimant must be a “reasonably </w:t>
            </w:r>
            <w:r w:rsidR="00DD7E43" w:rsidRPr="00DD7E43">
              <w:rPr>
                <w:rFonts w:ascii="Cambria" w:hAnsi="Cambria"/>
                <w:color w:val="000000" w:themeColor="text1"/>
              </w:rPr>
              <w:t>foreseeable</w:t>
            </w:r>
            <w:r w:rsidRPr="001E34A8">
              <w:rPr>
                <w:rFonts w:ascii="Cambria" w:hAnsi="Cambria"/>
              </w:rPr>
              <w:t>” consequence of the defendant’s conduct;</w:t>
            </w:r>
          </w:p>
          <w:p w:rsidR="0006191C" w:rsidRDefault="00847FF6">
            <w:pPr>
              <w:pStyle w:val="SingleTxtG"/>
              <w:numPr>
                <w:ilvl w:val="0"/>
                <w:numId w:val="27"/>
              </w:numPr>
              <w:ind w:right="0"/>
              <w:rPr>
                <w:rFonts w:ascii="Cambria" w:hAnsi="Cambria"/>
              </w:rPr>
            </w:pPr>
            <w:r w:rsidRPr="001E34A8">
              <w:rPr>
                <w:rFonts w:ascii="Cambria" w:hAnsi="Cambria"/>
              </w:rPr>
              <w:t>the “proximity” which exists between the defendant and the claimant;</w:t>
            </w:r>
          </w:p>
          <w:p w:rsidR="0006191C" w:rsidRDefault="00847FF6">
            <w:pPr>
              <w:pStyle w:val="SingleTxtG"/>
              <w:numPr>
                <w:ilvl w:val="0"/>
                <w:numId w:val="27"/>
              </w:numPr>
              <w:ind w:right="0"/>
              <w:rPr>
                <w:rFonts w:ascii="Cambria" w:hAnsi="Cambria"/>
              </w:rPr>
            </w:pPr>
            <w:r w:rsidRPr="001E34A8">
              <w:rPr>
                <w:rFonts w:ascii="Cambria" w:hAnsi="Cambria"/>
              </w:rPr>
              <w:t xml:space="preserve">policy considerations of fairness in the circumstances; </w:t>
            </w:r>
          </w:p>
          <w:p w:rsidR="0006191C" w:rsidRDefault="00847FF6">
            <w:pPr>
              <w:pStyle w:val="SingleTxtG"/>
              <w:numPr>
                <w:ilvl w:val="0"/>
                <w:numId w:val="27"/>
              </w:numPr>
              <w:ind w:right="0"/>
              <w:rPr>
                <w:rFonts w:ascii="Cambria" w:hAnsi="Cambria"/>
              </w:rPr>
            </w:pPr>
            <w:r w:rsidRPr="001E34A8">
              <w:rPr>
                <w:rFonts w:ascii="Cambria" w:hAnsi="Cambria"/>
              </w:rPr>
              <w:t xml:space="preserve"> wider policy considerations relating to future prevention; and</w:t>
            </w:r>
          </w:p>
          <w:p w:rsidR="0006191C" w:rsidRDefault="00847FF6">
            <w:pPr>
              <w:pStyle w:val="SingleTxtG"/>
              <w:numPr>
                <w:ilvl w:val="0"/>
                <w:numId w:val="27"/>
              </w:numPr>
              <w:ind w:right="0"/>
              <w:rPr>
                <w:rFonts w:ascii="Cambria" w:hAnsi="Cambria"/>
              </w:rPr>
            </w:pPr>
            <w:proofErr w:type="gramStart"/>
            <w:r w:rsidRPr="001E34A8">
              <w:rPr>
                <w:rFonts w:ascii="Cambria" w:hAnsi="Cambria"/>
              </w:rPr>
              <w:t>wider</w:t>
            </w:r>
            <w:proofErr w:type="gramEnd"/>
            <w:r w:rsidRPr="001E34A8">
              <w:rPr>
                <w:rFonts w:ascii="Cambria" w:hAnsi="Cambria"/>
              </w:rPr>
              <w:t xml:space="preserve"> policy considerations relating to the costs to the community of imposing or not imposing a duty </w:t>
            </w:r>
            <w:r w:rsidR="003A41C8">
              <w:rPr>
                <w:rFonts w:ascii="Cambria" w:hAnsi="Cambria"/>
              </w:rPr>
              <w:t>o</w:t>
            </w:r>
            <w:r w:rsidRPr="001E34A8">
              <w:rPr>
                <w:rFonts w:ascii="Cambria" w:hAnsi="Cambria"/>
              </w:rPr>
              <w:t>f care in the circumstances</w:t>
            </w:r>
            <w:r>
              <w:rPr>
                <w:rFonts w:ascii="Cambria" w:hAnsi="Cambria"/>
              </w:rPr>
              <w:t>)</w:t>
            </w:r>
            <w:r w:rsidRPr="001E34A8">
              <w:rPr>
                <w:rFonts w:ascii="Cambria" w:hAnsi="Cambria"/>
              </w:rPr>
              <w:t>.</w:t>
            </w:r>
          </w:p>
          <w:p w:rsidR="00B52A61" w:rsidRDefault="00847FF6" w:rsidP="003A41C8">
            <w:pPr>
              <w:pStyle w:val="SingleTxtG"/>
              <w:numPr>
                <w:ilvl w:val="0"/>
                <w:numId w:val="65"/>
              </w:numPr>
              <w:ind w:right="0"/>
              <w:rPr>
                <w:rFonts w:ascii="Cambria" w:hAnsi="Cambria"/>
                <w:b/>
                <w:sz w:val="22"/>
                <w:szCs w:val="22"/>
              </w:rPr>
            </w:pPr>
            <w:proofErr w:type="gramStart"/>
            <w:r>
              <w:rPr>
                <w:rFonts w:ascii="Cambria" w:hAnsi="Cambria"/>
              </w:rPr>
              <w:t>clarifying</w:t>
            </w:r>
            <w:proofErr w:type="gramEnd"/>
            <w:r>
              <w:rPr>
                <w:rFonts w:ascii="Cambria" w:hAnsi="Cambria"/>
              </w:rPr>
              <w:t xml:space="preserve"> </w:t>
            </w:r>
            <w:r w:rsidR="00CF4252" w:rsidRPr="00F32E8D">
              <w:rPr>
                <w:rFonts w:ascii="Cambria" w:hAnsi="Cambria"/>
              </w:rPr>
              <w:t>corporate management requirements</w:t>
            </w:r>
            <w:r w:rsidR="00CF4252">
              <w:rPr>
                <w:rFonts w:ascii="Cambria" w:hAnsi="Cambria"/>
              </w:rPr>
              <w:t xml:space="preserve"> through statutory provisions</w:t>
            </w:r>
            <w:r w:rsidR="00CF4252" w:rsidRPr="00F32E8D">
              <w:rPr>
                <w:rFonts w:ascii="Cambria" w:hAnsi="Cambria"/>
              </w:rPr>
              <w:t xml:space="preserve">, </w:t>
            </w:r>
            <w:r w:rsidR="00CF4252">
              <w:rPr>
                <w:rFonts w:ascii="Cambria" w:hAnsi="Cambria"/>
              </w:rPr>
              <w:t>such as</w:t>
            </w:r>
            <w:r w:rsidR="00CF4252" w:rsidRPr="00F32E8D">
              <w:rPr>
                <w:rFonts w:ascii="Cambria" w:hAnsi="Cambria"/>
              </w:rPr>
              <w:t xml:space="preserve"> requirements as to management and risk control systems, training of personnel, internal communication systems, periodic effectiveness and performance reviews, and systems to identify and implement appropriate corrections to deficient systems.</w:t>
            </w:r>
            <w:r w:rsidR="00CF4252">
              <w:rPr>
                <w:rFonts w:ascii="Cambria" w:hAnsi="Cambria"/>
              </w:rPr>
              <w:t xml:space="preserve">  (</w:t>
            </w:r>
            <w:r w:rsidR="00CF4252" w:rsidRPr="00EA2E9C">
              <w:rPr>
                <w:rFonts w:ascii="Cambria" w:hAnsi="Cambria"/>
                <w:b/>
              </w:rPr>
              <w:t>Note:</w:t>
            </w:r>
            <w:r w:rsidR="00CF4252">
              <w:rPr>
                <w:rFonts w:ascii="Cambria" w:hAnsi="Cambria"/>
              </w:rPr>
              <w:t xml:space="preserve"> On the relevance of human rights due diligence to corporate legal liability, see further 14.1 and 14.2 below).</w:t>
            </w:r>
          </w:p>
        </w:tc>
      </w:tr>
    </w:tbl>
    <w:p w:rsidR="00B52A61" w:rsidRPr="008B11B2" w:rsidRDefault="00B52A61" w:rsidP="00B52A61">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12.4</w:t>
      </w:r>
      <w:r w:rsidRPr="008B11B2">
        <w:rPr>
          <w:rFonts w:ascii="Cambria" w:hAnsi="Cambria"/>
          <w:b/>
          <w:sz w:val="22"/>
          <w:szCs w:val="22"/>
        </w:rPr>
        <w:tab/>
        <w:t>Domestic private law regimes communicate clearly the standards of management and supervision expected of business enterprises with respect to the identification, prevention and mitigation of human rights impacts within their supply chains that a business enterprise may cause or contribute to as a result of its policies, practices or operations.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12.4</w:t>
            </w:r>
          </w:p>
          <w:p w:rsidR="00B52A61" w:rsidRPr="001E34A8" w:rsidRDefault="001E34A8" w:rsidP="004F60D5">
            <w:pPr>
              <w:pStyle w:val="SingleTxtG"/>
              <w:ind w:left="0" w:right="0"/>
              <w:rPr>
                <w:rFonts w:ascii="Cambria" w:hAnsi="Cambria"/>
              </w:rPr>
            </w:pPr>
            <w:r>
              <w:rPr>
                <w:rFonts w:ascii="Cambria" w:hAnsi="Cambria"/>
              </w:rPr>
              <w:t xml:space="preserve">A. </w:t>
            </w:r>
            <w:r w:rsidRPr="001E34A8">
              <w:rPr>
                <w:rFonts w:ascii="Cambria" w:hAnsi="Cambria"/>
              </w:rPr>
              <w:t xml:space="preserve">See </w:t>
            </w:r>
            <w:r>
              <w:rPr>
                <w:rFonts w:ascii="Cambria" w:hAnsi="Cambria"/>
              </w:rPr>
              <w:t xml:space="preserve">comments about the scope of a “duty of care” </w:t>
            </w:r>
            <w:r w:rsidR="00B02DB9">
              <w:rPr>
                <w:rFonts w:ascii="Cambria" w:hAnsi="Cambria"/>
              </w:rPr>
              <w:t xml:space="preserve">under domestic private law regimes </w:t>
            </w:r>
            <w:r>
              <w:rPr>
                <w:rFonts w:ascii="Cambria" w:hAnsi="Cambria"/>
              </w:rPr>
              <w:t xml:space="preserve">at </w:t>
            </w:r>
            <w:r w:rsidRPr="001E34A8">
              <w:rPr>
                <w:rFonts w:ascii="Cambria" w:hAnsi="Cambria"/>
              </w:rPr>
              <w:t>12.3 above.</w:t>
            </w:r>
          </w:p>
          <w:p w:rsidR="00B52A61" w:rsidRPr="001E34A8" w:rsidRDefault="001E34A8" w:rsidP="001E34A8">
            <w:pPr>
              <w:pStyle w:val="SingleTxtG"/>
              <w:ind w:left="0" w:right="0"/>
              <w:rPr>
                <w:rFonts w:ascii="Cambria" w:hAnsi="Cambria"/>
              </w:rPr>
            </w:pPr>
            <w:r w:rsidRPr="001E34A8">
              <w:rPr>
                <w:rFonts w:ascii="Cambria" w:hAnsi="Cambria"/>
              </w:rPr>
              <w:t xml:space="preserve">B. Note that theories of secondary liability are also potentially relevant to legal liability </w:t>
            </w:r>
            <w:r>
              <w:rPr>
                <w:rFonts w:ascii="Cambria" w:hAnsi="Cambria"/>
              </w:rPr>
              <w:t>of business enterprises for human rights abuses taking place within a supply chain</w:t>
            </w:r>
            <w:r w:rsidRPr="001E34A8">
              <w:rPr>
                <w:rFonts w:ascii="Cambria" w:hAnsi="Cambria"/>
              </w:rPr>
              <w:t>.  (See further 13.1-13.3 below).</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12.5</w:t>
      </w:r>
      <w:r w:rsidRPr="008B11B2">
        <w:rPr>
          <w:rFonts w:ascii="Cambria" w:hAnsi="Cambria"/>
          <w:b/>
          <w:sz w:val="22"/>
          <w:szCs w:val="22"/>
        </w:rPr>
        <w:tab/>
        <w:t>In the distribution of evidential burdens of proof between the claimant and the defendant company, domestic private law regimes strike an appropriate balance between considerations of access to remedy and fairness to all parties.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033D9C" w:rsidRDefault="00B52A61" w:rsidP="004F60D5">
            <w:pPr>
              <w:pStyle w:val="SingleTxtG"/>
              <w:ind w:left="0" w:right="0"/>
              <w:rPr>
                <w:rFonts w:ascii="Cambria" w:hAnsi="Cambria"/>
                <w:sz w:val="22"/>
                <w:szCs w:val="22"/>
              </w:rPr>
            </w:pPr>
            <w:r>
              <w:rPr>
                <w:rFonts w:ascii="Cambria" w:hAnsi="Cambria"/>
                <w:b/>
                <w:sz w:val="22"/>
                <w:szCs w:val="22"/>
              </w:rPr>
              <w:t>Illustrative example: 12.5</w:t>
            </w:r>
          </w:p>
          <w:p w:rsidR="00DF5185" w:rsidRDefault="00A364A0" w:rsidP="00033D9C">
            <w:pPr>
              <w:pStyle w:val="SingleTxtG"/>
              <w:ind w:left="0" w:right="0"/>
              <w:rPr>
                <w:rFonts w:ascii="Cambria" w:hAnsi="Cambria" w:cs="Arial"/>
              </w:rPr>
            </w:pPr>
            <w:r>
              <w:rPr>
                <w:rFonts w:ascii="Cambria" w:hAnsi="Cambria" w:cs="Arial"/>
              </w:rPr>
              <w:t xml:space="preserve">A. </w:t>
            </w:r>
            <w:r w:rsidR="00033D9C" w:rsidRPr="00033D9C">
              <w:rPr>
                <w:rFonts w:ascii="Cambria" w:hAnsi="Cambria" w:cs="Arial"/>
              </w:rPr>
              <w:t xml:space="preserve">Policy justifications for the use of strict and absolute liability in domestic </w:t>
            </w:r>
            <w:r w:rsidR="00033D9C">
              <w:rPr>
                <w:rFonts w:ascii="Cambria" w:hAnsi="Cambria" w:cs="Arial"/>
              </w:rPr>
              <w:t>private</w:t>
            </w:r>
            <w:r w:rsidR="00033D9C" w:rsidRPr="00033D9C">
              <w:rPr>
                <w:rFonts w:ascii="Cambria" w:hAnsi="Cambria" w:cs="Arial"/>
              </w:rPr>
              <w:t xml:space="preserve"> law regimes include</w:t>
            </w:r>
            <w:r w:rsidR="00DF5185">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the need to avoid placing unfair evidential burdens on affected persons (e.g. injured consumers, or employees)</w:t>
            </w:r>
            <w:r w:rsidR="003A41C8">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the desirability of avoiding the lengthy and complex trials that would result were claimants required to demonstrate corporate knowledge and/or intent</w:t>
            </w:r>
            <w:r w:rsidR="00DF5185">
              <w:rPr>
                <w:rFonts w:ascii="Cambria" w:hAnsi="Cambria" w:cs="Arial"/>
              </w:rPr>
              <w:t>;</w:t>
            </w:r>
          </w:p>
          <w:p w:rsidR="0006191C" w:rsidRDefault="00DF5185">
            <w:pPr>
              <w:pStyle w:val="SingleTxtG"/>
              <w:numPr>
                <w:ilvl w:val="0"/>
                <w:numId w:val="65"/>
              </w:numPr>
              <w:ind w:right="0"/>
              <w:rPr>
                <w:rFonts w:ascii="Cambria" w:hAnsi="Cambria" w:cs="Arial"/>
              </w:rPr>
            </w:pPr>
            <w:r>
              <w:rPr>
                <w:rFonts w:ascii="Cambria" w:hAnsi="Cambria" w:cs="Arial"/>
              </w:rPr>
              <w:t xml:space="preserve">the need for </w:t>
            </w:r>
            <w:r w:rsidR="00033D9C" w:rsidRPr="00DF5185">
              <w:rPr>
                <w:rFonts w:ascii="Cambria" w:hAnsi="Cambria" w:cs="Arial"/>
              </w:rPr>
              <w:t xml:space="preserve">fair apportionment of risks </w:t>
            </w:r>
            <w:r>
              <w:rPr>
                <w:rFonts w:ascii="Cambria" w:hAnsi="Cambria" w:cs="Arial"/>
              </w:rPr>
              <w:t xml:space="preserve">arising from </w:t>
            </w:r>
            <w:r w:rsidR="00033D9C" w:rsidRPr="00DF5185">
              <w:rPr>
                <w:rFonts w:ascii="Cambria" w:hAnsi="Cambria" w:cs="Arial"/>
              </w:rPr>
              <w:t>modern technology</w:t>
            </w:r>
            <w:r>
              <w:rPr>
                <w:rFonts w:ascii="Cambria" w:hAnsi="Cambria" w:cs="Arial"/>
              </w:rPr>
              <w:t xml:space="preserve"> (e.g. where</w:t>
            </w:r>
            <w:r w:rsidR="00033D9C" w:rsidRPr="00DF5185">
              <w:rPr>
                <w:rFonts w:ascii="Cambria" w:hAnsi="Cambria" w:cs="Arial"/>
              </w:rPr>
              <w:t xml:space="preserve"> manufacturers are in a better position to anticipate and guard against consumer hazards than individual consumers themselves</w:t>
            </w:r>
            <w:r>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 xml:space="preserve"> asymmetry of access to information generally as between corporate defendant and individual plaintiff</w:t>
            </w:r>
            <w:r w:rsidR="00A27D5F">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differences in bargaining position</w:t>
            </w:r>
            <w:r w:rsidR="00DF5185">
              <w:rPr>
                <w:rFonts w:ascii="Cambria" w:hAnsi="Cambria" w:cs="Arial"/>
              </w:rPr>
              <w:t>;</w:t>
            </w:r>
          </w:p>
          <w:p w:rsidR="0006191C" w:rsidRDefault="00033D9C">
            <w:pPr>
              <w:pStyle w:val="SingleTxtG"/>
              <w:numPr>
                <w:ilvl w:val="0"/>
                <w:numId w:val="65"/>
              </w:numPr>
              <w:ind w:right="0"/>
              <w:rPr>
                <w:rFonts w:ascii="Cambria" w:hAnsi="Cambria" w:cs="Arial"/>
              </w:rPr>
            </w:pPr>
            <w:proofErr w:type="gramStart"/>
            <w:r w:rsidRPr="00DF5185">
              <w:rPr>
                <w:rFonts w:ascii="Cambria" w:hAnsi="Cambria" w:cs="Arial"/>
              </w:rPr>
              <w:t>availability</w:t>
            </w:r>
            <w:proofErr w:type="gramEnd"/>
            <w:r w:rsidRPr="00DF5185">
              <w:rPr>
                <w:rFonts w:ascii="Cambria" w:hAnsi="Cambria" w:cs="Arial"/>
              </w:rPr>
              <w:t xml:space="preserve"> of insurance in respect of certain consumer and employee risks</w:t>
            </w:r>
            <w:r w:rsidR="00DF5185">
              <w:rPr>
                <w:rFonts w:ascii="Cambria" w:hAnsi="Cambria" w:cs="Arial"/>
              </w:rPr>
              <w:t>.</w:t>
            </w:r>
          </w:p>
          <w:p w:rsidR="00DF5185" w:rsidRPr="00A364A0" w:rsidRDefault="00A364A0" w:rsidP="00DF5185">
            <w:pPr>
              <w:pStyle w:val="SingleTxtG"/>
              <w:ind w:left="0" w:right="0"/>
              <w:rPr>
                <w:rFonts w:ascii="Cambria" w:hAnsi="Cambria" w:cs="Arial"/>
              </w:rPr>
            </w:pPr>
            <w:r w:rsidRPr="00A364A0">
              <w:rPr>
                <w:rFonts w:ascii="Cambria" w:hAnsi="Cambria" w:cs="Arial"/>
              </w:rPr>
              <w:lastRenderedPageBreak/>
              <w:t xml:space="preserve">B. </w:t>
            </w:r>
            <w:r w:rsidR="00DD7E43" w:rsidRPr="00A364A0">
              <w:rPr>
                <w:rFonts w:ascii="Cambria" w:hAnsi="Cambria" w:cs="Arial"/>
              </w:rPr>
              <w:t>Note: for further discussion of the use of “strict” and “absolute” liability in domestic law regimes see A/HRC/32/19/Add.1, Box 1).</w:t>
            </w:r>
          </w:p>
        </w:tc>
      </w:tr>
    </w:tbl>
    <w:p w:rsidR="00B52A61" w:rsidRPr="008B11B2" w:rsidRDefault="00B52A61" w:rsidP="008B11B2">
      <w:pPr>
        <w:pStyle w:val="SingleTxtG"/>
        <w:ind w:left="0" w:right="0"/>
        <w:rPr>
          <w:rFonts w:ascii="Cambria" w:hAnsi="Cambria"/>
          <w:b/>
          <w:sz w:val="22"/>
          <w:szCs w:val="22"/>
        </w:rPr>
      </w:pPr>
    </w:p>
    <w:p w:rsidR="00B52A61" w:rsidRPr="008B11B2" w:rsidRDefault="008B11B2" w:rsidP="00B92959">
      <w:pPr>
        <w:pStyle w:val="SingleTxtG"/>
        <w:ind w:left="0" w:right="0"/>
        <w:rPr>
          <w:rFonts w:ascii="Cambria" w:hAnsi="Cambria"/>
          <w:b/>
          <w:sz w:val="22"/>
          <w:szCs w:val="22"/>
        </w:rPr>
      </w:pPr>
      <w:r w:rsidRPr="008B11B2">
        <w:rPr>
          <w:rFonts w:ascii="Cambria" w:hAnsi="Cambria"/>
          <w:b/>
          <w:sz w:val="22"/>
          <w:szCs w:val="22"/>
        </w:rPr>
        <w:t>12.6</w:t>
      </w:r>
      <w:r w:rsidRPr="008B11B2">
        <w:rPr>
          <w:rFonts w:ascii="Cambria" w:hAnsi="Cambria"/>
          <w:b/>
          <w:sz w:val="22"/>
          <w:szCs w:val="22"/>
        </w:rPr>
        <w:tab/>
        <w:t>Corporate legal liability under domestic private law regimes is not contingent, in law or in practice, upon a prior finding of corporate legal liability under any domestic public law regime (e.g. a finding of corporate criminal liability or its functional equivalent).</w:t>
      </w:r>
      <w:r w:rsidR="00B92959" w:rsidDel="00B92959">
        <w:rPr>
          <w:rFonts w:ascii="Cambria" w:hAnsi="Cambria"/>
          <w:b/>
          <w:sz w:val="22"/>
          <w:szCs w:val="22"/>
        </w:rPr>
        <w:t xml:space="preserve"> </w:t>
      </w:r>
    </w:p>
    <w:p w:rsidR="00B52A61" w:rsidRPr="008B11B2" w:rsidRDefault="008B11B2" w:rsidP="00712A8E">
      <w:pPr>
        <w:pStyle w:val="SingleTxtG"/>
        <w:ind w:left="0" w:right="0"/>
        <w:rPr>
          <w:rFonts w:ascii="Cambria" w:hAnsi="Cambria"/>
          <w:b/>
          <w:sz w:val="22"/>
          <w:szCs w:val="22"/>
        </w:rPr>
      </w:pPr>
      <w:r w:rsidRPr="008B11B2">
        <w:rPr>
          <w:rFonts w:ascii="Cambria" w:hAnsi="Cambria"/>
          <w:b/>
          <w:sz w:val="22"/>
          <w:szCs w:val="22"/>
        </w:rPr>
        <w:t>12.7</w:t>
      </w:r>
      <w:r w:rsidRPr="008B11B2">
        <w:rPr>
          <w:rFonts w:ascii="Cambria" w:hAnsi="Cambria"/>
          <w:b/>
          <w:sz w:val="22"/>
          <w:szCs w:val="22"/>
        </w:rPr>
        <w:tab/>
        <w:t>Affected persons are not prevented, in law or in practice, from bringing a claim because of an ongoing public law (e.g. criminal) investigation into the same set of facts as the prospective private law claim.</w:t>
      </w:r>
      <w:r w:rsidR="00712A8E" w:rsidDel="00712A8E">
        <w:rPr>
          <w:rFonts w:ascii="Cambria" w:hAnsi="Cambria"/>
          <w:b/>
          <w:sz w:val="22"/>
          <w:szCs w:val="22"/>
        </w:rPr>
        <w:t xml:space="preserve"> </w:t>
      </w:r>
    </w:p>
    <w:p w:rsidR="00B4391C" w:rsidRDefault="008B11B2" w:rsidP="00712A8E">
      <w:pPr>
        <w:pStyle w:val="SingleTxtG"/>
        <w:ind w:left="0" w:right="0"/>
        <w:rPr>
          <w:rFonts w:ascii="Cambria" w:hAnsi="Cambria"/>
          <w:b/>
          <w:sz w:val="22"/>
          <w:szCs w:val="22"/>
        </w:rPr>
      </w:pPr>
      <w:r w:rsidRPr="008B11B2">
        <w:rPr>
          <w:rFonts w:ascii="Cambria" w:hAnsi="Cambria"/>
          <w:b/>
          <w:sz w:val="22"/>
          <w:szCs w:val="22"/>
        </w:rPr>
        <w:t>12.8</w:t>
      </w:r>
      <w:r w:rsidRPr="008B11B2">
        <w:rPr>
          <w:rFonts w:ascii="Cambria" w:hAnsi="Cambria"/>
          <w:b/>
          <w:sz w:val="22"/>
          <w:szCs w:val="22"/>
        </w:rPr>
        <w:tab/>
        <w:t>Domestic private law regimes are clear as to their geographic scope.</w:t>
      </w:r>
      <w:r w:rsidR="00712A8E" w:rsidDel="00712A8E">
        <w:rPr>
          <w:rFonts w:ascii="Cambria" w:hAnsi="Cambria"/>
          <w:b/>
          <w:sz w:val="22"/>
          <w:szCs w:val="22"/>
        </w:rPr>
        <w:t xml:space="preserve"> </w:t>
      </w:r>
    </w:p>
    <w:p w:rsidR="008B11B2" w:rsidRPr="008B11B2" w:rsidRDefault="008B11B2" w:rsidP="008B11B2">
      <w:pPr>
        <w:pStyle w:val="SingleTxtG"/>
        <w:ind w:left="0" w:right="0"/>
        <w:rPr>
          <w:rFonts w:ascii="Cambria" w:hAnsi="Cambria"/>
          <w:b/>
          <w:sz w:val="22"/>
          <w:szCs w:val="22"/>
        </w:rPr>
      </w:pPr>
      <w:r w:rsidRPr="008B11B2">
        <w:rPr>
          <w:rFonts w:ascii="Cambria" w:hAnsi="Cambria"/>
          <w:b/>
          <w:sz w:val="22"/>
          <w:szCs w:val="22"/>
        </w:rPr>
        <w:t>12.9</w:t>
      </w:r>
      <w:r w:rsidRPr="008B11B2">
        <w:rPr>
          <w:rFonts w:ascii="Cambria" w:hAnsi="Cambria"/>
          <w:b/>
          <w:sz w:val="22"/>
          <w:szCs w:val="22"/>
        </w:rPr>
        <w:tab/>
        <w:t>The State regularly reviews whether its domestic private law regimes provide the necessary coverage and the appropriate range of approaches with respect to business-related human rights impacts in the light of evolving circumstances and the State’s obligations under international human rights treaties, and takes the necessary legislative and/or policy steps to correct any deficiencies in coverage or approach.</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761B79" w:rsidRDefault="00B52A61" w:rsidP="004F60D5">
            <w:pPr>
              <w:pStyle w:val="SingleTxtG"/>
              <w:ind w:left="0" w:right="0"/>
              <w:rPr>
                <w:rFonts w:ascii="Cambria" w:hAnsi="Cambria"/>
                <w:b/>
              </w:rPr>
            </w:pPr>
            <w:r>
              <w:rPr>
                <w:rFonts w:ascii="Cambria" w:hAnsi="Cambria"/>
                <w:b/>
                <w:sz w:val="22"/>
                <w:szCs w:val="22"/>
              </w:rPr>
              <w:t>Illustrative example: 12.9</w:t>
            </w:r>
          </w:p>
          <w:p w:rsidR="00B52A61" w:rsidRPr="00761B79" w:rsidRDefault="00761B79" w:rsidP="004F60D5">
            <w:pPr>
              <w:pStyle w:val="SingleTxtG"/>
              <w:ind w:left="0" w:right="0"/>
              <w:rPr>
                <w:rFonts w:ascii="Cambria" w:hAnsi="Cambria"/>
                <w:vertAlign w:val="superscript"/>
              </w:rPr>
            </w:pPr>
            <w:r w:rsidRPr="00761B79">
              <w:rPr>
                <w:rFonts w:ascii="Cambria" w:hAnsi="Cambria"/>
              </w:rPr>
              <w:t>See A/HRC/32/19/Add.1, pp. 5-6 for model terms of reference.</w:t>
            </w:r>
          </w:p>
        </w:tc>
      </w:tr>
    </w:tbl>
    <w:p w:rsidR="00B52A61" w:rsidRDefault="00B52A6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13: Private law regimes are sufficiently robust to ensure that there is both effective deterrence from and effective remedy in the event of corporate contributions to business-related human rights abuses perpetrated by third parties.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13.1</w:t>
      </w:r>
      <w:r w:rsidRPr="008B11B2">
        <w:rPr>
          <w:rFonts w:ascii="Cambria" w:hAnsi="Cambria"/>
          <w:b/>
          <w:sz w:val="22"/>
          <w:szCs w:val="22"/>
        </w:rPr>
        <w:tab/>
        <w:t>Domestic private law regimes (a) communicate clearly the different modes and degrees of contribution to the harms perpetrated by a third party that will give rise to secondary legal liability; and (b) are clear as to the extent to which the principles for assessing secondary liability are applicable to companies.</w:t>
      </w:r>
    </w:p>
    <w:p w:rsidR="00B52A61" w:rsidRDefault="00B52A6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87215F">
              <w:rPr>
                <w:rFonts w:ascii="Cambria" w:hAnsi="Cambria"/>
                <w:b/>
                <w:sz w:val="22"/>
                <w:szCs w:val="22"/>
              </w:rPr>
              <w:t>s</w:t>
            </w:r>
            <w:r>
              <w:rPr>
                <w:rFonts w:ascii="Cambria" w:hAnsi="Cambria"/>
                <w:b/>
                <w:sz w:val="22"/>
                <w:szCs w:val="22"/>
              </w:rPr>
              <w:t>: 13.1</w:t>
            </w:r>
          </w:p>
          <w:p w:rsidR="00984CE2" w:rsidRDefault="00984CE2" w:rsidP="00984CE2">
            <w:pPr>
              <w:pStyle w:val="SingleTxtG"/>
              <w:ind w:left="0" w:right="0"/>
              <w:rPr>
                <w:rFonts w:ascii="Cambria" w:hAnsi="Cambria"/>
              </w:rPr>
            </w:pPr>
            <w:r>
              <w:rPr>
                <w:rFonts w:ascii="Cambria" w:hAnsi="Cambria"/>
              </w:rPr>
              <w:t xml:space="preserve">A. </w:t>
            </w:r>
            <w:r w:rsidR="0055259C">
              <w:rPr>
                <w:rFonts w:ascii="Cambria" w:hAnsi="Cambria"/>
              </w:rPr>
              <w:t xml:space="preserve">Where the concept of </w:t>
            </w:r>
            <w:r>
              <w:rPr>
                <w:rFonts w:ascii="Cambria" w:hAnsi="Cambria"/>
              </w:rPr>
              <w:t xml:space="preserve">“secondary” </w:t>
            </w:r>
            <w:r w:rsidR="0055259C">
              <w:rPr>
                <w:rFonts w:ascii="Cambria" w:hAnsi="Cambria"/>
              </w:rPr>
              <w:t xml:space="preserve">corporate </w:t>
            </w:r>
            <w:r>
              <w:rPr>
                <w:rFonts w:ascii="Cambria" w:hAnsi="Cambria"/>
              </w:rPr>
              <w:t xml:space="preserve">liability for </w:t>
            </w:r>
            <w:r w:rsidR="0055259C">
              <w:rPr>
                <w:rFonts w:ascii="Cambria" w:hAnsi="Cambria"/>
              </w:rPr>
              <w:t>a wrong under private law is legally recognized, modes of contribution that may give rise to corporate legal liability on the basis of secondary (or “complicity” liability include</w:t>
            </w:r>
            <w:r w:rsidR="00A27D5F">
              <w:rPr>
                <w:rFonts w:ascii="Cambria" w:hAnsi="Cambria"/>
              </w:rPr>
              <w:t>;</w:t>
            </w:r>
          </w:p>
          <w:p w:rsidR="00984CE2" w:rsidRDefault="00984CE2" w:rsidP="00E623C2">
            <w:pPr>
              <w:pStyle w:val="SingleTxtG"/>
              <w:numPr>
                <w:ilvl w:val="0"/>
                <w:numId w:val="8"/>
              </w:numPr>
              <w:ind w:right="0"/>
              <w:rPr>
                <w:rFonts w:ascii="Cambria" w:hAnsi="Cambria"/>
              </w:rPr>
            </w:pPr>
            <w:r>
              <w:rPr>
                <w:rFonts w:ascii="Cambria" w:hAnsi="Cambria"/>
              </w:rPr>
              <w:t>“aiding and abetting”</w:t>
            </w:r>
            <w:r w:rsidR="0055259C">
              <w:rPr>
                <w:rFonts w:ascii="Cambria" w:hAnsi="Cambria"/>
              </w:rPr>
              <w:t xml:space="preserve"> the wrongdoing of a third party</w:t>
            </w:r>
            <w:r>
              <w:rPr>
                <w:rFonts w:ascii="Cambria" w:hAnsi="Cambria"/>
              </w:rPr>
              <w:t>;</w:t>
            </w:r>
          </w:p>
          <w:p w:rsidR="00984CE2" w:rsidRPr="00984CE2" w:rsidRDefault="00984CE2" w:rsidP="00E623C2">
            <w:pPr>
              <w:pStyle w:val="SingleTxtG"/>
              <w:numPr>
                <w:ilvl w:val="0"/>
                <w:numId w:val="8"/>
              </w:numPr>
              <w:ind w:right="0"/>
              <w:rPr>
                <w:rFonts w:ascii="Cambria" w:hAnsi="Cambria"/>
              </w:rPr>
            </w:pPr>
            <w:r>
              <w:rPr>
                <w:rFonts w:ascii="Cambria" w:hAnsi="Cambria"/>
              </w:rPr>
              <w:t>“instigating”, “inciting” or “encouraging”</w:t>
            </w:r>
            <w:r w:rsidR="0055259C">
              <w:rPr>
                <w:rFonts w:ascii="Cambria" w:hAnsi="Cambria"/>
              </w:rPr>
              <w:t xml:space="preserve"> the wrongdoing of a third party</w:t>
            </w:r>
            <w:r>
              <w:rPr>
                <w:rFonts w:ascii="Cambria" w:hAnsi="Cambria"/>
              </w:rPr>
              <w:t>;</w:t>
            </w:r>
          </w:p>
          <w:p w:rsidR="00984CE2" w:rsidRDefault="00984CE2" w:rsidP="00E623C2">
            <w:pPr>
              <w:pStyle w:val="SingleTxtG"/>
              <w:numPr>
                <w:ilvl w:val="0"/>
                <w:numId w:val="8"/>
              </w:numPr>
              <w:ind w:right="0"/>
              <w:rPr>
                <w:rFonts w:ascii="Cambria" w:hAnsi="Cambria"/>
              </w:rPr>
            </w:pPr>
            <w:r>
              <w:rPr>
                <w:rFonts w:ascii="Cambria" w:hAnsi="Cambria"/>
              </w:rPr>
              <w:t xml:space="preserve">being an “accessory” or an “accomplice”; </w:t>
            </w:r>
          </w:p>
          <w:p w:rsidR="00984CE2" w:rsidRDefault="00984CE2" w:rsidP="00E623C2">
            <w:pPr>
              <w:pStyle w:val="SingleTxtG"/>
              <w:numPr>
                <w:ilvl w:val="0"/>
                <w:numId w:val="8"/>
              </w:numPr>
              <w:ind w:right="0"/>
              <w:rPr>
                <w:rFonts w:ascii="Cambria" w:hAnsi="Cambria"/>
              </w:rPr>
            </w:pPr>
            <w:r>
              <w:rPr>
                <w:rFonts w:ascii="Cambria" w:hAnsi="Cambria"/>
              </w:rPr>
              <w:t>“conspiring” to commit an tort;</w:t>
            </w:r>
          </w:p>
          <w:p w:rsidR="00984CE2" w:rsidRPr="00D06986" w:rsidRDefault="00984CE2" w:rsidP="00E623C2">
            <w:pPr>
              <w:pStyle w:val="SingleTxtG"/>
              <w:numPr>
                <w:ilvl w:val="0"/>
                <w:numId w:val="8"/>
              </w:numPr>
              <w:ind w:right="0"/>
              <w:rPr>
                <w:rFonts w:ascii="Cambria" w:hAnsi="Cambria"/>
              </w:rPr>
            </w:pPr>
            <w:proofErr w:type="gramStart"/>
            <w:r>
              <w:rPr>
                <w:rFonts w:ascii="Cambria" w:hAnsi="Cambria"/>
              </w:rPr>
              <w:t>subsequent</w:t>
            </w:r>
            <w:proofErr w:type="gramEnd"/>
            <w:r>
              <w:rPr>
                <w:rFonts w:ascii="Cambria" w:hAnsi="Cambria"/>
              </w:rPr>
              <w:t xml:space="preserve"> “authorisation” or “approval” or “ratification”</w:t>
            </w:r>
            <w:r w:rsidR="0055259C">
              <w:rPr>
                <w:rFonts w:ascii="Cambria" w:hAnsi="Cambria"/>
              </w:rPr>
              <w:t xml:space="preserve"> of the wrongdoing of a third party</w:t>
            </w:r>
            <w:r>
              <w:rPr>
                <w:rFonts w:ascii="Cambria" w:hAnsi="Cambria"/>
              </w:rPr>
              <w:t>.</w:t>
            </w:r>
          </w:p>
          <w:p w:rsidR="00984CE2" w:rsidRDefault="00984CE2" w:rsidP="00984CE2">
            <w:pPr>
              <w:pStyle w:val="SingleTxtG"/>
              <w:ind w:left="0" w:right="0"/>
              <w:rPr>
                <w:rFonts w:ascii="Cambria" w:hAnsi="Cambria"/>
              </w:rPr>
            </w:pPr>
            <w:r>
              <w:rPr>
                <w:rFonts w:ascii="Cambria" w:hAnsi="Cambria"/>
              </w:rPr>
              <w:t>B.  Degrees of contribution to harm that may give rise to corporate legal liability under domestic private law regimes on the basis of secondary (or “complicity”) liability (i.e. the physi</w:t>
            </w:r>
            <w:r w:rsidR="00A27D5F">
              <w:rPr>
                <w:rFonts w:ascii="Cambria" w:hAnsi="Cambria"/>
              </w:rPr>
              <w:t>cal aspects of the offence) are;</w:t>
            </w:r>
          </w:p>
          <w:p w:rsidR="00984CE2" w:rsidRDefault="00984CE2" w:rsidP="00E623C2">
            <w:pPr>
              <w:pStyle w:val="SingleTxtG"/>
              <w:numPr>
                <w:ilvl w:val="0"/>
                <w:numId w:val="8"/>
              </w:numPr>
              <w:ind w:right="0"/>
              <w:rPr>
                <w:rFonts w:ascii="Cambria" w:hAnsi="Cambria"/>
              </w:rPr>
            </w:pPr>
            <w:r>
              <w:rPr>
                <w:rFonts w:ascii="Cambria" w:hAnsi="Cambria"/>
              </w:rPr>
              <w:t>“material” assistance (e.g. offence would not have happened but for the contribution of the secondary party);</w:t>
            </w:r>
          </w:p>
          <w:p w:rsidR="00984CE2" w:rsidRDefault="00984CE2" w:rsidP="00E623C2">
            <w:pPr>
              <w:pStyle w:val="SingleTxtG"/>
              <w:numPr>
                <w:ilvl w:val="0"/>
                <w:numId w:val="8"/>
              </w:numPr>
              <w:ind w:right="0"/>
              <w:rPr>
                <w:rFonts w:ascii="Cambria" w:hAnsi="Cambria"/>
              </w:rPr>
            </w:pPr>
            <w:r>
              <w:rPr>
                <w:rFonts w:ascii="Cambria" w:hAnsi="Cambria"/>
              </w:rPr>
              <w:lastRenderedPageBreak/>
              <w:t>“</w:t>
            </w:r>
            <w:proofErr w:type="gramStart"/>
            <w:r>
              <w:rPr>
                <w:rFonts w:ascii="Cambria" w:hAnsi="Cambria"/>
              </w:rPr>
              <w:t>substantial</w:t>
            </w:r>
            <w:proofErr w:type="gramEnd"/>
            <w:r>
              <w:rPr>
                <w:rFonts w:ascii="Cambria" w:hAnsi="Cambria"/>
              </w:rPr>
              <w:t>” assistance.</w:t>
            </w:r>
          </w:p>
          <w:p w:rsidR="00984CE2" w:rsidRDefault="00984CE2" w:rsidP="00984CE2">
            <w:pPr>
              <w:pStyle w:val="SingleTxtG"/>
              <w:ind w:left="0" w:right="0"/>
              <w:rPr>
                <w:rFonts w:ascii="Cambria" w:hAnsi="Cambria"/>
              </w:rPr>
            </w:pPr>
            <w:r>
              <w:rPr>
                <w:rFonts w:ascii="Cambria" w:hAnsi="Cambria"/>
              </w:rPr>
              <w:t>C.  Degrees of culpability that may give rise to corporate legal liability under domestic private law regimes on the basis of secondary (“complicity”) liability (i.e. the</w:t>
            </w:r>
            <w:r w:rsidR="00A27D5F">
              <w:rPr>
                <w:rFonts w:ascii="Cambria" w:hAnsi="Cambria"/>
              </w:rPr>
              <w:t xml:space="preserve"> mental aspects of the offence) include;</w:t>
            </w:r>
          </w:p>
          <w:p w:rsidR="00984CE2" w:rsidRDefault="00984CE2" w:rsidP="00E623C2">
            <w:pPr>
              <w:pStyle w:val="SingleTxtG"/>
              <w:numPr>
                <w:ilvl w:val="0"/>
                <w:numId w:val="8"/>
              </w:numPr>
              <w:ind w:right="0"/>
              <w:rPr>
                <w:rFonts w:ascii="Cambria" w:hAnsi="Cambria"/>
              </w:rPr>
            </w:pPr>
            <w:r>
              <w:rPr>
                <w:rFonts w:ascii="Cambria" w:hAnsi="Cambria"/>
              </w:rPr>
              <w:t>“intentional” assistance (i.e. the secondary party and the main perp</w:t>
            </w:r>
            <w:r w:rsidR="00A27D5F">
              <w:rPr>
                <w:rFonts w:ascii="Cambria" w:hAnsi="Cambria"/>
              </w:rPr>
              <w:t>etrator share a common purpose);</w:t>
            </w:r>
          </w:p>
          <w:p w:rsidR="00984CE2" w:rsidRDefault="00984CE2" w:rsidP="00E623C2">
            <w:pPr>
              <w:pStyle w:val="SingleTxtG"/>
              <w:numPr>
                <w:ilvl w:val="0"/>
                <w:numId w:val="8"/>
              </w:numPr>
              <w:ind w:right="0"/>
              <w:rPr>
                <w:rFonts w:ascii="Cambria" w:hAnsi="Cambria"/>
              </w:rPr>
            </w:pPr>
            <w:r>
              <w:rPr>
                <w:rFonts w:ascii="Cambria" w:hAnsi="Cambria"/>
              </w:rPr>
              <w:t>“knowing” assistance;</w:t>
            </w:r>
          </w:p>
          <w:p w:rsidR="00984CE2" w:rsidRDefault="00984CE2" w:rsidP="00E623C2">
            <w:pPr>
              <w:pStyle w:val="SingleTxtG"/>
              <w:numPr>
                <w:ilvl w:val="0"/>
                <w:numId w:val="8"/>
              </w:numPr>
              <w:ind w:right="0"/>
              <w:rPr>
                <w:rFonts w:ascii="Cambria" w:hAnsi="Cambria"/>
              </w:rPr>
            </w:pPr>
            <w:r>
              <w:rPr>
                <w:rFonts w:ascii="Cambria" w:hAnsi="Cambria"/>
              </w:rPr>
              <w:t>“</w:t>
            </w:r>
            <w:proofErr w:type="gramStart"/>
            <w:r>
              <w:rPr>
                <w:rFonts w:ascii="Cambria" w:hAnsi="Cambria"/>
              </w:rPr>
              <w:t>negligent</w:t>
            </w:r>
            <w:proofErr w:type="gramEnd"/>
            <w:r>
              <w:rPr>
                <w:rFonts w:ascii="Cambria" w:hAnsi="Cambria"/>
              </w:rPr>
              <w:t>” or “reckless” assistance.</w:t>
            </w:r>
          </w:p>
          <w:p w:rsidR="00B52A61" w:rsidRDefault="00984CE2" w:rsidP="00A27D5F">
            <w:pPr>
              <w:jc w:val="both"/>
              <w:rPr>
                <w:rFonts w:ascii="Cambria" w:hAnsi="Cambria"/>
                <w:b/>
                <w:i/>
                <w:sz w:val="20"/>
                <w:szCs w:val="20"/>
              </w:rPr>
            </w:pPr>
            <w:r w:rsidRPr="0087408A">
              <w:rPr>
                <w:rFonts w:ascii="Cambria" w:hAnsi="Cambria"/>
                <w:b/>
                <w:i/>
                <w:sz w:val="20"/>
                <w:szCs w:val="20"/>
              </w:rPr>
              <w:t xml:space="preserve">Note: In practice, domestic </w:t>
            </w:r>
            <w:r>
              <w:rPr>
                <w:rFonts w:ascii="Cambria" w:hAnsi="Cambria"/>
                <w:b/>
                <w:i/>
                <w:sz w:val="20"/>
                <w:szCs w:val="20"/>
              </w:rPr>
              <w:t>private</w:t>
            </w:r>
            <w:r w:rsidRPr="0087408A">
              <w:rPr>
                <w:rFonts w:ascii="Cambria" w:hAnsi="Cambria"/>
                <w:b/>
                <w:i/>
                <w:sz w:val="20"/>
                <w:szCs w:val="20"/>
              </w:rPr>
              <w:t xml:space="preserve"> law regimes do not use one or other approach exclusively.  Instead, different tests </w:t>
            </w:r>
            <w:r>
              <w:rPr>
                <w:rFonts w:ascii="Cambria" w:hAnsi="Cambria"/>
                <w:b/>
                <w:i/>
                <w:sz w:val="20"/>
                <w:szCs w:val="20"/>
              </w:rPr>
              <w:t xml:space="preserve">for secondary (or “complicity”) liability </w:t>
            </w:r>
            <w:r w:rsidRPr="0087408A">
              <w:rPr>
                <w:rFonts w:ascii="Cambria" w:hAnsi="Cambria"/>
                <w:b/>
                <w:i/>
                <w:sz w:val="20"/>
                <w:szCs w:val="20"/>
              </w:rPr>
              <w:t>may be used in combination, or in the alternative, depending on the relevant policy objectives and regulatory needs.</w:t>
            </w:r>
          </w:p>
          <w:p w:rsidR="00A27D5F" w:rsidRDefault="00A27D5F" w:rsidP="00A27D5F">
            <w:pPr>
              <w:jc w:val="both"/>
              <w:rPr>
                <w:rFonts w:ascii="Cambria" w:hAnsi="Cambria"/>
                <w:b/>
                <w:sz w:val="22"/>
                <w:szCs w:val="22"/>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13.2</w:t>
      </w:r>
      <w:r w:rsidRPr="008B11B2">
        <w:rPr>
          <w:rFonts w:ascii="Cambria" w:hAnsi="Cambria"/>
          <w:b/>
          <w:sz w:val="22"/>
          <w:szCs w:val="22"/>
        </w:rPr>
        <w:tab/>
        <w:t>Domestic private law regimes are clear as to the principles used to attribute knowledge, intentions, actions and omissions to a company for the purposes of assessing corporate legal liability on the basis of theories of secondary liability.</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13.2</w:t>
            </w:r>
          </w:p>
          <w:p w:rsidR="00B52A61" w:rsidRPr="00984CE2" w:rsidRDefault="00984CE2" w:rsidP="004F60D5">
            <w:pPr>
              <w:pStyle w:val="SingleTxtG"/>
              <w:ind w:left="0" w:right="0"/>
              <w:rPr>
                <w:rFonts w:ascii="Cambria" w:hAnsi="Cambria"/>
                <w:sz w:val="22"/>
                <w:szCs w:val="22"/>
              </w:rPr>
            </w:pPr>
            <w:r w:rsidRPr="00984CE2">
              <w:rPr>
                <w:rFonts w:ascii="Cambria" w:hAnsi="Cambria"/>
                <w:sz w:val="22"/>
                <w:szCs w:val="22"/>
              </w:rPr>
              <w:t>See 12.2 above.</w:t>
            </w:r>
          </w:p>
        </w:tc>
      </w:tr>
    </w:tbl>
    <w:p w:rsidR="00B52A61" w:rsidRPr="008B11B2" w:rsidRDefault="00B52A61" w:rsidP="008B11B2">
      <w:pPr>
        <w:pStyle w:val="SingleTxtG"/>
        <w:ind w:left="0" w:right="0"/>
        <w:rPr>
          <w:rFonts w:ascii="Cambria" w:hAnsi="Cambria"/>
          <w:b/>
          <w:sz w:val="22"/>
          <w:szCs w:val="22"/>
        </w:rPr>
      </w:pPr>
    </w:p>
    <w:p w:rsidR="00B52A61" w:rsidRDefault="008B11B2" w:rsidP="00D8266E">
      <w:pPr>
        <w:pStyle w:val="SingleTxtG"/>
        <w:ind w:left="0" w:right="0"/>
        <w:rPr>
          <w:rFonts w:ascii="Cambria" w:hAnsi="Cambria"/>
          <w:b/>
          <w:sz w:val="22"/>
          <w:szCs w:val="22"/>
        </w:rPr>
      </w:pPr>
      <w:r w:rsidRPr="008B11B2">
        <w:rPr>
          <w:rFonts w:ascii="Cambria" w:hAnsi="Cambria"/>
          <w:b/>
          <w:sz w:val="22"/>
          <w:szCs w:val="22"/>
        </w:rPr>
        <w:t>13.3</w:t>
      </w:r>
      <w:r w:rsidRPr="008B11B2">
        <w:rPr>
          <w:rFonts w:ascii="Cambria" w:hAnsi="Cambria"/>
          <w:b/>
          <w:sz w:val="22"/>
          <w:szCs w:val="22"/>
        </w:rPr>
        <w:tab/>
        <w:t>Domestic private law regimes treat causes of action based on theories of secondary liability as distinct causes of action, conceptually and procedurally separate from any breaches of law committed by the primary wrongdoer, and such secondary liability is not contingent, in law or in practice, on any judicial finding of liability on the part of the primary wrongdoer.</w:t>
      </w:r>
      <w:r w:rsidR="00D8266E">
        <w:rPr>
          <w:rFonts w:ascii="Cambria" w:hAnsi="Cambria"/>
          <w:b/>
          <w:sz w:val="22"/>
          <w:szCs w:val="22"/>
        </w:rPr>
        <w:t xml:space="preserve"> </w:t>
      </w:r>
    </w:p>
    <w:p w:rsidR="008B11B2" w:rsidRP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rPr>
          <w:trHeight w:val="359"/>
        </w:trPr>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14: The principles for assessing corporate liability under domestic private law regimes are properly aligned with the responsibility of companies to exercise human rights due diligence across their operations.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 xml:space="preserve">14.1 Domestic private law regimes take appropriate account of effective measures by companies to identify, prevent and mitigate the adverse human rights impacts of their activities. </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3E2044">
              <w:rPr>
                <w:rFonts w:ascii="Cambria" w:hAnsi="Cambria"/>
                <w:b/>
                <w:sz w:val="22"/>
                <w:szCs w:val="22"/>
              </w:rPr>
              <w:t>s</w:t>
            </w:r>
            <w:r>
              <w:rPr>
                <w:rFonts w:ascii="Cambria" w:hAnsi="Cambria"/>
                <w:b/>
                <w:sz w:val="22"/>
                <w:szCs w:val="22"/>
              </w:rPr>
              <w:t>: 14.1</w:t>
            </w:r>
          </w:p>
          <w:p w:rsidR="0055259C"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 xml:space="preserve">Ways to encourage </w:t>
            </w:r>
            <w:r w:rsidR="0055259C">
              <w:rPr>
                <w:rFonts w:ascii="Cambria" w:hAnsi="Cambria"/>
              </w:rPr>
              <w:t>effective measures by companies to identify, prevent and mitigat</w:t>
            </w:r>
            <w:r w:rsidR="000B3A84">
              <w:rPr>
                <w:rFonts w:ascii="Cambria" w:hAnsi="Cambria"/>
              </w:rPr>
              <w:t>e various kinds of risk include;</w:t>
            </w:r>
          </w:p>
          <w:p w:rsidR="000B3A84" w:rsidRDefault="005E144C">
            <w:pPr>
              <w:pStyle w:val="SingleTxtG"/>
              <w:numPr>
                <w:ilvl w:val="0"/>
                <w:numId w:val="69"/>
              </w:numPr>
              <w:ind w:right="0"/>
              <w:rPr>
                <w:rFonts w:ascii="Cambria" w:hAnsi="Cambria"/>
              </w:rPr>
            </w:pPr>
            <w:proofErr w:type="gramStart"/>
            <w:r>
              <w:rPr>
                <w:rFonts w:ascii="Cambria" w:hAnsi="Cambria"/>
              </w:rPr>
              <w:t>inclusion</w:t>
            </w:r>
            <w:proofErr w:type="gramEnd"/>
            <w:r>
              <w:rPr>
                <w:rFonts w:ascii="Cambria" w:hAnsi="Cambria"/>
              </w:rPr>
              <w:t xml:space="preserve"> of p</w:t>
            </w:r>
            <w:r w:rsidR="0055259C">
              <w:rPr>
                <w:rFonts w:ascii="Cambria" w:hAnsi="Cambria"/>
              </w:rPr>
              <w:t xml:space="preserve">oor risk management </w:t>
            </w:r>
            <w:r>
              <w:rPr>
                <w:rFonts w:ascii="Cambria" w:hAnsi="Cambria"/>
              </w:rPr>
              <w:t xml:space="preserve">as </w:t>
            </w:r>
            <w:r w:rsidR="0055259C">
              <w:rPr>
                <w:rFonts w:ascii="Cambria" w:hAnsi="Cambria"/>
              </w:rPr>
              <w:t xml:space="preserve">a </w:t>
            </w:r>
            <w:r>
              <w:rPr>
                <w:rFonts w:ascii="Cambria" w:hAnsi="Cambria"/>
              </w:rPr>
              <w:t>component of tests for corporate legal liability under private law regimes.  For instance, under t</w:t>
            </w:r>
            <w:r>
              <w:rPr>
                <w:rFonts w:ascii="Cambria" w:hAnsi="Cambria" w:cs="Arial"/>
              </w:rPr>
              <w:t>heories of negligence, t</w:t>
            </w:r>
            <w:r w:rsidR="0055259C" w:rsidRPr="00884598">
              <w:rPr>
                <w:rFonts w:ascii="Cambria" w:hAnsi="Cambria" w:cs="Arial"/>
              </w:rPr>
              <w:t>he fact that a company has carried out human rights due diligence</w:t>
            </w:r>
            <w:r w:rsidR="0055259C">
              <w:rPr>
                <w:rFonts w:ascii="Cambria" w:hAnsi="Cambria" w:cs="Arial"/>
              </w:rPr>
              <w:t xml:space="preserve"> activities</w:t>
            </w:r>
            <w:r w:rsidR="0055259C" w:rsidRPr="00884598">
              <w:rPr>
                <w:rFonts w:ascii="Cambria" w:hAnsi="Cambria" w:cs="Arial"/>
              </w:rPr>
              <w:t xml:space="preserve">, and the </w:t>
            </w:r>
            <w:r w:rsidR="0055259C">
              <w:rPr>
                <w:rFonts w:ascii="Cambria" w:hAnsi="Cambria" w:cs="Arial"/>
              </w:rPr>
              <w:t xml:space="preserve">scope, </w:t>
            </w:r>
            <w:r w:rsidR="0055259C" w:rsidRPr="00884598">
              <w:rPr>
                <w:rFonts w:ascii="Cambria" w:hAnsi="Cambria" w:cs="Arial"/>
              </w:rPr>
              <w:t xml:space="preserve">quality </w:t>
            </w:r>
            <w:r w:rsidR="0055259C">
              <w:rPr>
                <w:rFonts w:ascii="Cambria" w:hAnsi="Cambria" w:cs="Arial"/>
              </w:rPr>
              <w:t xml:space="preserve">and effectiveness </w:t>
            </w:r>
            <w:r w:rsidR="0055259C" w:rsidRPr="00884598">
              <w:rPr>
                <w:rFonts w:ascii="Cambria" w:hAnsi="Cambria" w:cs="Arial"/>
              </w:rPr>
              <w:t xml:space="preserve">of </w:t>
            </w:r>
            <w:r w:rsidR="0055259C">
              <w:rPr>
                <w:rFonts w:ascii="Cambria" w:hAnsi="Cambria" w:cs="Arial"/>
              </w:rPr>
              <w:t xml:space="preserve">those </w:t>
            </w:r>
            <w:r w:rsidR="0055259C" w:rsidRPr="00884598">
              <w:rPr>
                <w:rFonts w:ascii="Cambria" w:hAnsi="Cambria" w:cs="Arial"/>
              </w:rPr>
              <w:t>human rights due diligence</w:t>
            </w:r>
            <w:r w:rsidR="0055259C">
              <w:rPr>
                <w:rFonts w:ascii="Cambria" w:hAnsi="Cambria" w:cs="Arial"/>
              </w:rPr>
              <w:t xml:space="preserve"> activities</w:t>
            </w:r>
            <w:r w:rsidR="0055259C" w:rsidRPr="00884598">
              <w:rPr>
                <w:rFonts w:ascii="Cambria" w:hAnsi="Cambria" w:cs="Arial"/>
              </w:rPr>
              <w:t xml:space="preserve">, may be relevant to the question of whether the company had discharged </w:t>
            </w:r>
            <w:r w:rsidR="0055259C">
              <w:rPr>
                <w:rFonts w:ascii="Cambria" w:hAnsi="Cambria" w:cs="Arial"/>
              </w:rPr>
              <w:t>the applicable</w:t>
            </w:r>
            <w:r w:rsidR="0055259C" w:rsidRPr="00884598">
              <w:rPr>
                <w:rFonts w:ascii="Cambria" w:hAnsi="Cambria" w:cs="Arial"/>
              </w:rPr>
              <w:t xml:space="preserve"> standard of care</w:t>
            </w:r>
            <w:r>
              <w:rPr>
                <w:rFonts w:ascii="Cambria" w:hAnsi="Cambria"/>
              </w:rPr>
              <w:t>;</w:t>
            </w:r>
          </w:p>
          <w:p w:rsidR="0006191C" w:rsidRDefault="005E144C">
            <w:pPr>
              <w:pStyle w:val="SingleTxtG"/>
              <w:numPr>
                <w:ilvl w:val="0"/>
                <w:numId w:val="69"/>
              </w:numPr>
              <w:ind w:right="0"/>
              <w:rPr>
                <w:rFonts w:ascii="Cambria" w:hAnsi="Cambria"/>
              </w:rPr>
            </w:pPr>
            <w:proofErr w:type="gramStart"/>
            <w:r>
              <w:rPr>
                <w:rFonts w:ascii="Cambria" w:hAnsi="Cambria" w:cs="Arial"/>
              </w:rPr>
              <w:t>inclusion</w:t>
            </w:r>
            <w:proofErr w:type="gramEnd"/>
            <w:r>
              <w:rPr>
                <w:rFonts w:ascii="Cambria" w:hAnsi="Cambria" w:cs="Arial"/>
              </w:rPr>
              <w:t xml:space="preserve"> of poor risk management as a component of tests for corporate legal liability on the basis of secondary or “complicity” liability</w:t>
            </w:r>
            <w:r w:rsidRPr="00B65831">
              <w:rPr>
                <w:rFonts w:ascii="Cambria" w:hAnsi="Cambria" w:cs="Arial"/>
              </w:rPr>
              <w:t>.</w:t>
            </w:r>
            <w:r>
              <w:rPr>
                <w:rFonts w:ascii="Cambria" w:hAnsi="Cambria" w:cs="Arial"/>
              </w:rPr>
              <w:t xml:space="preserve">  For instance, if liability can be based on “negligent” or “reckless” contributions to the wrongdoing of a third party, t</w:t>
            </w:r>
            <w:r w:rsidRPr="00884598">
              <w:rPr>
                <w:rFonts w:ascii="Cambria" w:hAnsi="Cambria" w:cs="Arial"/>
              </w:rPr>
              <w:t xml:space="preserve">he </w:t>
            </w:r>
            <w:r>
              <w:rPr>
                <w:rFonts w:ascii="Cambria" w:hAnsi="Cambria" w:cs="Arial"/>
              </w:rPr>
              <w:t xml:space="preserve">extent to which a company has taken steps to identify, prevent and mitigate risks of contributing to such adverse human rights </w:t>
            </w:r>
            <w:r>
              <w:rPr>
                <w:rFonts w:ascii="Cambria" w:hAnsi="Cambria" w:cs="Arial"/>
              </w:rPr>
              <w:lastRenderedPageBreak/>
              <w:t xml:space="preserve">impacts will be material to whether the company has discharged the applicable </w:t>
            </w:r>
            <w:r w:rsidRPr="00884598">
              <w:rPr>
                <w:rFonts w:ascii="Cambria" w:hAnsi="Cambria" w:cs="Arial"/>
              </w:rPr>
              <w:t>standard of care</w:t>
            </w:r>
            <w:r>
              <w:rPr>
                <w:rFonts w:ascii="Cambria" w:hAnsi="Cambria" w:cs="Arial"/>
              </w:rPr>
              <w:t>;</w:t>
            </w:r>
          </w:p>
          <w:p w:rsidR="005E144C" w:rsidRPr="000000D7" w:rsidRDefault="005E144C" w:rsidP="002145BC">
            <w:pPr>
              <w:pStyle w:val="SingleTxtG"/>
              <w:numPr>
                <w:ilvl w:val="0"/>
                <w:numId w:val="69"/>
              </w:numPr>
              <w:ind w:right="0"/>
              <w:rPr>
                <w:rFonts w:ascii="Cambria" w:hAnsi="Cambria" w:cs="Arial"/>
                <w:i/>
              </w:rPr>
            </w:pPr>
            <w:r>
              <w:rPr>
                <w:rFonts w:ascii="Cambria" w:hAnsi="Cambria"/>
              </w:rPr>
              <w:t xml:space="preserve">Providing for </w:t>
            </w:r>
            <w:r w:rsidRPr="000000D7">
              <w:rPr>
                <w:rFonts w:ascii="Cambria" w:hAnsi="Cambria"/>
              </w:rPr>
              <w:t xml:space="preserve">a complete or partial </w:t>
            </w:r>
            <w:proofErr w:type="spellStart"/>
            <w:r w:rsidRPr="000000D7">
              <w:rPr>
                <w:rFonts w:ascii="Cambria" w:hAnsi="Cambria"/>
              </w:rPr>
              <w:t>defense</w:t>
            </w:r>
            <w:proofErr w:type="spellEnd"/>
            <w:r w:rsidRPr="000000D7">
              <w:rPr>
                <w:rFonts w:ascii="Cambria" w:hAnsi="Cambria"/>
              </w:rPr>
              <w:t xml:space="preserve"> to corporate legal liability (for instance under “s</w:t>
            </w:r>
            <w:r>
              <w:rPr>
                <w:rFonts w:ascii="Cambria" w:hAnsi="Cambria"/>
              </w:rPr>
              <w:t>trict liability” domestic private</w:t>
            </w:r>
            <w:r w:rsidRPr="000000D7">
              <w:rPr>
                <w:rFonts w:ascii="Cambria" w:hAnsi="Cambria"/>
              </w:rPr>
              <w:t xml:space="preserve"> law regimes) if a defendant company is able to show </w:t>
            </w:r>
            <w:r w:rsidRPr="002145BC">
              <w:rPr>
                <w:rFonts w:ascii="Cambria" w:hAnsi="Cambria" w:cs="Arial"/>
              </w:rPr>
              <w:t>that</w:t>
            </w:r>
            <w:r w:rsidRPr="000000D7">
              <w:rPr>
                <w:rFonts w:ascii="Cambria" w:hAnsi="Cambria"/>
              </w:rPr>
              <w:t xml:space="preserve"> the commission of the offence was not the result of any defective risk management or internal control systems (</w:t>
            </w:r>
            <w:r>
              <w:rPr>
                <w:rFonts w:ascii="Cambria" w:hAnsi="Cambria"/>
                <w:b/>
              </w:rPr>
              <w:t>Note</w:t>
            </w:r>
            <w:r w:rsidR="002F6DC5">
              <w:rPr>
                <w:rFonts w:ascii="Cambria" w:hAnsi="Cambria"/>
                <w:b/>
              </w:rPr>
              <w:t>:</w:t>
            </w:r>
            <w:r>
              <w:rPr>
                <w:rFonts w:ascii="Cambria" w:hAnsi="Cambria"/>
                <w:b/>
              </w:rPr>
              <w:t xml:space="preserve"> </w:t>
            </w:r>
            <w:r>
              <w:rPr>
                <w:rFonts w:ascii="Cambria" w:hAnsi="Cambria"/>
              </w:rPr>
              <w:t>On “strict” and “abso</w:t>
            </w:r>
            <w:r w:rsidR="002145BC">
              <w:rPr>
                <w:rFonts w:ascii="Cambria" w:hAnsi="Cambria"/>
              </w:rPr>
              <w:t>lute” liability, see further 14.</w:t>
            </w:r>
            <w:r>
              <w:rPr>
                <w:rFonts w:ascii="Cambria" w:hAnsi="Cambria"/>
              </w:rPr>
              <w:t>3 below</w:t>
            </w:r>
            <w:r w:rsidR="002145BC">
              <w:rPr>
                <w:rFonts w:ascii="Cambria" w:hAnsi="Cambria"/>
              </w:rPr>
              <w:t>)</w:t>
            </w:r>
            <w:r>
              <w:rPr>
                <w:rFonts w:ascii="Cambria" w:hAnsi="Cambria"/>
              </w:rPr>
              <w:t>.</w:t>
            </w:r>
          </w:p>
          <w:p w:rsidR="005E144C" w:rsidRPr="000000D7" w:rsidRDefault="005E144C" w:rsidP="005E144C">
            <w:pPr>
              <w:ind w:left="360" w:right="1179"/>
              <w:jc w:val="both"/>
              <w:rPr>
                <w:rFonts w:ascii="Cambria" w:hAnsi="Cambria" w:cs="Arial"/>
                <w:i/>
                <w:sz w:val="20"/>
                <w:szCs w:val="20"/>
              </w:rPr>
            </w:pPr>
          </w:p>
          <w:p w:rsidR="005E144C" w:rsidRPr="00A01FF7" w:rsidRDefault="005E144C" w:rsidP="005E144C">
            <w:pPr>
              <w:pStyle w:val="SingleTxtG"/>
              <w:numPr>
                <w:ilvl w:val="0"/>
                <w:numId w:val="69"/>
              </w:numPr>
              <w:ind w:right="0"/>
              <w:rPr>
                <w:rFonts w:ascii="Cambria" w:hAnsi="Cambria"/>
              </w:rPr>
            </w:pPr>
            <w:r w:rsidRPr="00A01FF7">
              <w:rPr>
                <w:rFonts w:ascii="Cambria" w:hAnsi="Cambria" w:cs="Arial"/>
              </w:rPr>
              <w:t xml:space="preserve">Application of “objective” standards of proof and principles of “wilful blindness” (see explanatory </w:t>
            </w:r>
            <w:r w:rsidRPr="00A01FF7">
              <w:rPr>
                <w:rFonts w:ascii="Cambria" w:hAnsi="Cambria"/>
              </w:rPr>
              <w:t>notes</w:t>
            </w:r>
            <w:r w:rsidRPr="00A01FF7">
              <w:rPr>
                <w:rFonts w:ascii="Cambria" w:hAnsi="Cambria" w:cs="Arial"/>
              </w:rPr>
              <w:t xml:space="preserve"> below).</w:t>
            </w:r>
          </w:p>
          <w:p w:rsidR="005E144C" w:rsidRPr="0087408A" w:rsidRDefault="005E144C" w:rsidP="005E144C">
            <w:pPr>
              <w:jc w:val="both"/>
              <w:rPr>
                <w:rFonts w:ascii="Cambria" w:hAnsi="Cambria"/>
                <w:b/>
                <w:i/>
                <w:sz w:val="20"/>
                <w:szCs w:val="20"/>
              </w:rPr>
            </w:pPr>
            <w:r w:rsidRPr="0087408A">
              <w:rPr>
                <w:rFonts w:ascii="Cambria" w:hAnsi="Cambria"/>
                <w:b/>
                <w:i/>
                <w:sz w:val="20"/>
                <w:szCs w:val="20"/>
              </w:rPr>
              <w:t xml:space="preserve">Note: In practice, domestic public law regimes do not use one or other approach exclusively.  Instead, different tests </w:t>
            </w:r>
            <w:r>
              <w:rPr>
                <w:rFonts w:ascii="Cambria" w:hAnsi="Cambria"/>
                <w:b/>
                <w:i/>
                <w:sz w:val="20"/>
                <w:szCs w:val="20"/>
              </w:rPr>
              <w:t xml:space="preserve">for secondary (or “complicity”) liability </w:t>
            </w:r>
            <w:r w:rsidRPr="0087408A">
              <w:rPr>
                <w:rFonts w:ascii="Cambria" w:hAnsi="Cambria"/>
                <w:b/>
                <w:i/>
                <w:sz w:val="20"/>
                <w:szCs w:val="20"/>
              </w:rPr>
              <w:t>may be used in combination, or in the alternative, depending on the relevant policy objectives and regulatory needs.</w:t>
            </w:r>
          </w:p>
          <w:p w:rsidR="005E144C" w:rsidRPr="00F24F90" w:rsidRDefault="005E144C" w:rsidP="005E144C">
            <w:pPr>
              <w:ind w:right="1179"/>
              <w:jc w:val="both"/>
              <w:rPr>
                <w:rFonts w:ascii="Cambria" w:hAnsi="Cambria"/>
                <w:b/>
                <w:sz w:val="20"/>
                <w:szCs w:val="20"/>
              </w:rPr>
            </w:pPr>
          </w:p>
          <w:p w:rsidR="005E144C" w:rsidRDefault="005E144C" w:rsidP="005E144C">
            <w:pPr>
              <w:ind w:right="1179"/>
              <w:jc w:val="both"/>
              <w:rPr>
                <w:rFonts w:ascii="Cambria" w:hAnsi="Cambria" w:cs="Arial"/>
                <w:sz w:val="20"/>
                <w:szCs w:val="20"/>
              </w:rPr>
            </w:pPr>
            <w:r w:rsidRPr="00F24F90">
              <w:rPr>
                <w:rFonts w:ascii="Cambria" w:hAnsi="Cambria" w:cs="Arial"/>
                <w:b/>
                <w:i/>
                <w:sz w:val="20"/>
                <w:szCs w:val="20"/>
              </w:rPr>
              <w:t>Explanatory notes:</w:t>
            </w:r>
          </w:p>
          <w:p w:rsidR="005E144C" w:rsidRDefault="005E144C" w:rsidP="005E144C">
            <w:pPr>
              <w:ind w:right="1179"/>
              <w:jc w:val="both"/>
              <w:rPr>
                <w:rFonts w:ascii="Cambria" w:hAnsi="Cambria" w:cs="Arial"/>
                <w:sz w:val="20"/>
                <w:szCs w:val="20"/>
              </w:rPr>
            </w:pPr>
          </w:p>
          <w:p w:rsidR="0006191C" w:rsidRDefault="005E144C" w:rsidP="002145BC">
            <w:pPr>
              <w:jc w:val="both"/>
              <w:rPr>
                <w:rFonts w:ascii="Cambria" w:hAnsi="Cambria" w:cs="Arial"/>
                <w:sz w:val="20"/>
                <w:szCs w:val="20"/>
              </w:rPr>
            </w:pPr>
            <w:r w:rsidRPr="00A364A0">
              <w:rPr>
                <w:rFonts w:ascii="Cambria" w:hAnsi="Cambria" w:cs="Arial"/>
                <w:b/>
                <w:i/>
                <w:sz w:val="20"/>
                <w:szCs w:val="20"/>
              </w:rPr>
              <w:t>(</w:t>
            </w:r>
            <w:proofErr w:type="spellStart"/>
            <w:r w:rsidRPr="00A364A0">
              <w:rPr>
                <w:rFonts w:ascii="Cambria" w:hAnsi="Cambria" w:cs="Arial"/>
                <w:b/>
                <w:i/>
                <w:sz w:val="20"/>
                <w:szCs w:val="20"/>
              </w:rPr>
              <w:t>i</w:t>
            </w:r>
            <w:proofErr w:type="spellEnd"/>
            <w:r w:rsidRPr="00A364A0">
              <w:rPr>
                <w:rFonts w:ascii="Cambria" w:hAnsi="Cambria" w:cs="Arial"/>
                <w:b/>
                <w:i/>
                <w:sz w:val="20"/>
                <w:szCs w:val="20"/>
              </w:rPr>
              <w:t>) Use</w:t>
            </w:r>
            <w:r>
              <w:rPr>
                <w:rFonts w:ascii="Cambria" w:hAnsi="Cambria" w:cs="Arial"/>
                <w:b/>
                <w:i/>
                <w:sz w:val="20"/>
                <w:szCs w:val="20"/>
              </w:rPr>
              <w:t xml:space="preserve"> of “objective” standards of proof. </w:t>
            </w:r>
            <w:r w:rsidRPr="00F24F90">
              <w:rPr>
                <w:rFonts w:ascii="Cambria" w:hAnsi="Cambria" w:cs="Arial"/>
                <w:sz w:val="20"/>
                <w:szCs w:val="20"/>
              </w:rPr>
              <w:t xml:space="preserve">Lack of knowledge about the nature and extent of human rights risks may not be exculpatory under domestic law regimes which apply “objective” rather </w:t>
            </w:r>
            <w:r w:rsidRPr="002145BC">
              <w:rPr>
                <w:rFonts w:ascii="Cambria" w:hAnsi="Cambria"/>
                <w:b/>
                <w:i/>
                <w:sz w:val="20"/>
                <w:szCs w:val="20"/>
              </w:rPr>
              <w:t>than</w:t>
            </w:r>
            <w:r w:rsidRPr="00F24F90">
              <w:rPr>
                <w:rFonts w:ascii="Cambria" w:hAnsi="Cambria" w:cs="Arial"/>
                <w:sz w:val="20"/>
                <w:szCs w:val="20"/>
              </w:rPr>
              <w:t xml:space="preserve"> “subjective” standards to the determination of whether a defendant had made adequate enquiries into possible sources of risk and had responded appropriately to those risks.  Under such regimes, the questions of whether a defendant had made adequate enquiries and had responded adequately to human rights risks would be determined by reference to what a “reasonable person” (or “reasonable company”) would have discovered and done in the circumstances, not by reference to what the company </w:t>
            </w:r>
            <w:r w:rsidRPr="00F24F90">
              <w:rPr>
                <w:rFonts w:ascii="Cambria" w:hAnsi="Cambria" w:cs="Arial"/>
                <w:i/>
                <w:sz w:val="20"/>
                <w:szCs w:val="20"/>
              </w:rPr>
              <w:t xml:space="preserve">actually </w:t>
            </w:r>
            <w:r w:rsidRPr="00F24F90">
              <w:rPr>
                <w:rFonts w:ascii="Cambria" w:hAnsi="Cambria" w:cs="Arial"/>
                <w:sz w:val="20"/>
                <w:szCs w:val="20"/>
              </w:rPr>
              <w:t>knew and did.  This approach creates incentives to carry out human rights due diligence and to respond appropriately to human rights risks.</w:t>
            </w:r>
          </w:p>
          <w:p w:rsidR="0006191C" w:rsidRDefault="0006191C">
            <w:pPr>
              <w:ind w:right="1179"/>
              <w:jc w:val="both"/>
              <w:rPr>
                <w:rFonts w:ascii="Cambria" w:hAnsi="Cambria" w:cs="Arial"/>
                <w:sz w:val="20"/>
                <w:szCs w:val="20"/>
              </w:rPr>
            </w:pPr>
          </w:p>
          <w:p w:rsidR="00A364A0" w:rsidRDefault="00DD7E43" w:rsidP="002145BC">
            <w:pPr>
              <w:jc w:val="both"/>
              <w:rPr>
                <w:rFonts w:ascii="Cambria" w:hAnsi="Cambria" w:cs="Arial"/>
                <w:sz w:val="20"/>
                <w:szCs w:val="20"/>
              </w:rPr>
            </w:pPr>
            <w:r w:rsidRPr="00DD7E43">
              <w:rPr>
                <w:rFonts w:ascii="Cambria" w:hAnsi="Cambria" w:cs="Arial"/>
                <w:b/>
                <w:i/>
                <w:sz w:val="20"/>
                <w:szCs w:val="20"/>
              </w:rPr>
              <w:t>(ii) Use of concepts of “</w:t>
            </w:r>
            <w:proofErr w:type="spellStart"/>
            <w:r w:rsidRPr="00DD7E43">
              <w:rPr>
                <w:rFonts w:ascii="Cambria" w:hAnsi="Cambria" w:cs="Arial"/>
                <w:b/>
                <w:i/>
                <w:sz w:val="20"/>
                <w:szCs w:val="20"/>
              </w:rPr>
              <w:t>wilful</w:t>
            </w:r>
            <w:proofErr w:type="spellEnd"/>
            <w:r w:rsidRPr="00DD7E43">
              <w:rPr>
                <w:rFonts w:ascii="Cambria" w:hAnsi="Cambria" w:cs="Arial"/>
                <w:b/>
                <w:i/>
                <w:sz w:val="20"/>
                <w:szCs w:val="20"/>
              </w:rPr>
              <w:t xml:space="preserve"> blindness”.  </w:t>
            </w:r>
            <w:r w:rsidRPr="00DD7E43">
              <w:rPr>
                <w:rFonts w:ascii="Cambria" w:hAnsi="Cambria" w:cs="Arial"/>
                <w:sz w:val="20"/>
                <w:szCs w:val="20"/>
              </w:rPr>
              <w:t>The concept of “</w:t>
            </w:r>
            <w:proofErr w:type="spellStart"/>
            <w:r w:rsidRPr="00DD7E43">
              <w:rPr>
                <w:rFonts w:ascii="Cambria" w:hAnsi="Cambria" w:cs="Arial"/>
                <w:sz w:val="20"/>
                <w:szCs w:val="20"/>
              </w:rPr>
              <w:t>wilful</w:t>
            </w:r>
            <w:proofErr w:type="spellEnd"/>
            <w:r w:rsidRPr="00DD7E43">
              <w:rPr>
                <w:rFonts w:ascii="Cambria" w:hAnsi="Cambria" w:cs="Arial"/>
                <w:sz w:val="20"/>
                <w:szCs w:val="20"/>
              </w:rPr>
              <w:t xml:space="preserve"> blindness” aims to prevent defendants from invoking a </w:t>
            </w:r>
            <w:proofErr w:type="spellStart"/>
            <w:r w:rsidRPr="00DD7E43">
              <w:rPr>
                <w:rFonts w:ascii="Cambria" w:hAnsi="Cambria" w:cs="Arial"/>
                <w:sz w:val="20"/>
                <w:szCs w:val="20"/>
              </w:rPr>
              <w:t>defence</w:t>
            </w:r>
            <w:proofErr w:type="spellEnd"/>
            <w:r w:rsidRPr="00DD7E43">
              <w:rPr>
                <w:rFonts w:ascii="Cambria" w:hAnsi="Cambria" w:cs="Arial"/>
                <w:sz w:val="20"/>
                <w:szCs w:val="20"/>
              </w:rPr>
              <w:t xml:space="preserve"> to a public law offence based on lack of knowledge in circumstances where the relevant knowledge would have been relatively easy to obtain.  This means that the defendant cannot avoid criminal liability for failing to make reasonable enquiries, and take appropriate steps, where the risks of a serious crime being committed would have been apparent to a “reasonable person”.</w:t>
            </w:r>
          </w:p>
          <w:p w:rsidR="0006191C" w:rsidRPr="00A364A0" w:rsidRDefault="005E144C" w:rsidP="00A364A0">
            <w:pPr>
              <w:ind w:right="1179"/>
              <w:jc w:val="both"/>
              <w:rPr>
                <w:rFonts w:ascii="Cambria" w:hAnsi="Cambria" w:cs="Arial"/>
                <w:sz w:val="20"/>
                <w:szCs w:val="20"/>
              </w:rPr>
            </w:pPr>
            <w:r w:rsidRPr="00A364A0" w:rsidDel="005E144C">
              <w:rPr>
                <w:rFonts w:ascii="Cambria" w:hAnsi="Cambria" w:cs="Arial"/>
              </w:rPr>
              <w:t xml:space="preserve"> </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14.2</w:t>
      </w:r>
      <w:r w:rsidRPr="008B11B2">
        <w:rPr>
          <w:rFonts w:ascii="Cambria" w:hAnsi="Cambria"/>
          <w:b/>
          <w:sz w:val="22"/>
          <w:szCs w:val="22"/>
        </w:rPr>
        <w:tab/>
        <w:t>Domestic private law regimes take appropriate account of effective measures by companies to supervise their officers and employees to prevent and mitigate adverse human rights impacts.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14.2</w:t>
            </w:r>
          </w:p>
          <w:p w:rsidR="00F4568E" w:rsidRDefault="00A364A0" w:rsidP="00F4568E">
            <w:pPr>
              <w:jc w:val="both"/>
              <w:rPr>
                <w:rFonts w:ascii="Cambria" w:hAnsi="Cambria"/>
                <w:sz w:val="20"/>
                <w:szCs w:val="20"/>
              </w:rPr>
            </w:pPr>
            <w:r>
              <w:rPr>
                <w:rFonts w:ascii="Cambria" w:hAnsi="Cambria"/>
                <w:sz w:val="20"/>
                <w:szCs w:val="20"/>
              </w:rPr>
              <w:t xml:space="preserve">A. </w:t>
            </w:r>
            <w:r w:rsidR="00F4568E">
              <w:rPr>
                <w:rFonts w:ascii="Cambria" w:hAnsi="Cambria"/>
                <w:sz w:val="20"/>
                <w:szCs w:val="20"/>
              </w:rPr>
              <w:t>Ways to encourage companies to use effective measures to supervise officers and employees include:</w:t>
            </w:r>
          </w:p>
          <w:p w:rsidR="00F4568E" w:rsidRDefault="00F4568E" w:rsidP="00F4568E">
            <w:pPr>
              <w:jc w:val="both"/>
              <w:rPr>
                <w:rFonts w:ascii="Cambria" w:hAnsi="Cambria"/>
                <w:sz w:val="20"/>
                <w:szCs w:val="20"/>
              </w:rPr>
            </w:pPr>
          </w:p>
          <w:p w:rsidR="00F4568E" w:rsidRPr="00F70C11" w:rsidRDefault="00F4568E" w:rsidP="00F4568E">
            <w:pPr>
              <w:pStyle w:val="ListParagraph"/>
              <w:numPr>
                <w:ilvl w:val="0"/>
                <w:numId w:val="51"/>
              </w:numPr>
              <w:jc w:val="both"/>
              <w:rPr>
                <w:rFonts w:ascii="Cambria" w:hAnsi="Cambria"/>
                <w:sz w:val="20"/>
                <w:szCs w:val="20"/>
              </w:rPr>
            </w:pPr>
            <w:r>
              <w:rPr>
                <w:rFonts w:ascii="Cambria" w:hAnsi="Cambria"/>
                <w:sz w:val="20"/>
                <w:szCs w:val="20"/>
              </w:rPr>
              <w:t>Use of t</w:t>
            </w:r>
            <w:r w:rsidRPr="00F70C11">
              <w:rPr>
                <w:rFonts w:ascii="Cambria" w:hAnsi="Cambria"/>
                <w:sz w:val="20"/>
                <w:szCs w:val="20"/>
              </w:rPr>
              <w:t xml:space="preserve">he doctrine of “vicarious liability” (See A/HRC/32/19/Add.1), whereby a company may be liable for acts carried out by employees or </w:t>
            </w:r>
            <w:r>
              <w:rPr>
                <w:rFonts w:ascii="Cambria" w:hAnsi="Cambria"/>
                <w:sz w:val="20"/>
                <w:szCs w:val="20"/>
              </w:rPr>
              <w:t>agents on its behalf.  This doctrine</w:t>
            </w:r>
            <w:r w:rsidRPr="00F70C11">
              <w:rPr>
                <w:rFonts w:ascii="Cambria" w:hAnsi="Cambria"/>
                <w:sz w:val="20"/>
                <w:szCs w:val="20"/>
              </w:rPr>
              <w:t xml:space="preserve"> </w:t>
            </w:r>
            <w:r w:rsidRPr="00F70C11">
              <w:rPr>
                <w:rFonts w:ascii="Cambria" w:hAnsi="Cambria" w:cs="Arial"/>
                <w:sz w:val="20"/>
                <w:szCs w:val="20"/>
              </w:rPr>
              <w:t xml:space="preserve">creates incentives to supervise employees and agents to ensure that breaches of the law do not occur.  </w:t>
            </w:r>
            <w:r w:rsidRPr="00F70C11">
              <w:rPr>
                <w:rFonts w:ascii="Cambria" w:hAnsi="Cambria" w:cs="Arial"/>
                <w:b/>
                <w:sz w:val="20"/>
                <w:szCs w:val="20"/>
              </w:rPr>
              <w:t>Note</w:t>
            </w:r>
            <w:r w:rsidR="002F6DC5">
              <w:rPr>
                <w:rFonts w:ascii="Cambria" w:hAnsi="Cambria" w:cs="Arial"/>
                <w:b/>
                <w:sz w:val="20"/>
                <w:szCs w:val="20"/>
              </w:rPr>
              <w:t>:</w:t>
            </w:r>
            <w:r>
              <w:rPr>
                <w:rFonts w:ascii="Cambria" w:hAnsi="Cambria" w:cs="Arial"/>
                <w:sz w:val="20"/>
                <w:szCs w:val="20"/>
              </w:rPr>
              <w:t xml:space="preserve"> see further 12.2</w:t>
            </w:r>
            <w:r w:rsidRPr="00F70C11">
              <w:rPr>
                <w:rFonts w:ascii="Cambria" w:hAnsi="Cambria" w:cs="Arial"/>
                <w:sz w:val="20"/>
                <w:szCs w:val="20"/>
              </w:rPr>
              <w:t xml:space="preserve"> above</w:t>
            </w:r>
            <w:r>
              <w:rPr>
                <w:rFonts w:ascii="Cambria" w:hAnsi="Cambria" w:cs="Arial"/>
                <w:sz w:val="20"/>
                <w:szCs w:val="20"/>
              </w:rPr>
              <w:t>;</w:t>
            </w:r>
          </w:p>
          <w:p w:rsidR="00B52A61" w:rsidRPr="002C1998" w:rsidRDefault="00B52A61" w:rsidP="004F60D5">
            <w:pPr>
              <w:pStyle w:val="SingleTxtG"/>
              <w:ind w:left="0" w:right="0"/>
              <w:rPr>
                <w:rFonts w:ascii="Cambria" w:hAnsi="Cambria" w:cs="Arial"/>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14.3</w:t>
      </w:r>
      <w:r w:rsidRPr="008B11B2">
        <w:rPr>
          <w:rFonts w:ascii="Cambria" w:hAnsi="Cambria"/>
          <w:b/>
          <w:sz w:val="22"/>
          <w:szCs w:val="22"/>
        </w:rPr>
        <w:tab/>
        <w:t>Domestic private law regimes make appropriate use of strict or absolute liability as a means of encouraging greater levels of vigilance in relation to business activities that carry particularly high risks of severe human rights impacts.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F4568E">
              <w:rPr>
                <w:rFonts w:ascii="Cambria" w:hAnsi="Cambria"/>
                <w:b/>
                <w:sz w:val="22"/>
                <w:szCs w:val="22"/>
              </w:rPr>
              <w:t>s</w:t>
            </w:r>
            <w:r>
              <w:rPr>
                <w:rFonts w:ascii="Cambria" w:hAnsi="Cambria"/>
                <w:b/>
                <w:sz w:val="22"/>
                <w:szCs w:val="22"/>
              </w:rPr>
              <w:t>: 14.3</w:t>
            </w:r>
          </w:p>
          <w:p w:rsidR="00F4568E" w:rsidRDefault="00F4568E" w:rsidP="00F4568E">
            <w:pPr>
              <w:pStyle w:val="SingleTxtG"/>
              <w:ind w:left="0" w:right="0"/>
              <w:rPr>
                <w:rFonts w:ascii="Cambria" w:hAnsi="Cambria" w:cs="Arial"/>
              </w:rPr>
            </w:pPr>
            <w:r>
              <w:rPr>
                <w:rFonts w:ascii="Cambria" w:hAnsi="Cambria" w:cs="Arial"/>
              </w:rPr>
              <w:t>A. On “strict liability” and “absolute liability” see further A/HRC/32/19/Add.1, Box 1.</w:t>
            </w:r>
          </w:p>
          <w:p w:rsidR="00F4568E" w:rsidRDefault="00F4568E" w:rsidP="00F4568E">
            <w:pPr>
              <w:pStyle w:val="SingleTxtG"/>
              <w:ind w:left="0" w:right="0"/>
              <w:rPr>
                <w:rFonts w:ascii="Cambria" w:hAnsi="Cambria" w:cs="Arial"/>
              </w:rPr>
            </w:pPr>
            <w:r>
              <w:rPr>
                <w:rFonts w:ascii="Cambria" w:hAnsi="Cambria" w:cs="Arial"/>
              </w:rPr>
              <w:t xml:space="preserve">B. Potential sources of strict or absolute liability for companies under domestic public law regimes </w:t>
            </w:r>
            <w:r>
              <w:rPr>
                <w:rFonts w:ascii="Cambria" w:hAnsi="Cambria" w:cs="Arial"/>
              </w:rPr>
              <w:lastRenderedPageBreak/>
              <w:t>include;</w:t>
            </w:r>
          </w:p>
          <w:p w:rsidR="00F4568E" w:rsidRDefault="00AD5B6E" w:rsidP="00F4568E">
            <w:pPr>
              <w:pStyle w:val="SingleTxtG"/>
              <w:numPr>
                <w:ilvl w:val="0"/>
                <w:numId w:val="52"/>
              </w:numPr>
              <w:ind w:right="0"/>
              <w:rPr>
                <w:rFonts w:ascii="Cambria" w:hAnsi="Cambria" w:cs="Arial"/>
              </w:rPr>
            </w:pPr>
            <w:r>
              <w:rPr>
                <w:rFonts w:ascii="Cambria" w:hAnsi="Cambria" w:cs="Arial"/>
              </w:rPr>
              <w:t>e</w:t>
            </w:r>
            <w:r w:rsidR="00F4568E">
              <w:rPr>
                <w:rFonts w:ascii="Cambria" w:hAnsi="Cambria" w:cs="Arial"/>
              </w:rPr>
              <w:t>nvironmental protection regimes;</w:t>
            </w:r>
          </w:p>
          <w:p w:rsidR="00F4568E" w:rsidRDefault="00AD5B6E" w:rsidP="00F4568E">
            <w:pPr>
              <w:pStyle w:val="SingleTxtG"/>
              <w:numPr>
                <w:ilvl w:val="0"/>
                <w:numId w:val="52"/>
              </w:numPr>
              <w:ind w:right="0"/>
              <w:rPr>
                <w:rFonts w:ascii="Cambria" w:hAnsi="Cambria" w:cs="Arial"/>
              </w:rPr>
            </w:pPr>
            <w:r>
              <w:rPr>
                <w:rFonts w:ascii="Cambria" w:hAnsi="Cambria" w:cs="Arial"/>
              </w:rPr>
              <w:t>c</w:t>
            </w:r>
            <w:r w:rsidR="00F4568E">
              <w:rPr>
                <w:rFonts w:ascii="Cambria" w:hAnsi="Cambria" w:cs="Arial"/>
              </w:rPr>
              <w:t>onsumer protection regimes;</w:t>
            </w:r>
          </w:p>
          <w:p w:rsidR="00F4568E" w:rsidRDefault="00AD5B6E" w:rsidP="00F4568E">
            <w:pPr>
              <w:pStyle w:val="SingleTxtG"/>
              <w:numPr>
                <w:ilvl w:val="0"/>
                <w:numId w:val="52"/>
              </w:numPr>
              <w:ind w:right="0"/>
              <w:rPr>
                <w:rFonts w:ascii="Cambria" w:hAnsi="Cambria" w:cs="Arial"/>
              </w:rPr>
            </w:pPr>
            <w:r>
              <w:rPr>
                <w:rFonts w:ascii="Cambria" w:hAnsi="Cambria" w:cs="Arial"/>
              </w:rPr>
              <w:t>r</w:t>
            </w:r>
            <w:r w:rsidR="00F4568E">
              <w:rPr>
                <w:rFonts w:ascii="Cambria" w:hAnsi="Cambria" w:cs="Arial"/>
              </w:rPr>
              <w:t>egimes relating to the regulation of “ultra</w:t>
            </w:r>
            <w:r w:rsidR="002F6DC5">
              <w:rPr>
                <w:rFonts w:ascii="Cambria" w:hAnsi="Cambria" w:cs="Arial"/>
              </w:rPr>
              <w:t>-</w:t>
            </w:r>
            <w:r>
              <w:rPr>
                <w:rFonts w:ascii="Cambria" w:hAnsi="Cambria" w:cs="Arial"/>
              </w:rPr>
              <w:t>hazardous activities”;</w:t>
            </w:r>
            <w:r w:rsidR="00F4568E">
              <w:rPr>
                <w:rFonts w:ascii="Cambria" w:hAnsi="Cambria" w:cs="Arial"/>
              </w:rPr>
              <w:t xml:space="preserve"> </w:t>
            </w:r>
          </w:p>
          <w:p w:rsidR="00B52A61" w:rsidRPr="001E4F72" w:rsidRDefault="00AD5B6E" w:rsidP="002F6DC5">
            <w:pPr>
              <w:pStyle w:val="SingleTxtG"/>
              <w:numPr>
                <w:ilvl w:val="0"/>
                <w:numId w:val="52"/>
              </w:numPr>
              <w:ind w:right="0"/>
              <w:rPr>
                <w:rFonts w:ascii="Cambria" w:hAnsi="Cambria" w:cs="Arial"/>
              </w:rPr>
            </w:pPr>
            <w:proofErr w:type="gramStart"/>
            <w:r>
              <w:rPr>
                <w:rFonts w:ascii="Cambria" w:hAnsi="Cambria" w:cs="Arial"/>
              </w:rPr>
              <w:t>d</w:t>
            </w:r>
            <w:r w:rsidR="00F4568E">
              <w:rPr>
                <w:rFonts w:ascii="Cambria" w:hAnsi="Cambria" w:cs="Arial"/>
              </w:rPr>
              <w:t>octrines</w:t>
            </w:r>
            <w:proofErr w:type="gramEnd"/>
            <w:r w:rsidR="00F4568E">
              <w:rPr>
                <w:rFonts w:ascii="Cambria" w:hAnsi="Cambria" w:cs="Arial"/>
              </w:rPr>
              <w:t xml:space="preserve"> of “vicarious liability” for the actions of certain employees, agents and other contractors.  </w:t>
            </w:r>
            <w:r w:rsidR="00F4568E">
              <w:rPr>
                <w:rFonts w:ascii="Cambria" w:hAnsi="Cambria" w:cs="Arial"/>
                <w:b/>
              </w:rPr>
              <w:t>Note</w:t>
            </w:r>
            <w:r w:rsidR="002F6DC5">
              <w:rPr>
                <w:rFonts w:ascii="Cambria" w:hAnsi="Cambria" w:cs="Arial"/>
                <w:b/>
              </w:rPr>
              <w:t>:</w:t>
            </w:r>
            <w:r w:rsidR="00F4568E">
              <w:rPr>
                <w:rFonts w:ascii="Cambria" w:hAnsi="Cambria" w:cs="Arial"/>
                <w:b/>
              </w:rPr>
              <w:t xml:space="preserve"> </w:t>
            </w:r>
            <w:r w:rsidR="00F4568E">
              <w:rPr>
                <w:rFonts w:ascii="Cambria" w:hAnsi="Cambria" w:cs="Arial"/>
              </w:rPr>
              <w:t>on “vicarious liability” of companies for offences under domestic public law regimes see 12.2 above].</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14.4</w:t>
      </w:r>
      <w:r w:rsidRPr="008B11B2">
        <w:rPr>
          <w:rFonts w:ascii="Cambria" w:hAnsi="Cambria"/>
          <w:b/>
          <w:sz w:val="22"/>
          <w:szCs w:val="22"/>
        </w:rPr>
        <w:tab/>
        <w:t>Judicial bodies have access to and take proper account of robust, credible and, where appropriate, sector-specific guidance as to the technical requirements of human rights due diligence in different operating contexts.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14.4</w:t>
            </w:r>
          </w:p>
          <w:p w:rsidR="00F4568E" w:rsidRDefault="00A364A0" w:rsidP="00F4568E">
            <w:pPr>
              <w:pStyle w:val="SingleTxtG"/>
              <w:ind w:left="0" w:right="0"/>
              <w:rPr>
                <w:rFonts w:ascii="Cambria" w:hAnsi="Cambria"/>
              </w:rPr>
            </w:pPr>
            <w:r>
              <w:rPr>
                <w:rFonts w:ascii="Cambria" w:hAnsi="Cambria"/>
              </w:rPr>
              <w:t xml:space="preserve">A. </w:t>
            </w:r>
            <w:r w:rsidR="00F4568E">
              <w:rPr>
                <w:rFonts w:ascii="Cambria" w:hAnsi="Cambria"/>
              </w:rPr>
              <w:t xml:space="preserve">Ways to ensure that enforcement agencies judicial bodies take proper account of relevant human rights </w:t>
            </w:r>
            <w:r w:rsidR="00AD5B6E">
              <w:rPr>
                <w:rFonts w:ascii="Cambria" w:hAnsi="Cambria"/>
              </w:rPr>
              <w:t>due diligence standards include;</w:t>
            </w:r>
          </w:p>
          <w:p w:rsidR="00F4568E" w:rsidRPr="000E148D" w:rsidRDefault="00AD5B6E" w:rsidP="00F4568E">
            <w:pPr>
              <w:pStyle w:val="SingleTxtG"/>
              <w:numPr>
                <w:ilvl w:val="0"/>
                <w:numId w:val="53"/>
              </w:numPr>
              <w:ind w:right="0"/>
              <w:rPr>
                <w:rFonts w:ascii="Cambria" w:hAnsi="Cambria"/>
                <w:b/>
                <w:sz w:val="22"/>
                <w:szCs w:val="22"/>
              </w:rPr>
            </w:pPr>
            <w:r>
              <w:rPr>
                <w:rFonts w:ascii="Cambria" w:hAnsi="Cambria"/>
              </w:rPr>
              <w:t>p</w:t>
            </w:r>
            <w:r w:rsidR="00F4568E">
              <w:rPr>
                <w:rFonts w:ascii="Cambria" w:hAnsi="Cambria"/>
              </w:rPr>
              <w:t>rovision of suitable guidance and training to prosecutors and judges;</w:t>
            </w:r>
          </w:p>
          <w:p w:rsidR="00B52A61" w:rsidRPr="00A364A0" w:rsidRDefault="00AD5B6E" w:rsidP="002F6DC5">
            <w:pPr>
              <w:pStyle w:val="SingleTxtG"/>
              <w:numPr>
                <w:ilvl w:val="0"/>
                <w:numId w:val="53"/>
              </w:numPr>
              <w:ind w:right="0"/>
              <w:rPr>
                <w:rFonts w:ascii="Cambria" w:hAnsi="Cambria"/>
              </w:rPr>
            </w:pPr>
            <w:proofErr w:type="gramStart"/>
            <w:r>
              <w:rPr>
                <w:rFonts w:ascii="Cambria" w:hAnsi="Cambria"/>
              </w:rPr>
              <w:t>ex</w:t>
            </w:r>
            <w:r w:rsidR="00F4568E">
              <w:rPr>
                <w:rFonts w:ascii="Cambria" w:hAnsi="Cambria"/>
              </w:rPr>
              <w:t>plicit</w:t>
            </w:r>
            <w:proofErr w:type="gramEnd"/>
            <w:r w:rsidR="00F4568E">
              <w:rPr>
                <w:rFonts w:ascii="Cambria" w:hAnsi="Cambria"/>
              </w:rPr>
              <w:t xml:space="preserve"> re</w:t>
            </w:r>
            <w:r>
              <w:rPr>
                <w:rFonts w:ascii="Cambria" w:hAnsi="Cambria"/>
              </w:rPr>
              <w:t xml:space="preserve">cognition of specific standards </w:t>
            </w:r>
            <w:r w:rsidR="00F4568E" w:rsidRPr="00876024">
              <w:rPr>
                <w:rFonts w:ascii="Cambria" w:hAnsi="Cambria"/>
              </w:rPr>
              <w:t xml:space="preserve">(e.g. such as ISO standards, or accredited environmental management standards) </w:t>
            </w:r>
            <w:r w:rsidR="00F4568E">
              <w:rPr>
                <w:rFonts w:ascii="Cambria" w:hAnsi="Cambria"/>
              </w:rPr>
              <w:t>in the relevant regime, or associated guidance, as being relevant to judicial assessments as to</w:t>
            </w:r>
            <w:r w:rsidR="00F4568E" w:rsidRPr="00876024">
              <w:rPr>
                <w:rFonts w:ascii="Cambria" w:hAnsi="Cambria"/>
              </w:rPr>
              <w:t xml:space="preserve"> whether </w:t>
            </w:r>
            <w:r w:rsidR="00F4568E">
              <w:rPr>
                <w:rFonts w:ascii="Cambria" w:hAnsi="Cambria"/>
              </w:rPr>
              <w:t xml:space="preserve">a company </w:t>
            </w:r>
            <w:r w:rsidR="00F4568E" w:rsidRPr="00876024">
              <w:rPr>
                <w:rFonts w:ascii="Cambria" w:hAnsi="Cambria"/>
              </w:rPr>
              <w:t xml:space="preserve">has met the </w:t>
            </w:r>
            <w:r w:rsidR="00F4568E">
              <w:rPr>
                <w:rFonts w:ascii="Cambria" w:hAnsi="Cambria"/>
              </w:rPr>
              <w:t xml:space="preserve">applicable </w:t>
            </w:r>
            <w:r w:rsidR="00F4568E" w:rsidRPr="00876024">
              <w:rPr>
                <w:rFonts w:ascii="Cambria" w:hAnsi="Cambria"/>
              </w:rPr>
              <w:t>standard of care</w:t>
            </w:r>
            <w:r w:rsidR="00F4568E">
              <w:rPr>
                <w:rFonts w:ascii="Cambria" w:hAnsi="Cambria"/>
              </w:rPr>
              <w:t>.</w:t>
            </w:r>
          </w:p>
        </w:tc>
      </w:tr>
    </w:tbl>
    <w:p w:rsidR="008B11B2" w:rsidRDefault="008B11B2" w:rsidP="008B11B2">
      <w:pPr>
        <w:pStyle w:val="Heading2"/>
      </w:pPr>
    </w:p>
    <w:p w:rsidR="008B11B2" w:rsidRDefault="008B11B2" w:rsidP="008B11B2">
      <w:pPr>
        <w:pStyle w:val="Heading2"/>
      </w:pPr>
      <w:r w:rsidRPr="008B11B2">
        <w:t>Overcoming financial obstacles to private law claims</w:t>
      </w:r>
    </w:p>
    <w:p w:rsidR="008B11B2" w:rsidRPr="008B11B2" w:rsidRDefault="008B11B2" w:rsidP="008B11B2"/>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15: Claimants in cases arising from business-related human rights abuses have access to diversified sources of litigation funding.</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15.1</w:t>
      </w:r>
      <w:r w:rsidRPr="008B11B2">
        <w:rPr>
          <w:rFonts w:ascii="Cambria" w:hAnsi="Cambria"/>
          <w:b/>
          <w:bCs/>
          <w:sz w:val="22"/>
          <w:szCs w:val="22"/>
        </w:rPr>
        <w:tab/>
      </w:r>
      <w:r w:rsidRPr="008B11B2">
        <w:rPr>
          <w:rFonts w:ascii="Cambria" w:hAnsi="Cambria"/>
          <w:b/>
          <w:sz w:val="22"/>
          <w:szCs w:val="22"/>
        </w:rPr>
        <w:t>States prioritize the provision of State funding to claimants who are able to show financial hardship, and ensure that such funding is available on transparent and non-discriminatory terms, taking into account gender issues and the particular needs of individuals or groups at heightened risk of vulnerability or marginalization.</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1A0823">
              <w:rPr>
                <w:rFonts w:ascii="Cambria" w:hAnsi="Cambria"/>
                <w:b/>
                <w:sz w:val="22"/>
                <w:szCs w:val="22"/>
              </w:rPr>
              <w:t>s</w:t>
            </w:r>
            <w:r>
              <w:rPr>
                <w:rFonts w:ascii="Cambria" w:hAnsi="Cambria"/>
                <w:b/>
                <w:sz w:val="22"/>
                <w:szCs w:val="22"/>
              </w:rPr>
              <w:t>: 15.1</w:t>
            </w:r>
          </w:p>
          <w:p w:rsidR="004A79CD" w:rsidRDefault="001E6F88" w:rsidP="004F60D5">
            <w:pPr>
              <w:pStyle w:val="SingleTxtG"/>
              <w:ind w:left="0" w:right="0"/>
            </w:pPr>
            <w:r>
              <w:t xml:space="preserve">A. </w:t>
            </w:r>
            <w:r w:rsidR="004A79CD">
              <w:t>Modes and types of State financial support for individual litigants include:</w:t>
            </w:r>
          </w:p>
          <w:p w:rsidR="0006191C" w:rsidRDefault="004A79CD">
            <w:pPr>
              <w:pStyle w:val="SingleTxtG"/>
              <w:numPr>
                <w:ilvl w:val="0"/>
                <w:numId w:val="70"/>
              </w:numPr>
              <w:ind w:right="0"/>
            </w:pPr>
            <w:r>
              <w:t>financial grants (e.g. in the form of legal aid);</w:t>
            </w:r>
          </w:p>
          <w:p w:rsidR="0006191C" w:rsidRDefault="004A79CD">
            <w:pPr>
              <w:pStyle w:val="SingleTxtG"/>
              <w:numPr>
                <w:ilvl w:val="0"/>
                <w:numId w:val="70"/>
              </w:numPr>
              <w:ind w:right="0"/>
            </w:pPr>
            <w:r>
              <w:t>financial assistance to cover costs of tech</w:t>
            </w:r>
            <w:r w:rsidR="007F7215">
              <w:t>n</w:t>
            </w:r>
            <w:r>
              <w:t>ical experts;</w:t>
            </w:r>
          </w:p>
          <w:p w:rsidR="0006191C" w:rsidRDefault="004A79CD">
            <w:pPr>
              <w:pStyle w:val="SingleTxtG"/>
              <w:numPr>
                <w:ilvl w:val="0"/>
                <w:numId w:val="70"/>
              </w:numPr>
              <w:ind w:right="0"/>
            </w:pPr>
            <w:r>
              <w:t>direct payment of lawyer’s fees;</w:t>
            </w:r>
          </w:p>
          <w:p w:rsidR="0006191C" w:rsidRDefault="001E6F88">
            <w:pPr>
              <w:pStyle w:val="SingleTxtG"/>
              <w:numPr>
                <w:ilvl w:val="0"/>
                <w:numId w:val="70"/>
              </w:numPr>
              <w:ind w:right="0"/>
            </w:pPr>
            <w:r>
              <w:t>State funded pre-claim advice and support</w:t>
            </w:r>
            <w:r w:rsidR="004A79CD">
              <w:t>;</w:t>
            </w:r>
          </w:p>
          <w:p w:rsidR="00AD5B6E" w:rsidRDefault="001E6F88">
            <w:pPr>
              <w:pStyle w:val="SingleTxtG"/>
              <w:numPr>
                <w:ilvl w:val="0"/>
                <w:numId w:val="70"/>
              </w:numPr>
              <w:ind w:right="0"/>
            </w:pPr>
            <w:r>
              <w:t>waiving of court fees and</w:t>
            </w:r>
            <w:r w:rsidR="00AD5B6E">
              <w:t>;</w:t>
            </w:r>
          </w:p>
          <w:p w:rsidR="0006191C" w:rsidRDefault="007F7215">
            <w:pPr>
              <w:pStyle w:val="SingleTxtG"/>
              <w:numPr>
                <w:ilvl w:val="0"/>
                <w:numId w:val="70"/>
              </w:numPr>
              <w:ind w:right="0"/>
            </w:pPr>
            <w:proofErr w:type="gramStart"/>
            <w:r>
              <w:t>dedicated</w:t>
            </w:r>
            <w:proofErr w:type="gramEnd"/>
            <w:r>
              <w:t xml:space="preserve"> funds for claims arising from specific types of activity, or specific types of damage (e.g. consumer cases, environmental cases, labour cases).</w:t>
            </w:r>
          </w:p>
          <w:p w:rsidR="004A79CD" w:rsidRDefault="001E6F88" w:rsidP="001A0823">
            <w:pPr>
              <w:pStyle w:val="SingleTxtG"/>
              <w:ind w:left="0" w:right="0"/>
            </w:pPr>
            <w:r>
              <w:t xml:space="preserve">B. </w:t>
            </w:r>
            <w:r w:rsidR="004A79CD">
              <w:t>Issues taken into account in deciding whether to provide State financial support for individual litigants may include:</w:t>
            </w:r>
          </w:p>
          <w:p w:rsidR="0006191C" w:rsidRDefault="00AD5B6E">
            <w:pPr>
              <w:pStyle w:val="SingleTxtG"/>
              <w:numPr>
                <w:ilvl w:val="0"/>
                <w:numId w:val="71"/>
              </w:numPr>
              <w:ind w:right="0"/>
              <w:rPr>
                <w:i/>
              </w:rPr>
            </w:pPr>
            <w:r>
              <w:t>t</w:t>
            </w:r>
            <w:r w:rsidR="004A79CD">
              <w:t>he financial resources available to the claimant (e.g. often referred to as a “means test”)</w:t>
            </w:r>
            <w:r>
              <w:t>;</w:t>
            </w:r>
          </w:p>
          <w:p w:rsidR="0006191C" w:rsidRDefault="001E6F88">
            <w:pPr>
              <w:pStyle w:val="SingleTxtG"/>
              <w:numPr>
                <w:ilvl w:val="0"/>
                <w:numId w:val="71"/>
              </w:numPr>
              <w:ind w:right="0"/>
              <w:rPr>
                <w:i/>
              </w:rPr>
            </w:pPr>
            <w:r>
              <w:t>the prospects for success of the claimant’s legal action</w:t>
            </w:r>
            <w:r w:rsidR="004A79CD">
              <w:t>;</w:t>
            </w:r>
          </w:p>
          <w:p w:rsidR="0006191C" w:rsidRDefault="00AD5B6E">
            <w:pPr>
              <w:pStyle w:val="SingleTxtG"/>
              <w:numPr>
                <w:ilvl w:val="0"/>
                <w:numId w:val="71"/>
              </w:numPr>
              <w:ind w:right="0"/>
              <w:rPr>
                <w:i/>
              </w:rPr>
            </w:pPr>
            <w:r>
              <w:t>t</w:t>
            </w:r>
            <w:r w:rsidR="007F7215">
              <w:t xml:space="preserve">he type of claim (e.g. </w:t>
            </w:r>
            <w:r w:rsidR="001E6F88">
              <w:t xml:space="preserve">there </w:t>
            </w:r>
            <w:r w:rsidR="007F7215">
              <w:t xml:space="preserve">may be </w:t>
            </w:r>
            <w:r w:rsidR="001E6F88">
              <w:t>special provision for specific types of claimants</w:t>
            </w:r>
            <w:r w:rsidR="007F7215">
              <w:t>,</w:t>
            </w:r>
            <w:r w:rsidR="002F6DC5">
              <w:t xml:space="preserve"> </w:t>
            </w:r>
            <w:r w:rsidR="001E6F88">
              <w:t xml:space="preserve">for instance, </w:t>
            </w:r>
            <w:r w:rsidR="001E6F88">
              <w:lastRenderedPageBreak/>
              <w:t>claimants in consumer or labour related cases)</w:t>
            </w:r>
            <w:r w:rsidR="007F7215">
              <w:t>;</w:t>
            </w:r>
          </w:p>
          <w:p w:rsidR="0006191C" w:rsidRDefault="00AD5B6E" w:rsidP="002F6DC5">
            <w:pPr>
              <w:pStyle w:val="SingleTxtG"/>
              <w:numPr>
                <w:ilvl w:val="0"/>
                <w:numId w:val="71"/>
              </w:numPr>
              <w:ind w:right="0"/>
              <w:rPr>
                <w:rFonts w:ascii="Cambria" w:hAnsi="Cambria"/>
                <w:b/>
                <w:sz w:val="22"/>
                <w:szCs w:val="22"/>
              </w:rPr>
            </w:pPr>
            <w:proofErr w:type="gramStart"/>
            <w:r>
              <w:t>p</w:t>
            </w:r>
            <w:r w:rsidR="007F7215">
              <w:t>ublic</w:t>
            </w:r>
            <w:proofErr w:type="gramEnd"/>
            <w:r w:rsidR="007F7215">
              <w:t xml:space="preserve"> interest considerations (e.g. the public interest in resolving an issue or bringing a particular type of claim).</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15.2</w:t>
      </w:r>
      <w:r w:rsidRPr="008B11B2">
        <w:rPr>
          <w:rFonts w:ascii="Cambria" w:hAnsi="Cambria"/>
          <w:b/>
          <w:bCs/>
          <w:sz w:val="22"/>
          <w:szCs w:val="22"/>
        </w:rPr>
        <w:tab/>
      </w:r>
      <w:r w:rsidRPr="008B11B2">
        <w:rPr>
          <w:rFonts w:ascii="Cambria" w:hAnsi="Cambria"/>
          <w:b/>
          <w:sz w:val="22"/>
          <w:szCs w:val="22"/>
        </w:rPr>
        <w:t>The domestic legal system permits and encourages pro bono legal services.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642554">
              <w:rPr>
                <w:rFonts w:ascii="Cambria" w:hAnsi="Cambria"/>
                <w:b/>
                <w:sz w:val="22"/>
                <w:szCs w:val="22"/>
              </w:rPr>
              <w:t>s</w:t>
            </w:r>
            <w:r>
              <w:rPr>
                <w:rFonts w:ascii="Cambria" w:hAnsi="Cambria"/>
                <w:b/>
                <w:sz w:val="22"/>
                <w:szCs w:val="22"/>
              </w:rPr>
              <w:t>: 15.2</w:t>
            </w:r>
          </w:p>
          <w:p w:rsidR="007F7215" w:rsidRDefault="00A364A0" w:rsidP="001A0823">
            <w:pPr>
              <w:jc w:val="both"/>
              <w:rPr>
                <w:rFonts w:ascii="Cambria" w:hAnsi="Cambria"/>
                <w:sz w:val="20"/>
                <w:szCs w:val="20"/>
              </w:rPr>
            </w:pPr>
            <w:r>
              <w:rPr>
                <w:rFonts w:ascii="Cambria" w:hAnsi="Cambria"/>
                <w:sz w:val="20"/>
                <w:szCs w:val="20"/>
              </w:rPr>
              <w:t xml:space="preserve">A. </w:t>
            </w:r>
            <w:r w:rsidR="007F7215">
              <w:rPr>
                <w:rFonts w:ascii="Cambria" w:hAnsi="Cambria"/>
                <w:sz w:val="20"/>
                <w:szCs w:val="20"/>
              </w:rPr>
              <w:t xml:space="preserve">Ways to improve availability of and access to </w:t>
            </w:r>
            <w:r w:rsidR="00D75ECD">
              <w:rPr>
                <w:rFonts w:ascii="Cambria" w:hAnsi="Cambria"/>
                <w:sz w:val="20"/>
                <w:szCs w:val="20"/>
              </w:rPr>
              <w:t>pro bono legal services include;</w:t>
            </w:r>
          </w:p>
          <w:p w:rsidR="007F7215" w:rsidRDefault="007F7215" w:rsidP="001A0823">
            <w:pPr>
              <w:jc w:val="both"/>
              <w:rPr>
                <w:rFonts w:ascii="Cambria" w:hAnsi="Cambria"/>
                <w:sz w:val="20"/>
                <w:szCs w:val="20"/>
              </w:rPr>
            </w:pPr>
          </w:p>
          <w:p w:rsidR="0006191C" w:rsidRDefault="00D75ECD">
            <w:pPr>
              <w:pStyle w:val="ListParagraph"/>
              <w:numPr>
                <w:ilvl w:val="0"/>
                <w:numId w:val="72"/>
              </w:numPr>
              <w:jc w:val="both"/>
              <w:rPr>
                <w:rFonts w:ascii="Cambria" w:hAnsi="Cambria"/>
                <w:sz w:val="20"/>
                <w:szCs w:val="20"/>
              </w:rPr>
            </w:pPr>
            <w:r>
              <w:rPr>
                <w:rFonts w:ascii="Cambria" w:hAnsi="Cambria"/>
                <w:sz w:val="20"/>
                <w:szCs w:val="20"/>
              </w:rPr>
              <w:t>i</w:t>
            </w:r>
            <w:r w:rsidR="007F7215">
              <w:rPr>
                <w:rFonts w:ascii="Cambria" w:hAnsi="Cambria"/>
                <w:sz w:val="20"/>
                <w:szCs w:val="20"/>
              </w:rPr>
              <w:t>dentificati</w:t>
            </w:r>
            <w:r w:rsidR="00A364A0">
              <w:rPr>
                <w:rFonts w:ascii="Cambria" w:hAnsi="Cambria"/>
                <w:sz w:val="20"/>
                <w:szCs w:val="20"/>
              </w:rPr>
              <w:t xml:space="preserve">on and evaluation of obstacles </w:t>
            </w:r>
            <w:r>
              <w:rPr>
                <w:rFonts w:ascii="Cambria" w:hAnsi="Cambria"/>
                <w:sz w:val="20"/>
                <w:szCs w:val="20"/>
              </w:rPr>
              <w:t xml:space="preserve">to </w:t>
            </w:r>
            <w:r w:rsidR="007F7215">
              <w:rPr>
                <w:rFonts w:ascii="Cambria" w:hAnsi="Cambria"/>
                <w:sz w:val="20"/>
                <w:szCs w:val="20"/>
              </w:rPr>
              <w:t>pro bono legal services (</w:t>
            </w:r>
            <w:r w:rsidR="007F7215" w:rsidRPr="001A0823">
              <w:rPr>
                <w:rFonts w:ascii="Cambria" w:hAnsi="Cambria"/>
                <w:sz w:val="20"/>
                <w:szCs w:val="20"/>
              </w:rPr>
              <w:t>operation of rules of professional bodies, laws prohibiting lawyers from charging lower amounts than statutory minimums, restrictions on legal advertising, lack of an active local bar association prepared or able to do the necessary outreach, and rules that oblige the charging of tax on legal services, irrespective of the amounts actually charged</w:t>
            </w:r>
            <w:r w:rsidR="007F7215">
              <w:rPr>
                <w:rFonts w:ascii="Cambria" w:hAnsi="Cambria"/>
                <w:sz w:val="20"/>
                <w:szCs w:val="20"/>
              </w:rPr>
              <w:t>)</w:t>
            </w:r>
            <w:r>
              <w:rPr>
                <w:rFonts w:ascii="Cambria" w:hAnsi="Cambria"/>
                <w:sz w:val="20"/>
                <w:szCs w:val="20"/>
              </w:rPr>
              <w:t>;</w:t>
            </w:r>
          </w:p>
          <w:p w:rsidR="00A364A0" w:rsidRDefault="00A364A0" w:rsidP="00A364A0">
            <w:pPr>
              <w:pStyle w:val="ListParagraph"/>
              <w:jc w:val="both"/>
              <w:rPr>
                <w:rFonts w:ascii="Cambria" w:hAnsi="Cambria"/>
                <w:sz w:val="20"/>
                <w:szCs w:val="20"/>
              </w:rPr>
            </w:pPr>
          </w:p>
          <w:p w:rsidR="0006191C" w:rsidRDefault="00D75ECD">
            <w:pPr>
              <w:pStyle w:val="ListParagraph"/>
              <w:numPr>
                <w:ilvl w:val="0"/>
                <w:numId w:val="72"/>
              </w:numPr>
              <w:jc w:val="both"/>
              <w:rPr>
                <w:rFonts w:ascii="Cambria" w:hAnsi="Cambria" w:cs="Arial"/>
                <w:sz w:val="20"/>
                <w:szCs w:val="20"/>
              </w:rPr>
            </w:pPr>
            <w:r>
              <w:rPr>
                <w:rFonts w:ascii="Cambria" w:hAnsi="Cambria"/>
                <w:sz w:val="20"/>
                <w:szCs w:val="20"/>
              </w:rPr>
              <w:t xml:space="preserve"> s</w:t>
            </w:r>
            <w:r w:rsidR="007F7215">
              <w:rPr>
                <w:rFonts w:ascii="Cambria" w:hAnsi="Cambria"/>
                <w:sz w:val="20"/>
                <w:szCs w:val="20"/>
              </w:rPr>
              <w:t xml:space="preserve">upport for </w:t>
            </w:r>
            <w:r w:rsidR="001A0823" w:rsidRPr="001A0823">
              <w:rPr>
                <w:rFonts w:ascii="Cambria" w:hAnsi="Cambria" w:cs="Arial"/>
                <w:sz w:val="20"/>
                <w:szCs w:val="20"/>
              </w:rPr>
              <w:t xml:space="preserve"> establishment of law clinics through which claimants can get free initial advice about the viability of their claims, likely costs of pursuing the claim, and different potential sources of fundin</w:t>
            </w:r>
            <w:r>
              <w:rPr>
                <w:rFonts w:ascii="Cambria" w:hAnsi="Cambria" w:cs="Arial"/>
                <w:sz w:val="20"/>
                <w:szCs w:val="20"/>
              </w:rPr>
              <w:t>g (including through insurance);</w:t>
            </w:r>
          </w:p>
          <w:p w:rsidR="0006191C" w:rsidRDefault="0006191C">
            <w:pPr>
              <w:pStyle w:val="ListParagraph"/>
              <w:rPr>
                <w:rFonts w:ascii="Cambria" w:hAnsi="Cambria" w:cs="Arial"/>
                <w:sz w:val="20"/>
                <w:szCs w:val="20"/>
              </w:rPr>
            </w:pPr>
          </w:p>
          <w:p w:rsidR="0006191C" w:rsidRDefault="00D75ECD">
            <w:pPr>
              <w:pStyle w:val="ListParagraph"/>
              <w:numPr>
                <w:ilvl w:val="0"/>
                <w:numId w:val="72"/>
              </w:numPr>
              <w:jc w:val="both"/>
              <w:rPr>
                <w:rFonts w:ascii="Cambria" w:hAnsi="Cambria" w:cs="Arial"/>
                <w:sz w:val="20"/>
                <w:szCs w:val="20"/>
              </w:rPr>
            </w:pPr>
            <w:r>
              <w:rPr>
                <w:rFonts w:ascii="Cambria" w:hAnsi="Cambria" w:cs="Arial"/>
                <w:sz w:val="20"/>
                <w:szCs w:val="20"/>
              </w:rPr>
              <w:t>e</w:t>
            </w:r>
            <w:r w:rsidR="007F7215">
              <w:rPr>
                <w:rFonts w:ascii="Cambria" w:hAnsi="Cambria" w:cs="Arial"/>
                <w:sz w:val="20"/>
                <w:szCs w:val="20"/>
              </w:rPr>
              <w:t xml:space="preserve">stablishment of </w:t>
            </w:r>
            <w:r w:rsidR="001A0823" w:rsidRPr="001A0823">
              <w:rPr>
                <w:rFonts w:ascii="Cambria" w:hAnsi="Cambria" w:cs="Arial"/>
                <w:sz w:val="20"/>
                <w:szCs w:val="20"/>
              </w:rPr>
              <w:t>“clearing house” arrangements whereby details of the claim are confidentially provided to a network of potential advisers which are t</w:t>
            </w:r>
            <w:r>
              <w:rPr>
                <w:rFonts w:ascii="Cambria" w:hAnsi="Cambria" w:cs="Arial"/>
                <w:sz w:val="20"/>
                <w:szCs w:val="20"/>
              </w:rPr>
              <w:t>hen invited to bid for the work;</w:t>
            </w:r>
          </w:p>
          <w:p w:rsidR="0006191C" w:rsidRDefault="0006191C">
            <w:pPr>
              <w:pStyle w:val="ListParagraph"/>
              <w:rPr>
                <w:rFonts w:ascii="Cambria" w:hAnsi="Cambria" w:cs="Arial"/>
                <w:sz w:val="20"/>
                <w:szCs w:val="20"/>
              </w:rPr>
            </w:pPr>
          </w:p>
          <w:p w:rsidR="0006191C" w:rsidRDefault="00D75ECD">
            <w:pPr>
              <w:pStyle w:val="ListParagraph"/>
              <w:numPr>
                <w:ilvl w:val="0"/>
                <w:numId w:val="72"/>
              </w:numPr>
              <w:jc w:val="both"/>
              <w:rPr>
                <w:rFonts w:ascii="Cambria" w:hAnsi="Cambria"/>
                <w:sz w:val="20"/>
                <w:szCs w:val="20"/>
              </w:rPr>
            </w:pPr>
            <w:r>
              <w:rPr>
                <w:rFonts w:ascii="Cambria" w:hAnsi="Cambria" w:cs="Arial"/>
                <w:sz w:val="20"/>
                <w:szCs w:val="20"/>
              </w:rPr>
              <w:t>p</w:t>
            </w:r>
            <w:r w:rsidR="0019101F">
              <w:rPr>
                <w:rFonts w:ascii="Cambria" w:hAnsi="Cambria" w:cs="Arial"/>
                <w:sz w:val="20"/>
                <w:szCs w:val="20"/>
              </w:rPr>
              <w:t>roviding e</w:t>
            </w:r>
            <w:r w:rsidR="007F7215">
              <w:rPr>
                <w:rFonts w:ascii="Cambria" w:hAnsi="Cambria" w:cs="Arial"/>
                <w:sz w:val="20"/>
                <w:szCs w:val="20"/>
              </w:rPr>
              <w:t xml:space="preserve">ncouragement to lawyers and law firms (including through professional bodies and academic institutions) </w:t>
            </w:r>
            <w:r w:rsidR="00C94455" w:rsidRPr="00C94455">
              <w:rPr>
                <w:rFonts w:ascii="Cambria" w:hAnsi="Cambria"/>
                <w:sz w:val="20"/>
                <w:szCs w:val="20"/>
              </w:rPr>
              <w:t>to commit to carrying out a certain amount of pro bono work per year (for instance, a certain number of hours per lawyer, or a certain percentage of billings) and to report publicly on that provision (e.g. on whether certain targets for pro bono work were met in the previous year</w:t>
            </w:r>
            <w:r w:rsidR="00413063">
              <w:rPr>
                <w:rFonts w:ascii="Cambria" w:hAnsi="Cambria"/>
                <w:sz w:val="20"/>
                <w:szCs w:val="20"/>
              </w:rPr>
              <w:t>)</w:t>
            </w:r>
            <w:r w:rsidR="00C94455" w:rsidRPr="00C94455">
              <w:rPr>
                <w:rFonts w:ascii="Cambria" w:hAnsi="Cambria"/>
                <w:sz w:val="20"/>
                <w:szCs w:val="20"/>
              </w:rPr>
              <w:t>.  .</w:t>
            </w:r>
          </w:p>
          <w:p w:rsidR="00C94455" w:rsidRDefault="00C94455" w:rsidP="00C94455">
            <w:pPr>
              <w:jc w:val="both"/>
              <w:rPr>
                <w:rFonts w:ascii="Cambria" w:hAnsi="Cambria"/>
                <w:b/>
                <w:sz w:val="22"/>
                <w:szCs w:val="22"/>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15.3</w:t>
      </w:r>
      <w:r w:rsidRPr="008B11B2">
        <w:rPr>
          <w:rFonts w:ascii="Cambria" w:hAnsi="Cambria"/>
          <w:b/>
          <w:bCs/>
          <w:sz w:val="22"/>
          <w:szCs w:val="22"/>
        </w:rPr>
        <w:tab/>
      </w:r>
      <w:r w:rsidRPr="008B11B2">
        <w:rPr>
          <w:rFonts w:ascii="Cambria" w:hAnsi="Cambria"/>
          <w:b/>
          <w:sz w:val="22"/>
          <w:szCs w:val="22"/>
        </w:rPr>
        <w:t>Rules of civil procedure provide for the possibility of collective redress mechanisms in cases arising from business-related human rights abuses, the criteria for which are clearly expressed and consistently applied.</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556AC6">
              <w:rPr>
                <w:rFonts w:ascii="Cambria" w:hAnsi="Cambria"/>
                <w:b/>
                <w:sz w:val="22"/>
                <w:szCs w:val="22"/>
              </w:rPr>
              <w:t>s</w:t>
            </w:r>
            <w:r>
              <w:rPr>
                <w:rFonts w:ascii="Cambria" w:hAnsi="Cambria"/>
                <w:b/>
                <w:sz w:val="22"/>
                <w:szCs w:val="22"/>
              </w:rPr>
              <w:t>: 15.3</w:t>
            </w:r>
          </w:p>
          <w:p w:rsidR="00B52A61" w:rsidRPr="00327DB7" w:rsidRDefault="00A364A0" w:rsidP="004F60D5">
            <w:pPr>
              <w:pStyle w:val="SingleTxtG"/>
              <w:ind w:left="0" w:right="0"/>
              <w:rPr>
                <w:rFonts w:ascii="Cambria" w:hAnsi="Cambria"/>
              </w:rPr>
            </w:pPr>
            <w:r>
              <w:rPr>
                <w:rFonts w:ascii="Cambria" w:hAnsi="Cambria"/>
              </w:rPr>
              <w:t xml:space="preserve">A. </w:t>
            </w:r>
            <w:r w:rsidR="00556AC6" w:rsidRPr="00327DB7">
              <w:rPr>
                <w:rFonts w:ascii="Cambria" w:hAnsi="Cambria"/>
              </w:rPr>
              <w:t>Collective redress mechanisms can take many forms, including</w:t>
            </w:r>
            <w:r w:rsidR="00D75ECD">
              <w:rPr>
                <w:rFonts w:ascii="Cambria" w:hAnsi="Cambria"/>
              </w:rPr>
              <w:t>;</w:t>
            </w:r>
          </w:p>
          <w:p w:rsidR="00556AC6" w:rsidRPr="00327DB7" w:rsidRDefault="00D75ECD" w:rsidP="00E623C2">
            <w:pPr>
              <w:pStyle w:val="SingleTxtG"/>
              <w:numPr>
                <w:ilvl w:val="0"/>
                <w:numId w:val="33"/>
              </w:numPr>
              <w:ind w:right="0"/>
              <w:rPr>
                <w:rFonts w:ascii="Cambria" w:hAnsi="Cambria"/>
              </w:rPr>
            </w:pPr>
            <w:r>
              <w:rPr>
                <w:rFonts w:ascii="Cambria" w:hAnsi="Cambria"/>
              </w:rPr>
              <w:t>“o</w:t>
            </w:r>
            <w:r w:rsidR="00556AC6" w:rsidRPr="00327DB7">
              <w:rPr>
                <w:rFonts w:ascii="Cambria" w:hAnsi="Cambria"/>
              </w:rPr>
              <w:t xml:space="preserve">pt-out” </w:t>
            </w:r>
            <w:r w:rsidR="00327DB7" w:rsidRPr="00327DB7">
              <w:rPr>
                <w:rFonts w:ascii="Cambria" w:hAnsi="Cambria"/>
              </w:rPr>
              <w:t>class actions</w:t>
            </w:r>
            <w:r w:rsidR="00556AC6" w:rsidRPr="00327DB7">
              <w:rPr>
                <w:rFonts w:ascii="Cambria" w:hAnsi="Cambria"/>
              </w:rPr>
              <w:t>;</w:t>
            </w:r>
          </w:p>
          <w:p w:rsidR="00556AC6" w:rsidRPr="00327DB7" w:rsidRDefault="00D75ECD" w:rsidP="00E623C2">
            <w:pPr>
              <w:pStyle w:val="SingleTxtG"/>
              <w:numPr>
                <w:ilvl w:val="0"/>
                <w:numId w:val="33"/>
              </w:numPr>
              <w:ind w:right="0"/>
              <w:rPr>
                <w:rFonts w:ascii="Cambria" w:hAnsi="Cambria"/>
              </w:rPr>
            </w:pPr>
            <w:r>
              <w:rPr>
                <w:rFonts w:ascii="Cambria" w:hAnsi="Cambria"/>
              </w:rPr>
              <w:t>“o</w:t>
            </w:r>
            <w:r w:rsidR="00556AC6" w:rsidRPr="00327DB7">
              <w:rPr>
                <w:rFonts w:ascii="Cambria" w:hAnsi="Cambria"/>
              </w:rPr>
              <w:t xml:space="preserve">pt-in” </w:t>
            </w:r>
            <w:r w:rsidR="00327DB7" w:rsidRPr="00327DB7">
              <w:rPr>
                <w:rFonts w:ascii="Cambria" w:hAnsi="Cambria"/>
              </w:rPr>
              <w:t>class actions or “group” actions;</w:t>
            </w:r>
          </w:p>
          <w:p w:rsidR="00327DB7" w:rsidRPr="00327DB7" w:rsidRDefault="00D75ECD" w:rsidP="00E623C2">
            <w:pPr>
              <w:pStyle w:val="SingleTxtG"/>
              <w:numPr>
                <w:ilvl w:val="0"/>
                <w:numId w:val="33"/>
              </w:numPr>
              <w:ind w:right="0"/>
              <w:rPr>
                <w:rFonts w:ascii="Cambria" w:hAnsi="Cambria"/>
              </w:rPr>
            </w:pPr>
            <w:r>
              <w:rPr>
                <w:rFonts w:ascii="Cambria" w:hAnsi="Cambria"/>
              </w:rPr>
              <w:t>r</w:t>
            </w:r>
            <w:r w:rsidR="00327DB7" w:rsidRPr="00327DB7">
              <w:rPr>
                <w:rFonts w:ascii="Cambria" w:hAnsi="Cambria"/>
              </w:rPr>
              <w:t>epresentative actions brought by a State agency (e.g. a regulator) or an association on behalf of a group (e.g. as used in consumer law or competition law)</w:t>
            </w:r>
            <w:r>
              <w:rPr>
                <w:rFonts w:ascii="Cambria" w:hAnsi="Cambria"/>
              </w:rPr>
              <w:t>;</w:t>
            </w:r>
          </w:p>
          <w:p w:rsidR="00556AC6" w:rsidRPr="00327DB7" w:rsidRDefault="00D75ECD" w:rsidP="00E623C2">
            <w:pPr>
              <w:pStyle w:val="SingleTxtG"/>
              <w:numPr>
                <w:ilvl w:val="0"/>
                <w:numId w:val="33"/>
              </w:numPr>
              <w:ind w:right="0"/>
              <w:rPr>
                <w:rFonts w:ascii="Cambria" w:hAnsi="Cambria"/>
              </w:rPr>
            </w:pPr>
            <w:r>
              <w:rPr>
                <w:rFonts w:ascii="Cambria" w:hAnsi="Cambria"/>
              </w:rPr>
              <w:t>r</w:t>
            </w:r>
            <w:r w:rsidR="00556AC6" w:rsidRPr="00327DB7">
              <w:rPr>
                <w:rFonts w:ascii="Cambria" w:hAnsi="Cambria"/>
              </w:rPr>
              <w:t>egime-specific mechanisms (e.g. under consumer</w:t>
            </w:r>
            <w:r w:rsidR="00327DB7" w:rsidRPr="00327DB7">
              <w:rPr>
                <w:rFonts w:ascii="Cambria" w:hAnsi="Cambria"/>
              </w:rPr>
              <w:t xml:space="preserve"> law</w:t>
            </w:r>
            <w:r w:rsidR="00556AC6" w:rsidRPr="00327DB7">
              <w:rPr>
                <w:rFonts w:ascii="Cambria" w:hAnsi="Cambria"/>
              </w:rPr>
              <w:t xml:space="preserve">, competition law or environmental </w:t>
            </w:r>
            <w:r w:rsidR="00327DB7" w:rsidRPr="00327DB7">
              <w:rPr>
                <w:rFonts w:ascii="Cambria" w:hAnsi="Cambria"/>
              </w:rPr>
              <w:t xml:space="preserve">law </w:t>
            </w:r>
            <w:r>
              <w:rPr>
                <w:rFonts w:ascii="Cambria" w:hAnsi="Cambria"/>
              </w:rPr>
              <w:t>regimes);</w:t>
            </w:r>
          </w:p>
          <w:p w:rsidR="00556AC6" w:rsidRPr="00327DB7" w:rsidRDefault="00D75ECD" w:rsidP="00E623C2">
            <w:pPr>
              <w:pStyle w:val="SingleTxtG"/>
              <w:numPr>
                <w:ilvl w:val="0"/>
                <w:numId w:val="33"/>
              </w:numPr>
              <w:ind w:right="0"/>
              <w:rPr>
                <w:rFonts w:ascii="Cambria" w:hAnsi="Cambria"/>
              </w:rPr>
            </w:pPr>
            <w:r>
              <w:rPr>
                <w:rFonts w:ascii="Cambria" w:hAnsi="Cambria"/>
              </w:rPr>
              <w:t>p</w:t>
            </w:r>
            <w:r w:rsidR="00556AC6" w:rsidRPr="00327DB7">
              <w:rPr>
                <w:rFonts w:ascii="Cambria" w:hAnsi="Cambria"/>
              </w:rPr>
              <w:t>rovisions for consolidation of claims;</w:t>
            </w:r>
          </w:p>
          <w:p w:rsidR="00B52A61" w:rsidRPr="00556AC6" w:rsidRDefault="00D75ECD" w:rsidP="002F6DC5">
            <w:pPr>
              <w:pStyle w:val="SingleTxtG"/>
              <w:numPr>
                <w:ilvl w:val="0"/>
                <w:numId w:val="33"/>
              </w:numPr>
              <w:ind w:right="0"/>
              <w:rPr>
                <w:rFonts w:ascii="Cambria" w:hAnsi="Cambria"/>
                <w:sz w:val="22"/>
                <w:szCs w:val="22"/>
              </w:rPr>
            </w:pPr>
            <w:proofErr w:type="gramStart"/>
            <w:r>
              <w:rPr>
                <w:rFonts w:ascii="Cambria" w:hAnsi="Cambria"/>
              </w:rPr>
              <w:t>p</w:t>
            </w:r>
            <w:r w:rsidR="00556AC6" w:rsidRPr="00327DB7">
              <w:rPr>
                <w:rFonts w:ascii="Cambria" w:hAnsi="Cambria"/>
              </w:rPr>
              <w:t>rovisions</w:t>
            </w:r>
            <w:proofErr w:type="gramEnd"/>
            <w:r w:rsidR="00556AC6" w:rsidRPr="00327DB7">
              <w:rPr>
                <w:rFonts w:ascii="Cambria" w:hAnsi="Cambria"/>
              </w:rPr>
              <w:t xml:space="preserve"> for simultaneous hearings of claims.</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15.4</w:t>
      </w:r>
      <w:r w:rsidRPr="008B11B2">
        <w:rPr>
          <w:rFonts w:ascii="Cambria" w:hAnsi="Cambria"/>
          <w:b/>
          <w:sz w:val="22"/>
          <w:szCs w:val="22"/>
        </w:rPr>
        <w:tab/>
        <w:t xml:space="preserve">The domestic legal system permits a range of private funding arrangements, such as funding by third party litigation funders, firms of solicitors (e.g. pursuant to contingency fee and/or “success fee” arrangements) and providers of litigation insurance. </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lastRenderedPageBreak/>
        <w:t>15.5</w:t>
      </w:r>
      <w:r w:rsidRPr="008B11B2">
        <w:rPr>
          <w:rFonts w:ascii="Cambria" w:hAnsi="Cambria"/>
          <w:b/>
          <w:bCs/>
          <w:sz w:val="22"/>
          <w:szCs w:val="22"/>
        </w:rPr>
        <w:tab/>
      </w:r>
      <w:r w:rsidRPr="008B11B2">
        <w:rPr>
          <w:rFonts w:ascii="Cambria" w:hAnsi="Cambria"/>
          <w:b/>
          <w:sz w:val="22"/>
          <w:szCs w:val="22"/>
        </w:rPr>
        <w:t>Providers of private funding arrangements are subject to appropriate regulation to ensure proper standards of service and to guard against abuse and conflicts of interest.</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686C99">
              <w:rPr>
                <w:rFonts w:ascii="Cambria" w:hAnsi="Cambria"/>
                <w:b/>
                <w:sz w:val="22"/>
                <w:szCs w:val="22"/>
              </w:rPr>
              <w:t>s</w:t>
            </w:r>
            <w:r>
              <w:rPr>
                <w:rFonts w:ascii="Cambria" w:hAnsi="Cambria"/>
                <w:b/>
                <w:sz w:val="22"/>
                <w:szCs w:val="22"/>
              </w:rPr>
              <w:t>: 15.5</w:t>
            </w:r>
          </w:p>
          <w:p w:rsidR="00F52765" w:rsidRDefault="00A364A0" w:rsidP="00686C99">
            <w:pPr>
              <w:pStyle w:val="SingleTxtG"/>
              <w:ind w:left="0" w:right="0"/>
              <w:rPr>
                <w:rFonts w:ascii="Cambria" w:hAnsi="Cambria"/>
              </w:rPr>
            </w:pPr>
            <w:r>
              <w:rPr>
                <w:rFonts w:ascii="Cambria" w:hAnsi="Cambria"/>
              </w:rPr>
              <w:t xml:space="preserve">A. </w:t>
            </w:r>
            <w:r w:rsidR="00F52765">
              <w:rPr>
                <w:rFonts w:ascii="Cambria" w:hAnsi="Cambria"/>
              </w:rPr>
              <w:t>Ways to ensure proper standards of service by private litigation funders include;</w:t>
            </w:r>
          </w:p>
          <w:p w:rsidR="0006191C" w:rsidRDefault="003661E4">
            <w:pPr>
              <w:pStyle w:val="SingleTxtG"/>
              <w:numPr>
                <w:ilvl w:val="0"/>
                <w:numId w:val="74"/>
              </w:numPr>
              <w:ind w:right="0"/>
              <w:rPr>
                <w:rFonts w:ascii="Cambria" w:hAnsi="Cambria"/>
              </w:rPr>
            </w:pPr>
            <w:r>
              <w:rPr>
                <w:rFonts w:ascii="Cambria" w:hAnsi="Cambria"/>
              </w:rPr>
              <w:t>i</w:t>
            </w:r>
            <w:r w:rsidR="00F52765">
              <w:rPr>
                <w:rFonts w:ascii="Cambria" w:hAnsi="Cambria"/>
              </w:rPr>
              <w:t>ntroduction of robust regulatory regimes to ensure that the client is properly advised, that there is transparency as to how lawyers costs and disbursements will be calculated, that the client receives a reasonable proportion of any damages award and providing for the possibility of independent review of bills an</w:t>
            </w:r>
            <w:r>
              <w:rPr>
                <w:rFonts w:ascii="Cambria" w:hAnsi="Cambria"/>
              </w:rPr>
              <w:t>d access to independent advice;</w:t>
            </w:r>
            <w:r w:rsidR="00F52765">
              <w:rPr>
                <w:rFonts w:ascii="Cambria" w:hAnsi="Cambria"/>
              </w:rPr>
              <w:t xml:space="preserve"> </w:t>
            </w:r>
          </w:p>
          <w:p w:rsidR="0006191C" w:rsidRDefault="00F52765" w:rsidP="002F6DC5">
            <w:pPr>
              <w:pStyle w:val="SingleTxtG"/>
              <w:numPr>
                <w:ilvl w:val="0"/>
                <w:numId w:val="74"/>
              </w:numPr>
              <w:tabs>
                <w:tab w:val="left" w:pos="4401"/>
              </w:tabs>
              <w:ind w:right="0"/>
              <w:rPr>
                <w:rFonts w:ascii="Cambria" w:hAnsi="Cambria"/>
                <w:i/>
              </w:rPr>
            </w:pPr>
            <w:proofErr w:type="gramStart"/>
            <w:r>
              <w:rPr>
                <w:rFonts w:ascii="Cambria" w:hAnsi="Cambria"/>
              </w:rPr>
              <w:t>taking</w:t>
            </w:r>
            <w:proofErr w:type="gramEnd"/>
            <w:r>
              <w:rPr>
                <w:rFonts w:ascii="Cambria" w:hAnsi="Cambria"/>
              </w:rPr>
              <w:t xml:space="preserve"> steps </w:t>
            </w:r>
            <w:r w:rsidR="00686C99">
              <w:rPr>
                <w:rFonts w:ascii="Cambria" w:hAnsi="Cambria"/>
              </w:rPr>
              <w:t>to bring l</w:t>
            </w:r>
            <w:r w:rsidR="00686C99" w:rsidRPr="00686C99">
              <w:rPr>
                <w:rFonts w:ascii="Cambria" w:hAnsi="Cambria"/>
              </w:rPr>
              <w:t xml:space="preserve">itigation funders </w:t>
            </w:r>
            <w:r w:rsidR="00686C99">
              <w:rPr>
                <w:rFonts w:ascii="Cambria" w:hAnsi="Cambria"/>
              </w:rPr>
              <w:t>within the ambit of laws relating to f</w:t>
            </w:r>
            <w:r w:rsidR="00801C04" w:rsidRPr="00686C99">
              <w:rPr>
                <w:rFonts w:ascii="Cambria" w:hAnsi="Cambria"/>
              </w:rPr>
              <w:t>inancial services providers</w:t>
            </w:r>
            <w:r w:rsidR="00686C99">
              <w:rPr>
                <w:rFonts w:ascii="Cambria" w:hAnsi="Cambria"/>
              </w:rPr>
              <w:t xml:space="preserve">, and therefore subject to </w:t>
            </w:r>
            <w:r w:rsidR="00801C04" w:rsidRPr="00686C99">
              <w:rPr>
                <w:rFonts w:ascii="Cambria" w:hAnsi="Cambria"/>
              </w:rPr>
              <w:t xml:space="preserve">regulatory requirements </w:t>
            </w:r>
            <w:r w:rsidR="00686C99">
              <w:rPr>
                <w:rFonts w:ascii="Cambria" w:hAnsi="Cambria"/>
              </w:rPr>
              <w:t>relating to</w:t>
            </w:r>
            <w:r w:rsidR="00801C04" w:rsidRPr="00686C99">
              <w:rPr>
                <w:rFonts w:ascii="Cambria" w:hAnsi="Cambria"/>
              </w:rPr>
              <w:t xml:space="preserve"> disc</w:t>
            </w:r>
            <w:r w:rsidR="00686C99">
              <w:rPr>
                <w:rFonts w:ascii="Cambria" w:hAnsi="Cambria"/>
              </w:rPr>
              <w:t>losure, customer serv</w:t>
            </w:r>
            <w:r>
              <w:rPr>
                <w:rFonts w:ascii="Cambria" w:hAnsi="Cambria"/>
              </w:rPr>
              <w:t>ic</w:t>
            </w:r>
            <w:r w:rsidR="00686C99">
              <w:rPr>
                <w:rFonts w:ascii="Cambria" w:hAnsi="Cambria"/>
              </w:rPr>
              <w:t>e and capital requirements.</w:t>
            </w:r>
            <w:r w:rsidR="00801C04" w:rsidRPr="00686C99">
              <w:rPr>
                <w:rFonts w:ascii="Cambria" w:hAnsi="Cambria"/>
              </w:rPr>
              <w:t xml:space="preserve"> </w:t>
            </w:r>
          </w:p>
        </w:tc>
      </w:tr>
    </w:tbl>
    <w:p w:rsidR="00B52A61" w:rsidRPr="008B11B2" w:rsidRDefault="00B52A61" w:rsidP="008B11B2">
      <w:pPr>
        <w:pStyle w:val="SingleTxtG"/>
        <w:ind w:left="0" w:right="0"/>
        <w:rPr>
          <w:rFonts w:ascii="Cambria" w:hAnsi="Cambria"/>
          <w:b/>
          <w:sz w:val="22"/>
          <w:szCs w:val="22"/>
        </w:rPr>
      </w:pPr>
    </w:p>
    <w:p w:rsidR="00B52A61" w:rsidRDefault="008B11B2" w:rsidP="00B52A61">
      <w:pPr>
        <w:pStyle w:val="SingleTxtG"/>
        <w:ind w:left="0" w:right="0"/>
        <w:rPr>
          <w:rFonts w:ascii="Cambria" w:hAnsi="Cambria"/>
          <w:b/>
          <w:sz w:val="22"/>
          <w:szCs w:val="22"/>
        </w:rPr>
      </w:pPr>
      <w:r w:rsidRPr="008B11B2">
        <w:rPr>
          <w:rFonts w:ascii="Cambria" w:hAnsi="Cambria"/>
          <w:b/>
          <w:bCs/>
          <w:sz w:val="22"/>
          <w:szCs w:val="22"/>
        </w:rPr>
        <w:t>15.6</w:t>
      </w:r>
      <w:r w:rsidRPr="008B11B2">
        <w:rPr>
          <w:rFonts w:ascii="Cambria" w:hAnsi="Cambria"/>
          <w:b/>
          <w:bCs/>
          <w:sz w:val="22"/>
          <w:szCs w:val="22"/>
        </w:rPr>
        <w:tab/>
      </w:r>
      <w:r w:rsidRPr="008B11B2">
        <w:rPr>
          <w:rFonts w:ascii="Cambria" w:hAnsi="Cambria"/>
          <w:b/>
          <w:sz w:val="22"/>
          <w:szCs w:val="22"/>
        </w:rPr>
        <w:t>Potential claimants have access to well-publicized and reliable sources of advice on their options with respect to litigation funding and resourcing, in languages and formats that are both accessible and understandable.</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15.6</w:t>
            </w:r>
          </w:p>
          <w:p w:rsidR="00F52765" w:rsidRDefault="000B5C46" w:rsidP="008F36AD">
            <w:pPr>
              <w:pStyle w:val="SingleTxtG"/>
              <w:ind w:left="0" w:right="0"/>
            </w:pPr>
            <w:r>
              <w:t xml:space="preserve">A. </w:t>
            </w:r>
            <w:r w:rsidR="00881CF8">
              <w:t xml:space="preserve">Strategies </w:t>
            </w:r>
            <w:r w:rsidR="008F36AD">
              <w:t>used to help improve access to information and sources of advice include</w:t>
            </w:r>
            <w:r w:rsidR="007A5E63">
              <w:t>;</w:t>
            </w:r>
          </w:p>
          <w:p w:rsidR="0006191C" w:rsidRDefault="00881CF8">
            <w:pPr>
              <w:pStyle w:val="SingleTxtG"/>
              <w:numPr>
                <w:ilvl w:val="0"/>
                <w:numId w:val="74"/>
              </w:numPr>
              <w:ind w:right="0"/>
            </w:pPr>
            <w:r>
              <w:t>use of community “paralegals” to help claimant</w:t>
            </w:r>
            <w:r w:rsidR="008F36AD">
              <w:t>s with the filing of complaints</w:t>
            </w:r>
            <w:r w:rsidR="007A5E63">
              <w:t>;</w:t>
            </w:r>
          </w:p>
          <w:p w:rsidR="0006191C" w:rsidRDefault="008F36AD">
            <w:pPr>
              <w:pStyle w:val="SingleTxtG"/>
              <w:numPr>
                <w:ilvl w:val="0"/>
                <w:numId w:val="74"/>
              </w:numPr>
              <w:ind w:right="0"/>
            </w:pPr>
            <w:r>
              <w:t>m</w:t>
            </w:r>
            <w:r w:rsidR="00881CF8">
              <w:t xml:space="preserve">aking </w:t>
            </w:r>
            <w:r>
              <w:t>information communication technologies</w:t>
            </w:r>
            <w:r w:rsidR="00881CF8">
              <w:t xml:space="preserve"> and legal information readily accessible in public or community spaces such as </w:t>
            </w:r>
            <w:r w:rsidR="00AE5748">
              <w:t xml:space="preserve">town halls, </w:t>
            </w:r>
            <w:r w:rsidR="00881CF8">
              <w:t>community houses</w:t>
            </w:r>
            <w:r w:rsidR="00AE5748">
              <w:t xml:space="preserve"> and meeting areas</w:t>
            </w:r>
            <w:r w:rsidR="00881CF8">
              <w:t xml:space="preserve">, </w:t>
            </w:r>
            <w:r w:rsidR="00AE5748">
              <w:t xml:space="preserve">schools, </w:t>
            </w:r>
            <w:r w:rsidR="007A5E63">
              <w:t>universities and libraries;</w:t>
            </w:r>
          </w:p>
          <w:p w:rsidR="0006191C" w:rsidRDefault="008F36AD">
            <w:pPr>
              <w:pStyle w:val="SingleTxtG"/>
              <w:numPr>
                <w:ilvl w:val="0"/>
                <w:numId w:val="74"/>
              </w:numPr>
              <w:ind w:right="0"/>
            </w:pPr>
            <w:proofErr w:type="gramStart"/>
            <w:r>
              <w:t>provision</w:t>
            </w:r>
            <w:proofErr w:type="gramEnd"/>
            <w:r>
              <w:t xml:space="preserve"> of </w:t>
            </w:r>
            <w:r w:rsidR="00881CF8">
              <w:t>mobile advisory centr</w:t>
            </w:r>
            <w:r>
              <w:t>es, and mobile “self-help” centres.</w:t>
            </w:r>
          </w:p>
          <w:p w:rsidR="00BF3247" w:rsidRDefault="000B5C46" w:rsidP="008F36AD">
            <w:pPr>
              <w:pStyle w:val="SingleTxtG"/>
              <w:ind w:left="0" w:right="0"/>
            </w:pPr>
            <w:r>
              <w:t>B. Other examples of such initiatives include;</w:t>
            </w:r>
          </w:p>
          <w:p w:rsidR="000B5C46" w:rsidRDefault="000B5C46" w:rsidP="00E623C2">
            <w:pPr>
              <w:pStyle w:val="SingleTxtG"/>
              <w:numPr>
                <w:ilvl w:val="0"/>
                <w:numId w:val="34"/>
              </w:numPr>
              <w:ind w:right="0"/>
            </w:pPr>
            <w:r>
              <w:t>training sessions;</w:t>
            </w:r>
          </w:p>
          <w:p w:rsidR="000B5C46" w:rsidRDefault="000B5C46" w:rsidP="00E623C2">
            <w:pPr>
              <w:pStyle w:val="SingleTxtG"/>
              <w:numPr>
                <w:ilvl w:val="0"/>
                <w:numId w:val="34"/>
              </w:numPr>
              <w:ind w:right="0"/>
            </w:pPr>
            <w:r>
              <w:t>webinars;</w:t>
            </w:r>
          </w:p>
          <w:p w:rsidR="00BF3247" w:rsidRPr="000B5C46" w:rsidRDefault="000B5C46" w:rsidP="00A0458E">
            <w:pPr>
              <w:pStyle w:val="SingleTxtG"/>
              <w:numPr>
                <w:ilvl w:val="0"/>
                <w:numId w:val="34"/>
              </w:numPr>
              <w:ind w:right="0"/>
            </w:pPr>
            <w:proofErr w:type="gramStart"/>
            <w:r>
              <w:t>web-based</w:t>
            </w:r>
            <w:proofErr w:type="gramEnd"/>
            <w:r>
              <w:t xml:space="preserve"> toolkits </w:t>
            </w:r>
            <w:r w:rsidR="00A0458E">
              <w:t>providing information on relevant judicial bodies, institutions and procedural matters</w:t>
            </w:r>
            <w:r>
              <w:t>.</w:t>
            </w:r>
          </w:p>
        </w:tc>
      </w:tr>
    </w:tbl>
    <w:p w:rsidR="008B11B2" w:rsidRP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16: Costs associated with bringing private law claims in cases arising from business-related human rights abuses (e.g. lawyer’s fees and court fees) are reduced, including through better case management and other efficiency measures.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16.1</w:t>
      </w:r>
      <w:r w:rsidRPr="008B11B2">
        <w:rPr>
          <w:rFonts w:ascii="Cambria" w:hAnsi="Cambria"/>
          <w:b/>
          <w:sz w:val="22"/>
          <w:szCs w:val="22"/>
        </w:rPr>
        <w:tab/>
        <w:t>Court fees (e.g. initial filing fees, fees for obtaining and copying documents, etc.) are reasonable and proportionate, with the likelihood of waivers for claimants showing financial hardship and in cases where there is a public interest in the litigation taking place.</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4309D6">
              <w:rPr>
                <w:rFonts w:ascii="Cambria" w:hAnsi="Cambria"/>
                <w:b/>
                <w:sz w:val="22"/>
                <w:szCs w:val="22"/>
              </w:rPr>
              <w:t>s</w:t>
            </w:r>
            <w:r>
              <w:rPr>
                <w:rFonts w:ascii="Cambria" w:hAnsi="Cambria"/>
                <w:b/>
                <w:sz w:val="22"/>
                <w:szCs w:val="22"/>
              </w:rPr>
              <w:t>: 16.1</w:t>
            </w:r>
          </w:p>
          <w:p w:rsidR="005325E5" w:rsidRDefault="00A364A0" w:rsidP="004F60D5">
            <w:pPr>
              <w:pStyle w:val="SingleTxtG"/>
              <w:ind w:left="0" w:right="0"/>
              <w:rPr>
                <w:rFonts w:ascii="Cambria" w:hAnsi="Cambria"/>
              </w:rPr>
            </w:pPr>
            <w:r>
              <w:rPr>
                <w:rFonts w:ascii="Cambria" w:hAnsi="Cambria"/>
              </w:rPr>
              <w:t xml:space="preserve">A. </w:t>
            </w:r>
            <w:r w:rsidR="00942EA4">
              <w:rPr>
                <w:rFonts w:ascii="Cambria" w:hAnsi="Cambria"/>
              </w:rPr>
              <w:t>Steps taken to reduce the financial obstacles posed by court fees include</w:t>
            </w:r>
            <w:r w:rsidR="00F02193">
              <w:rPr>
                <w:rFonts w:ascii="Cambria" w:hAnsi="Cambria"/>
              </w:rPr>
              <w:t>;</w:t>
            </w:r>
          </w:p>
          <w:p w:rsidR="0006191C" w:rsidRDefault="005325E5">
            <w:pPr>
              <w:pStyle w:val="SingleTxtG"/>
              <w:numPr>
                <w:ilvl w:val="0"/>
                <w:numId w:val="75"/>
              </w:numPr>
              <w:ind w:right="0"/>
              <w:rPr>
                <w:rFonts w:ascii="Cambria" w:hAnsi="Cambria"/>
              </w:rPr>
            </w:pPr>
            <w:r>
              <w:t>use of fee bands or percentages linked to specific types and/or values of claims;</w:t>
            </w:r>
          </w:p>
          <w:p w:rsidR="0006191C" w:rsidRDefault="005325E5">
            <w:pPr>
              <w:pStyle w:val="SingleTxtG"/>
              <w:numPr>
                <w:ilvl w:val="0"/>
                <w:numId w:val="75"/>
              </w:numPr>
              <w:ind w:right="0"/>
              <w:rPr>
                <w:rFonts w:ascii="Cambria" w:hAnsi="Cambria"/>
              </w:rPr>
            </w:pPr>
            <w:r>
              <w:t>application of a tapering element to avoid very large fees for high-value claims;</w:t>
            </w:r>
          </w:p>
          <w:p w:rsidR="0006191C" w:rsidRDefault="005325E5">
            <w:pPr>
              <w:pStyle w:val="SingleTxtG"/>
              <w:numPr>
                <w:ilvl w:val="0"/>
                <w:numId w:val="75"/>
              </w:numPr>
              <w:ind w:right="0"/>
            </w:pPr>
            <w:r>
              <w:t>providing for reduced fees or a waiver from fees in certain types of cases (e.g. labour disputes of consumer protection cases, or cases that involve enforcement of constitutional rights</w:t>
            </w:r>
            <w:r w:rsidR="00F02193">
              <w:t>;</w:t>
            </w:r>
            <w:r>
              <w:t xml:space="preserve"> </w:t>
            </w:r>
          </w:p>
          <w:p w:rsidR="0006191C" w:rsidRDefault="00F02193">
            <w:pPr>
              <w:pStyle w:val="SingleTxtG"/>
              <w:numPr>
                <w:ilvl w:val="0"/>
                <w:numId w:val="75"/>
              </w:numPr>
              <w:ind w:right="0"/>
            </w:pPr>
            <w:r>
              <w:lastRenderedPageBreak/>
              <w:t>s</w:t>
            </w:r>
            <w:r w:rsidR="00A364A0">
              <w:t xml:space="preserve">preading out </w:t>
            </w:r>
            <w:r w:rsidR="00B51F0C">
              <w:t>court fees, or imposing charges for specific a</w:t>
            </w:r>
            <w:r>
              <w:t>ctions</w:t>
            </w:r>
            <w:r w:rsidR="00B51F0C">
              <w:t xml:space="preserve"> (such as the certification of documents or to obtain c</w:t>
            </w:r>
            <w:r>
              <w:t xml:space="preserve">opied of documentary evidence) </w:t>
            </w:r>
            <w:r w:rsidR="00B51F0C">
              <w:t xml:space="preserve">to reduce the amounts paid by </w:t>
            </w:r>
            <w:r>
              <w:t>litigants in court fees upfront;</w:t>
            </w:r>
          </w:p>
          <w:p w:rsidR="0006191C" w:rsidRDefault="00942EA4">
            <w:pPr>
              <w:pStyle w:val="SingleTxtG"/>
              <w:numPr>
                <w:ilvl w:val="0"/>
                <w:numId w:val="75"/>
              </w:numPr>
              <w:ind w:right="0"/>
              <w:rPr>
                <w:rFonts w:ascii="Cambria" w:hAnsi="Cambria"/>
              </w:rPr>
            </w:pPr>
            <w:r>
              <w:rPr>
                <w:rFonts w:ascii="Cambria" w:hAnsi="Cambria"/>
              </w:rPr>
              <w:t xml:space="preserve">providing for </w:t>
            </w:r>
            <w:r w:rsidRPr="00AC729E">
              <w:t>a reduction in fees or a waiver of court fees in cases where the claimant is indigent, or where the claimant is a recipient of legal aid</w:t>
            </w:r>
            <w:r w:rsidR="00F02193">
              <w:t>;</w:t>
            </w:r>
          </w:p>
          <w:p w:rsidR="001463E7" w:rsidRPr="00A364A0" w:rsidRDefault="00942EA4" w:rsidP="002F6DC5">
            <w:pPr>
              <w:pStyle w:val="SingleTxtG"/>
              <w:numPr>
                <w:ilvl w:val="0"/>
                <w:numId w:val="75"/>
              </w:numPr>
              <w:ind w:right="0"/>
              <w:rPr>
                <w:rFonts w:ascii="Cambria" w:hAnsi="Cambria"/>
              </w:rPr>
            </w:pPr>
            <w:proofErr w:type="gramStart"/>
            <w:r>
              <w:t>permitting</w:t>
            </w:r>
            <w:proofErr w:type="gramEnd"/>
            <w:r>
              <w:t xml:space="preserve"> courts to </w:t>
            </w:r>
            <w:r w:rsidRPr="00A13742">
              <w:t xml:space="preserve">depart from usual costs rules where there is a public interest issue (e.g. </w:t>
            </w:r>
            <w:r>
              <w:t xml:space="preserve">where the claimant will receive no </w:t>
            </w:r>
            <w:r w:rsidRPr="00A13742">
              <w:t xml:space="preserve">private </w:t>
            </w:r>
            <w:r>
              <w:t xml:space="preserve">financial </w:t>
            </w:r>
            <w:r w:rsidRPr="00A13742">
              <w:t xml:space="preserve">gain, </w:t>
            </w:r>
            <w:r>
              <w:t xml:space="preserve">or where the claim is </w:t>
            </w:r>
            <w:r w:rsidRPr="00A13742">
              <w:t>b</w:t>
            </w:r>
            <w:r>
              <w:t>r</w:t>
            </w:r>
            <w:r w:rsidRPr="00A13742">
              <w:t xml:space="preserve">ought by an association with public interest objects, </w:t>
            </w:r>
            <w:r>
              <w:t xml:space="preserve">or where there is significant or </w:t>
            </w:r>
            <w:r w:rsidRPr="00A13742">
              <w:t>widespread pub</w:t>
            </w:r>
            <w:r>
              <w:t>lic interest in the litigation</w:t>
            </w:r>
            <w:r w:rsidR="00F02193">
              <w:t>)</w:t>
            </w:r>
            <w:r w:rsidRPr="00A13742">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16.2</w:t>
      </w:r>
      <w:r w:rsidRPr="008B11B2">
        <w:rPr>
          <w:rFonts w:ascii="Cambria" w:hAnsi="Cambria"/>
          <w:b/>
          <w:bCs/>
          <w:sz w:val="22"/>
          <w:szCs w:val="22"/>
        </w:rPr>
        <w:tab/>
      </w:r>
      <w:r w:rsidRPr="008B11B2">
        <w:rPr>
          <w:rFonts w:ascii="Cambria" w:hAnsi="Cambria"/>
          <w:b/>
          <w:sz w:val="22"/>
          <w:szCs w:val="22"/>
        </w:rPr>
        <w:t>Court procedures include readily identifiable, realistic and affordable opportunities for early mediation and settlement.</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AF4E04">
              <w:rPr>
                <w:rFonts w:ascii="Cambria" w:hAnsi="Cambria"/>
                <w:b/>
                <w:sz w:val="22"/>
                <w:szCs w:val="22"/>
              </w:rPr>
              <w:t>s</w:t>
            </w:r>
            <w:r>
              <w:rPr>
                <w:rFonts w:ascii="Cambria" w:hAnsi="Cambria"/>
                <w:b/>
                <w:sz w:val="22"/>
                <w:szCs w:val="22"/>
              </w:rPr>
              <w:t>: 16.2</w:t>
            </w:r>
          </w:p>
          <w:p w:rsidR="006648F6" w:rsidRDefault="00AF4E04" w:rsidP="004F60D5">
            <w:pPr>
              <w:pStyle w:val="SingleTxtG"/>
              <w:ind w:left="0" w:right="0"/>
            </w:pPr>
            <w:r>
              <w:t xml:space="preserve">A. </w:t>
            </w:r>
            <w:r w:rsidR="00003A9B" w:rsidRPr="00003A9B">
              <w:t xml:space="preserve">Court facilitated mediation services </w:t>
            </w:r>
            <w:r w:rsidR="00F02193">
              <w:t>may take the form of;</w:t>
            </w:r>
          </w:p>
          <w:p w:rsidR="006648F6" w:rsidRDefault="006648F6" w:rsidP="00E623C2">
            <w:pPr>
              <w:pStyle w:val="SingleTxtG"/>
              <w:numPr>
                <w:ilvl w:val="0"/>
                <w:numId w:val="35"/>
              </w:numPr>
              <w:ind w:right="0"/>
            </w:pPr>
            <w:r>
              <w:t>court</w:t>
            </w:r>
            <w:r w:rsidR="00003A9B" w:rsidRPr="00003A9B">
              <w:t xml:space="preserve"> supervised settlement co</w:t>
            </w:r>
            <w:r>
              <w:t>nferences;</w:t>
            </w:r>
          </w:p>
          <w:p w:rsidR="006648F6" w:rsidRDefault="00003A9B" w:rsidP="00E623C2">
            <w:pPr>
              <w:pStyle w:val="SingleTxtG"/>
              <w:numPr>
                <w:ilvl w:val="0"/>
                <w:numId w:val="35"/>
              </w:numPr>
              <w:ind w:right="0"/>
            </w:pPr>
            <w:r w:rsidRPr="00003A9B">
              <w:t xml:space="preserve">early non-binding </w:t>
            </w:r>
            <w:r w:rsidR="006648F6">
              <w:t>claims assessment;</w:t>
            </w:r>
          </w:p>
          <w:p w:rsidR="006648F6" w:rsidRDefault="006648F6" w:rsidP="00E623C2">
            <w:pPr>
              <w:pStyle w:val="SingleTxtG"/>
              <w:numPr>
                <w:ilvl w:val="0"/>
                <w:numId w:val="35"/>
              </w:numPr>
              <w:ind w:right="0"/>
            </w:pPr>
            <w:r>
              <w:t>mini-trials;</w:t>
            </w:r>
          </w:p>
          <w:p w:rsidR="006648F6" w:rsidRPr="006648F6" w:rsidRDefault="00003A9B" w:rsidP="00E623C2">
            <w:pPr>
              <w:pStyle w:val="SingleTxtG"/>
              <w:numPr>
                <w:ilvl w:val="0"/>
                <w:numId w:val="35"/>
              </w:numPr>
              <w:ind w:right="0"/>
            </w:pPr>
            <w:proofErr w:type="gramStart"/>
            <w:r w:rsidRPr="00003A9B">
              <w:t>reference</w:t>
            </w:r>
            <w:proofErr w:type="gramEnd"/>
            <w:r w:rsidRPr="00003A9B">
              <w:t xml:space="preserve"> to specialist</w:t>
            </w:r>
            <w:r w:rsidR="006648F6">
              <w:t xml:space="preserve"> personnel</w:t>
            </w:r>
            <w:r w:rsidRPr="00003A9B">
              <w:t>.</w:t>
            </w:r>
          </w:p>
          <w:p w:rsidR="00F02193" w:rsidRDefault="008921D1" w:rsidP="00F02193">
            <w:pPr>
              <w:pStyle w:val="SingleTxtG"/>
              <w:ind w:left="0" w:right="0"/>
            </w:pPr>
            <w:r>
              <w:t xml:space="preserve">B.  Ways to encourage </w:t>
            </w:r>
            <w:r w:rsidR="00AE069A">
              <w:t xml:space="preserve">early </w:t>
            </w:r>
            <w:r>
              <w:t>resolution of disputes by m</w:t>
            </w:r>
            <w:r w:rsidR="00F02193">
              <w:t>ediation and settlement include;</w:t>
            </w:r>
          </w:p>
          <w:p w:rsidR="0006191C" w:rsidRDefault="00564CB1" w:rsidP="00F02193">
            <w:pPr>
              <w:pStyle w:val="SingleTxtG"/>
              <w:numPr>
                <w:ilvl w:val="0"/>
                <w:numId w:val="84"/>
              </w:numPr>
              <w:ind w:right="0"/>
            </w:pPr>
            <w:r>
              <w:t>expanding the scope of court services to include mediation services</w:t>
            </w:r>
            <w:r w:rsidR="00F02193">
              <w:t>;</w:t>
            </w:r>
          </w:p>
          <w:p w:rsidR="0006191C" w:rsidRDefault="00AE069A">
            <w:pPr>
              <w:pStyle w:val="SingleTxtG"/>
              <w:numPr>
                <w:ilvl w:val="0"/>
                <w:numId w:val="77"/>
              </w:numPr>
              <w:ind w:right="0"/>
            </w:pPr>
            <w:r>
              <w:t xml:space="preserve">requiring courts to </w:t>
            </w:r>
            <w:r w:rsidR="00AF4E04">
              <w:t xml:space="preserve">make available a certain number of hours of free or discounted </w:t>
            </w:r>
            <w:r w:rsidR="00F02193">
              <w:t>mediation services to litigants;</w:t>
            </w:r>
          </w:p>
          <w:p w:rsidR="0006191C" w:rsidRDefault="00F02193">
            <w:pPr>
              <w:pStyle w:val="SingleTxtG"/>
              <w:numPr>
                <w:ilvl w:val="0"/>
                <w:numId w:val="77"/>
              </w:numPr>
              <w:ind w:right="0"/>
            </w:pPr>
            <w:r>
              <w:t>s</w:t>
            </w:r>
            <w:r w:rsidR="00564CB1">
              <w:t xml:space="preserve">tatutory provision for mandatory </w:t>
            </w:r>
            <w:r>
              <w:t>conciliation;</w:t>
            </w:r>
          </w:p>
          <w:p w:rsidR="0006191C" w:rsidRDefault="00AE069A">
            <w:pPr>
              <w:pStyle w:val="SingleTxtG"/>
              <w:numPr>
                <w:ilvl w:val="0"/>
                <w:numId w:val="77"/>
              </w:numPr>
              <w:ind w:right="0"/>
            </w:pPr>
            <w:r>
              <w:t xml:space="preserve">providing judges with </w:t>
            </w:r>
            <w:r w:rsidR="00AF4E04" w:rsidRPr="00AC729E">
              <w:t>the discretion to order parties to civil litigation to enter into mediation or some other form of alternative dispute resolution at certain stages of the process</w:t>
            </w:r>
            <w:r w:rsidR="00D93CAD">
              <w:t xml:space="preserve"> </w:t>
            </w:r>
            <w:r>
              <w:t xml:space="preserve">(with </w:t>
            </w:r>
            <w:r w:rsidR="00AF4E04" w:rsidRPr="00AC729E">
              <w:t>litigants retaining the ability to return to the relevant court if the mediation or alternative dispute resolution processes are unsuccessful</w:t>
            </w:r>
            <w:r>
              <w:t>)</w:t>
            </w:r>
            <w:r w:rsidR="00F02193">
              <w:t>;</w:t>
            </w:r>
          </w:p>
          <w:p w:rsidR="0006191C" w:rsidRDefault="00F02193">
            <w:pPr>
              <w:pStyle w:val="SingleTxtG"/>
              <w:numPr>
                <w:ilvl w:val="0"/>
                <w:numId w:val="77"/>
              </w:numPr>
              <w:ind w:right="0"/>
              <w:rPr>
                <w:rFonts w:ascii="Cambria" w:hAnsi="Cambria"/>
                <w:b/>
                <w:i/>
                <w:sz w:val="22"/>
                <w:szCs w:val="22"/>
              </w:rPr>
            </w:pPr>
            <w:r>
              <w:t>p</w:t>
            </w:r>
            <w:r w:rsidR="00564CB1">
              <w:t>rovision of professional</w:t>
            </w:r>
            <w:r w:rsidR="00AF4E04">
              <w:t xml:space="preserve"> guidance to lawyers </w:t>
            </w:r>
            <w:r w:rsidR="00564CB1">
              <w:t xml:space="preserve"> clarifying their responsibilities t</w:t>
            </w:r>
            <w:r w:rsidR="00003A9B">
              <w:t>o advis</w:t>
            </w:r>
            <w:r w:rsidR="00AF4E04">
              <w:t>e claimants of opportunities for, and the potential benefits of, mediation and other forms of alternative dispute resolution, where relevant to their claim.</w:t>
            </w:r>
          </w:p>
        </w:tc>
      </w:tr>
    </w:tbl>
    <w:p w:rsidR="00B52A61" w:rsidRPr="008B11B2" w:rsidRDefault="00B52A61" w:rsidP="008B11B2">
      <w:pPr>
        <w:pStyle w:val="SingleTxtG"/>
        <w:ind w:left="0" w:right="0"/>
        <w:rPr>
          <w:rFonts w:ascii="Cambria" w:hAnsi="Cambria"/>
          <w:b/>
          <w:sz w:val="22"/>
          <w:szCs w:val="22"/>
        </w:rPr>
      </w:pPr>
    </w:p>
    <w:p w:rsidR="00250E15" w:rsidRDefault="008B11B2" w:rsidP="00B52A61">
      <w:pPr>
        <w:pStyle w:val="SingleTxtG"/>
        <w:ind w:left="0" w:right="0"/>
        <w:rPr>
          <w:rFonts w:ascii="Cambria" w:hAnsi="Cambria"/>
          <w:b/>
          <w:sz w:val="22"/>
          <w:szCs w:val="22"/>
        </w:rPr>
      </w:pPr>
      <w:r w:rsidRPr="008B11B2">
        <w:rPr>
          <w:rFonts w:ascii="Cambria" w:hAnsi="Cambria"/>
          <w:b/>
          <w:bCs/>
          <w:sz w:val="22"/>
          <w:szCs w:val="22"/>
        </w:rPr>
        <w:t>16.3</w:t>
      </w:r>
      <w:r w:rsidRPr="008B11B2">
        <w:rPr>
          <w:rFonts w:ascii="Cambria" w:hAnsi="Cambria"/>
          <w:b/>
          <w:bCs/>
          <w:sz w:val="22"/>
          <w:szCs w:val="22"/>
        </w:rPr>
        <w:tab/>
      </w:r>
      <w:r w:rsidRPr="008B11B2">
        <w:rPr>
          <w:rFonts w:ascii="Cambria" w:hAnsi="Cambria"/>
          <w:b/>
          <w:sz w:val="22"/>
          <w:szCs w:val="22"/>
        </w:rPr>
        <w:t>Systems exist for the identification of and transparency and judicial accountability with respect to court delays.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250E15">
              <w:rPr>
                <w:rFonts w:ascii="Cambria" w:hAnsi="Cambria"/>
                <w:b/>
                <w:sz w:val="22"/>
                <w:szCs w:val="22"/>
              </w:rPr>
              <w:t>s</w:t>
            </w:r>
            <w:r>
              <w:rPr>
                <w:rFonts w:ascii="Cambria" w:hAnsi="Cambria"/>
                <w:b/>
                <w:sz w:val="22"/>
                <w:szCs w:val="22"/>
              </w:rPr>
              <w:t>: 16.3</w:t>
            </w:r>
          </w:p>
          <w:p w:rsidR="00FC1C99" w:rsidRDefault="002400BA" w:rsidP="004F60D5">
            <w:pPr>
              <w:pStyle w:val="SingleTxtG"/>
              <w:ind w:left="0" w:right="0"/>
            </w:pPr>
            <w:r>
              <w:t xml:space="preserve">A. </w:t>
            </w:r>
            <w:r w:rsidR="00FC1C99">
              <w:t>Measures for avoiding, detecting, and providing for accountability in th</w:t>
            </w:r>
            <w:r w:rsidR="00F02193">
              <w:t>e event of court delays include;</w:t>
            </w:r>
          </w:p>
          <w:p w:rsidR="002400BA" w:rsidRDefault="002400BA" w:rsidP="00E623C2">
            <w:pPr>
              <w:pStyle w:val="SingleTxtG"/>
              <w:numPr>
                <w:ilvl w:val="0"/>
                <w:numId w:val="36"/>
              </w:numPr>
              <w:ind w:right="0"/>
            </w:pPr>
            <w:r>
              <w:t>c</w:t>
            </w:r>
            <w:r w:rsidR="006648F6">
              <w:t>ase flow management systems</w:t>
            </w:r>
            <w:r>
              <w:t>;</w:t>
            </w:r>
          </w:p>
          <w:p w:rsidR="002400BA" w:rsidRDefault="002400BA" w:rsidP="00E623C2">
            <w:pPr>
              <w:pStyle w:val="SingleTxtG"/>
              <w:numPr>
                <w:ilvl w:val="0"/>
                <w:numId w:val="36"/>
              </w:numPr>
              <w:ind w:right="0"/>
            </w:pPr>
            <w:r>
              <w:t xml:space="preserve">mandated </w:t>
            </w:r>
            <w:r w:rsidR="00250E15">
              <w:t>“case flow plan</w:t>
            </w:r>
            <w:r>
              <w:t>s”;</w:t>
            </w:r>
          </w:p>
          <w:p w:rsidR="002400BA" w:rsidRDefault="002400BA" w:rsidP="00E623C2">
            <w:pPr>
              <w:pStyle w:val="SingleTxtG"/>
              <w:numPr>
                <w:ilvl w:val="0"/>
                <w:numId w:val="36"/>
              </w:numPr>
              <w:ind w:right="0"/>
            </w:pPr>
            <w:r>
              <w:t>automated case tracking, reminder and notification systems;</w:t>
            </w:r>
          </w:p>
          <w:p w:rsidR="00B52A61" w:rsidRDefault="002400BA" w:rsidP="00E623C2">
            <w:pPr>
              <w:pStyle w:val="SingleTxtG"/>
              <w:numPr>
                <w:ilvl w:val="0"/>
                <w:numId w:val="36"/>
              </w:numPr>
              <w:ind w:right="0"/>
            </w:pPr>
            <w:r>
              <w:t>practical advice and guidance to judicial bodies concerning t</w:t>
            </w:r>
            <w:r w:rsidR="00250E15">
              <w:t>he scheduling of cases, prioritisation, use of statistics and tracking measures to measure performance, and target timeframes for different procedural sta</w:t>
            </w:r>
            <w:r>
              <w:t>ges;</w:t>
            </w:r>
          </w:p>
          <w:p w:rsidR="002400BA" w:rsidRDefault="002400BA" w:rsidP="00E623C2">
            <w:pPr>
              <w:pStyle w:val="SingleTxtG"/>
              <w:numPr>
                <w:ilvl w:val="0"/>
                <w:numId w:val="36"/>
              </w:numPr>
              <w:ind w:right="0"/>
            </w:pPr>
            <w:r>
              <w:t>e</w:t>
            </w:r>
            <w:r w:rsidRPr="00FC1C99">
              <w:t xml:space="preserve">stablishing different “tracks” for different types of cases (e.g. small claims </w:t>
            </w:r>
            <w:r w:rsidR="002F6DC5">
              <w:t>track, fast track multi-track”</w:t>
            </w:r>
            <w:r w:rsidR="00F02193">
              <w:t>);</w:t>
            </w:r>
          </w:p>
          <w:p w:rsidR="003457BA" w:rsidRPr="00FC1C99" w:rsidRDefault="00564CB1" w:rsidP="0005227D">
            <w:pPr>
              <w:pStyle w:val="SingleTxtG"/>
              <w:numPr>
                <w:ilvl w:val="0"/>
                <w:numId w:val="36"/>
              </w:numPr>
              <w:ind w:right="0"/>
              <w:rPr>
                <w:rFonts w:ascii="Cambria" w:hAnsi="Cambria"/>
                <w:b/>
                <w:sz w:val="22"/>
                <w:szCs w:val="22"/>
              </w:rPr>
            </w:pPr>
            <w:proofErr w:type="gramStart"/>
            <w:r>
              <w:t>complaints</w:t>
            </w:r>
            <w:proofErr w:type="gramEnd"/>
            <w:r>
              <w:t xml:space="preserve"> procedures which can be activated by claimants in the event of excessive delays.</w:t>
            </w:r>
          </w:p>
        </w:tc>
      </w:tr>
    </w:tbl>
    <w:p w:rsidR="00B52A61" w:rsidRDefault="008B11B2" w:rsidP="00B52A61">
      <w:pPr>
        <w:pStyle w:val="SingleTxtG"/>
        <w:ind w:left="0" w:right="0"/>
        <w:rPr>
          <w:rFonts w:ascii="Cambria" w:hAnsi="Cambria"/>
          <w:b/>
          <w:sz w:val="22"/>
          <w:szCs w:val="22"/>
        </w:rPr>
      </w:pPr>
      <w:r w:rsidRPr="008B11B2">
        <w:rPr>
          <w:rFonts w:ascii="Cambria" w:hAnsi="Cambria"/>
          <w:b/>
          <w:sz w:val="22"/>
          <w:szCs w:val="22"/>
        </w:rPr>
        <w:lastRenderedPageBreak/>
        <w:t>16.4</w:t>
      </w:r>
      <w:r w:rsidRPr="008B11B2">
        <w:rPr>
          <w:rFonts w:ascii="Cambria" w:hAnsi="Cambria"/>
          <w:b/>
          <w:sz w:val="22"/>
          <w:szCs w:val="22"/>
        </w:rPr>
        <w:tab/>
        <w:t xml:space="preserve">Rules on the allocation of court and legal costs at the conclusion of proceedings are designed to encourage reasonableness on the part of litigants, efficient use of legal and other resources in the pursuit of any claim or defence to a claim and, as far as possible, the swift conclusion of legal claims. </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B857A7">
              <w:rPr>
                <w:rFonts w:ascii="Cambria" w:hAnsi="Cambria"/>
                <w:b/>
                <w:sz w:val="22"/>
                <w:szCs w:val="22"/>
              </w:rPr>
              <w:t>s</w:t>
            </w:r>
            <w:r>
              <w:rPr>
                <w:rFonts w:ascii="Cambria" w:hAnsi="Cambria"/>
                <w:b/>
                <w:sz w:val="22"/>
                <w:szCs w:val="22"/>
              </w:rPr>
              <w:t>: 16.4</w:t>
            </w:r>
          </w:p>
          <w:p w:rsidR="00C12C26" w:rsidRPr="005249A4" w:rsidRDefault="00B857A7" w:rsidP="004F60D5">
            <w:pPr>
              <w:pStyle w:val="SingleTxtG"/>
              <w:ind w:left="0" w:right="0"/>
              <w:rPr>
                <w:rFonts w:ascii="Cambria" w:hAnsi="Cambria"/>
              </w:rPr>
            </w:pPr>
            <w:r w:rsidRPr="005249A4">
              <w:rPr>
                <w:rFonts w:ascii="Cambria" w:hAnsi="Cambria"/>
              </w:rPr>
              <w:t xml:space="preserve">A. </w:t>
            </w:r>
            <w:r w:rsidR="00C12C26" w:rsidRPr="005249A4">
              <w:rPr>
                <w:rFonts w:ascii="Cambria" w:hAnsi="Cambria"/>
              </w:rPr>
              <w:t>There are differences between jurisdictions with respect to approaches to the allocation of court and le</w:t>
            </w:r>
            <w:r w:rsidR="005249A4">
              <w:rPr>
                <w:rFonts w:ascii="Cambria" w:hAnsi="Cambria"/>
              </w:rPr>
              <w:t xml:space="preserve">gal costs at the conclusion of </w:t>
            </w:r>
            <w:r w:rsidR="00C12C26" w:rsidRPr="005249A4">
              <w:rPr>
                <w:rFonts w:ascii="Cambria" w:hAnsi="Cambria"/>
              </w:rPr>
              <w:t>proceedings.  However most jurisdictions adopt one of t</w:t>
            </w:r>
            <w:r w:rsidR="0005227D">
              <w:rPr>
                <w:rFonts w:ascii="Cambria" w:hAnsi="Cambria"/>
              </w:rPr>
              <w:t>he following approaches, either;</w:t>
            </w:r>
          </w:p>
          <w:p w:rsidR="00C12C26" w:rsidRPr="005249A4" w:rsidRDefault="00C12C26" w:rsidP="00E623C2">
            <w:pPr>
              <w:pStyle w:val="SingleTxtG"/>
              <w:numPr>
                <w:ilvl w:val="0"/>
                <w:numId w:val="37"/>
              </w:numPr>
              <w:ind w:right="0"/>
              <w:rPr>
                <w:rFonts w:ascii="Cambria" w:hAnsi="Cambria"/>
                <w:i/>
              </w:rPr>
            </w:pPr>
            <w:r w:rsidRPr="005249A4">
              <w:rPr>
                <w:rFonts w:ascii="Cambria" w:hAnsi="Cambria"/>
              </w:rPr>
              <w:t>costs are borne by the losing party</w:t>
            </w:r>
            <w:r w:rsidR="00C07120" w:rsidRPr="005249A4">
              <w:rPr>
                <w:rFonts w:ascii="Cambria" w:hAnsi="Cambria"/>
              </w:rPr>
              <w:t xml:space="preserve"> (“loser pays”)</w:t>
            </w:r>
            <w:r w:rsidRPr="005249A4">
              <w:rPr>
                <w:rFonts w:ascii="Cambria" w:hAnsi="Cambria"/>
              </w:rPr>
              <w:t>; or</w:t>
            </w:r>
          </w:p>
          <w:p w:rsidR="00C12C26" w:rsidRPr="00A364A0" w:rsidRDefault="00C12C26" w:rsidP="00A364A0">
            <w:pPr>
              <w:pStyle w:val="SingleTxtG"/>
              <w:numPr>
                <w:ilvl w:val="0"/>
                <w:numId w:val="37"/>
              </w:numPr>
              <w:ind w:right="0"/>
              <w:rPr>
                <w:rFonts w:ascii="Cambria" w:hAnsi="Cambria"/>
                <w:i/>
              </w:rPr>
            </w:pPr>
            <w:proofErr w:type="gramStart"/>
            <w:r w:rsidRPr="005249A4">
              <w:rPr>
                <w:rFonts w:ascii="Cambria" w:hAnsi="Cambria"/>
              </w:rPr>
              <w:t>each</w:t>
            </w:r>
            <w:proofErr w:type="gramEnd"/>
            <w:r w:rsidRPr="005249A4">
              <w:rPr>
                <w:rFonts w:ascii="Cambria" w:hAnsi="Cambria"/>
              </w:rPr>
              <w:t xml:space="preserve"> party pays it’s own costs.</w:t>
            </w:r>
          </w:p>
          <w:p w:rsidR="00C12C26" w:rsidRPr="005249A4" w:rsidRDefault="00C12C26" w:rsidP="00C12C26">
            <w:pPr>
              <w:pStyle w:val="SingleTxtG"/>
              <w:ind w:left="0" w:right="0"/>
              <w:rPr>
                <w:rFonts w:ascii="Cambria" w:hAnsi="Cambria"/>
              </w:rPr>
            </w:pPr>
            <w:r w:rsidRPr="005249A4">
              <w:rPr>
                <w:rFonts w:ascii="Cambria" w:hAnsi="Cambria"/>
              </w:rPr>
              <w:t xml:space="preserve">B. </w:t>
            </w:r>
            <w:r w:rsidR="003815CF">
              <w:rPr>
                <w:rFonts w:ascii="Cambria" w:hAnsi="Cambria"/>
              </w:rPr>
              <w:t>R</w:t>
            </w:r>
            <w:r w:rsidR="00FC43A6">
              <w:rPr>
                <w:rFonts w:ascii="Cambria" w:hAnsi="Cambria"/>
              </w:rPr>
              <w:t>easonableness on the part of litig</w:t>
            </w:r>
            <w:r w:rsidR="003815CF">
              <w:rPr>
                <w:rFonts w:ascii="Cambria" w:hAnsi="Cambria"/>
              </w:rPr>
              <w:t>ants may be encouraged by</w:t>
            </w:r>
            <w:r w:rsidR="00FC43A6">
              <w:rPr>
                <w:rFonts w:ascii="Cambria" w:hAnsi="Cambria"/>
              </w:rPr>
              <w:t xml:space="preserve"> </w:t>
            </w:r>
            <w:r w:rsidRPr="005249A4">
              <w:rPr>
                <w:rFonts w:ascii="Cambria" w:hAnsi="Cambria"/>
              </w:rPr>
              <w:t xml:space="preserve"> giv</w:t>
            </w:r>
            <w:r w:rsidR="00FC43A6">
              <w:rPr>
                <w:rFonts w:ascii="Cambria" w:hAnsi="Cambria"/>
              </w:rPr>
              <w:t>ing</w:t>
            </w:r>
            <w:r w:rsidRPr="005249A4">
              <w:rPr>
                <w:rFonts w:ascii="Cambria" w:hAnsi="Cambria"/>
              </w:rPr>
              <w:t xml:space="preserve"> judicial bodies the discretion to depart from the normal rules in certain circumstances which may include;</w:t>
            </w:r>
          </w:p>
          <w:p w:rsidR="00C12C26" w:rsidRPr="005249A4" w:rsidRDefault="00C12C26" w:rsidP="00E623C2">
            <w:pPr>
              <w:pStyle w:val="SingleTxtG"/>
              <w:numPr>
                <w:ilvl w:val="0"/>
                <w:numId w:val="38"/>
              </w:numPr>
              <w:ind w:right="0"/>
              <w:rPr>
                <w:rFonts w:ascii="Cambria" w:hAnsi="Cambria"/>
                <w:i/>
              </w:rPr>
            </w:pPr>
            <w:r w:rsidRPr="005249A4">
              <w:rPr>
                <w:rFonts w:ascii="Cambria" w:hAnsi="Cambria"/>
              </w:rPr>
              <w:t>cases where the litigation is clearly “vexatious” or “oppressive” or “frivolous”;</w:t>
            </w:r>
          </w:p>
          <w:p w:rsidR="00C12C26" w:rsidRPr="005249A4" w:rsidRDefault="00C12C26" w:rsidP="00E623C2">
            <w:pPr>
              <w:pStyle w:val="SingleTxtG"/>
              <w:numPr>
                <w:ilvl w:val="0"/>
                <w:numId w:val="38"/>
              </w:numPr>
              <w:ind w:right="0"/>
              <w:rPr>
                <w:rFonts w:ascii="Cambria" w:hAnsi="Cambria"/>
                <w:i/>
              </w:rPr>
            </w:pPr>
            <w:r w:rsidRPr="005249A4">
              <w:rPr>
                <w:rFonts w:ascii="Cambria" w:hAnsi="Cambria"/>
              </w:rPr>
              <w:t>cases where a party has acted in bad faith;</w:t>
            </w:r>
          </w:p>
          <w:p w:rsidR="00C5249B" w:rsidRPr="005249A4" w:rsidRDefault="00C5249B" w:rsidP="00E623C2">
            <w:pPr>
              <w:pStyle w:val="SingleTxtG"/>
              <w:numPr>
                <w:ilvl w:val="0"/>
                <w:numId w:val="38"/>
              </w:numPr>
              <w:ind w:right="0"/>
              <w:rPr>
                <w:rFonts w:ascii="Cambria" w:hAnsi="Cambria"/>
                <w:i/>
              </w:rPr>
            </w:pPr>
            <w:r w:rsidRPr="005249A4">
              <w:rPr>
                <w:rFonts w:ascii="Cambria" w:hAnsi="Cambria"/>
              </w:rPr>
              <w:t>cases where the claim has been exaggerated;</w:t>
            </w:r>
          </w:p>
          <w:p w:rsidR="00C12C26" w:rsidRPr="005249A4" w:rsidRDefault="00C12C26" w:rsidP="00E623C2">
            <w:pPr>
              <w:pStyle w:val="SingleTxtG"/>
              <w:numPr>
                <w:ilvl w:val="0"/>
                <w:numId w:val="38"/>
              </w:numPr>
              <w:ind w:right="0"/>
              <w:rPr>
                <w:rFonts w:ascii="Cambria" w:hAnsi="Cambria"/>
                <w:i/>
              </w:rPr>
            </w:pPr>
            <w:proofErr w:type="gramStart"/>
            <w:r w:rsidRPr="005249A4">
              <w:rPr>
                <w:rFonts w:ascii="Cambria" w:hAnsi="Cambria"/>
              </w:rPr>
              <w:t>cases</w:t>
            </w:r>
            <w:proofErr w:type="gramEnd"/>
            <w:r w:rsidRPr="005249A4">
              <w:rPr>
                <w:rFonts w:ascii="Cambria" w:hAnsi="Cambria"/>
              </w:rPr>
              <w:t xml:space="preserve"> where the litigation has been prolonged by un</w:t>
            </w:r>
            <w:r w:rsidR="00C5249B" w:rsidRPr="005249A4">
              <w:rPr>
                <w:rFonts w:ascii="Cambria" w:hAnsi="Cambria"/>
              </w:rPr>
              <w:t>reasonable, “vexatious” or “opp</w:t>
            </w:r>
            <w:r w:rsidRPr="005249A4">
              <w:rPr>
                <w:rFonts w:ascii="Cambria" w:hAnsi="Cambria"/>
              </w:rPr>
              <w:t>ressive” conduct</w:t>
            </w:r>
            <w:r w:rsidR="00C5249B" w:rsidRPr="005249A4">
              <w:rPr>
                <w:rFonts w:ascii="Cambria" w:hAnsi="Cambria"/>
              </w:rPr>
              <w:t>.</w:t>
            </w:r>
          </w:p>
          <w:p w:rsidR="003815CF" w:rsidRDefault="00C5249B" w:rsidP="00E90299">
            <w:pPr>
              <w:pStyle w:val="SingleTxtG"/>
              <w:ind w:left="0" w:right="0"/>
              <w:rPr>
                <w:rFonts w:ascii="Cambria" w:hAnsi="Cambria"/>
              </w:rPr>
            </w:pPr>
            <w:r w:rsidRPr="005249A4">
              <w:rPr>
                <w:rFonts w:ascii="Cambria" w:hAnsi="Cambria"/>
              </w:rPr>
              <w:t>C</w:t>
            </w:r>
            <w:r w:rsidR="00B857A7" w:rsidRPr="005249A4">
              <w:rPr>
                <w:rFonts w:ascii="Cambria" w:hAnsi="Cambria"/>
              </w:rPr>
              <w:t xml:space="preserve">. </w:t>
            </w:r>
            <w:r w:rsidR="003815CF">
              <w:rPr>
                <w:rFonts w:ascii="Cambria" w:hAnsi="Cambria"/>
              </w:rPr>
              <w:t>Other ways encouraging reasonableness on the part of litigants include</w:t>
            </w:r>
            <w:r w:rsidR="0005227D">
              <w:rPr>
                <w:rFonts w:ascii="Cambria" w:hAnsi="Cambria"/>
              </w:rPr>
              <w:t>;</w:t>
            </w:r>
          </w:p>
          <w:p w:rsidR="0006191C" w:rsidRDefault="003815CF">
            <w:pPr>
              <w:pStyle w:val="SingleTxtG"/>
              <w:numPr>
                <w:ilvl w:val="0"/>
                <w:numId w:val="78"/>
              </w:numPr>
              <w:ind w:right="0"/>
              <w:rPr>
                <w:rFonts w:ascii="Cambria" w:hAnsi="Cambria"/>
                <w:b/>
                <w:sz w:val="22"/>
                <w:szCs w:val="22"/>
              </w:rPr>
            </w:pPr>
            <w:r>
              <w:rPr>
                <w:rFonts w:ascii="Cambria" w:hAnsi="Cambria"/>
              </w:rPr>
              <w:t xml:space="preserve">providing that </w:t>
            </w:r>
            <w:r w:rsidR="00B857A7" w:rsidRPr="005249A4">
              <w:rPr>
                <w:rFonts w:ascii="Cambria" w:hAnsi="Cambria"/>
              </w:rPr>
              <w:t>a proportion of up front court fees paid by to the court by the claimants may be reimbursed to the claimants if a case is settlement or successfully mediated</w:t>
            </w:r>
            <w:r>
              <w:rPr>
                <w:rFonts w:ascii="Cambria" w:hAnsi="Cambria"/>
              </w:rPr>
              <w:t>;</w:t>
            </w:r>
            <w:r w:rsidR="002F6DC5">
              <w:rPr>
                <w:rFonts w:ascii="Cambria" w:hAnsi="Cambria"/>
              </w:rPr>
              <w:t xml:space="preserve"> </w:t>
            </w:r>
            <w:r>
              <w:rPr>
                <w:rFonts w:ascii="Cambria" w:hAnsi="Cambria"/>
              </w:rPr>
              <w:t>permitting</w:t>
            </w:r>
            <w:r w:rsidR="00C5249B" w:rsidRPr="005249A4">
              <w:rPr>
                <w:rFonts w:ascii="Cambria" w:hAnsi="Cambria"/>
              </w:rPr>
              <w:t xml:space="preserve"> </w:t>
            </w:r>
            <w:r>
              <w:rPr>
                <w:rFonts w:ascii="Cambria" w:hAnsi="Cambria"/>
              </w:rPr>
              <w:t xml:space="preserve">litigants to </w:t>
            </w:r>
            <w:r w:rsidR="00C5249B" w:rsidRPr="005249A4">
              <w:rPr>
                <w:rFonts w:ascii="Cambria" w:hAnsi="Cambria"/>
              </w:rPr>
              <w:t>ask for c</w:t>
            </w:r>
            <w:r w:rsidR="00117ABA" w:rsidRPr="005249A4">
              <w:rPr>
                <w:rFonts w:ascii="Cambria" w:hAnsi="Cambria"/>
              </w:rPr>
              <w:t xml:space="preserve">osts </w:t>
            </w:r>
            <w:r w:rsidR="00C5249B" w:rsidRPr="005249A4">
              <w:rPr>
                <w:rFonts w:ascii="Cambria" w:hAnsi="Cambria"/>
              </w:rPr>
              <w:t xml:space="preserve">to </w:t>
            </w:r>
            <w:r w:rsidR="00117ABA" w:rsidRPr="005249A4">
              <w:rPr>
                <w:rFonts w:ascii="Cambria" w:hAnsi="Cambria"/>
              </w:rPr>
              <w:t>be independently assessed (“taxed”) by the court and reduced</w:t>
            </w:r>
            <w:r>
              <w:rPr>
                <w:rFonts w:ascii="Cambria" w:hAnsi="Cambria"/>
              </w:rPr>
              <w:t>; or</w:t>
            </w:r>
          </w:p>
          <w:p w:rsidR="0006191C" w:rsidRDefault="003815CF" w:rsidP="002F6DC5">
            <w:pPr>
              <w:pStyle w:val="SingleTxtG"/>
              <w:numPr>
                <w:ilvl w:val="0"/>
                <w:numId w:val="78"/>
              </w:numPr>
              <w:ind w:right="0"/>
              <w:rPr>
                <w:rFonts w:ascii="Cambria" w:hAnsi="Cambria"/>
                <w:b/>
                <w:sz w:val="22"/>
                <w:szCs w:val="22"/>
              </w:rPr>
            </w:pPr>
            <w:proofErr w:type="gramStart"/>
            <w:r>
              <w:rPr>
                <w:rFonts w:ascii="Cambria" w:hAnsi="Cambria"/>
              </w:rPr>
              <w:t>subjecting</w:t>
            </w:r>
            <w:proofErr w:type="gramEnd"/>
            <w:r>
              <w:rPr>
                <w:rFonts w:ascii="Cambria" w:hAnsi="Cambria"/>
              </w:rPr>
              <w:t xml:space="preserve"> </w:t>
            </w:r>
            <w:r w:rsidR="00C5249B" w:rsidRPr="005249A4">
              <w:rPr>
                <w:rFonts w:ascii="Cambria" w:hAnsi="Cambria"/>
              </w:rPr>
              <w:t xml:space="preserve">certain costs to a </w:t>
            </w:r>
            <w:r w:rsidR="00E3571C" w:rsidRPr="005249A4">
              <w:rPr>
                <w:rFonts w:ascii="Cambria" w:hAnsi="Cambria"/>
              </w:rPr>
              <w:t>cap</w:t>
            </w:r>
            <w:r w:rsidR="002F6DC5">
              <w:rPr>
                <w:rFonts w:ascii="Cambria" w:hAnsi="Cambria"/>
              </w:rPr>
              <w:t>.</w:t>
            </w:r>
            <w:r w:rsidR="00E3571C" w:rsidRPr="005249A4">
              <w:rPr>
                <w:rFonts w:ascii="Cambria" w:hAnsi="Cambria"/>
              </w:rPr>
              <w:t xml:space="preserve"> </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16.5</w:t>
      </w:r>
      <w:r w:rsidRPr="008B11B2">
        <w:rPr>
          <w:rFonts w:ascii="Cambria" w:hAnsi="Cambria"/>
          <w:b/>
          <w:bCs/>
          <w:sz w:val="22"/>
          <w:szCs w:val="22"/>
        </w:rPr>
        <w:tab/>
      </w:r>
      <w:r w:rsidRPr="008B11B2">
        <w:rPr>
          <w:rFonts w:ascii="Cambria" w:hAnsi="Cambria"/>
          <w:b/>
          <w:sz w:val="22"/>
          <w:szCs w:val="22"/>
        </w:rPr>
        <w:t>Rules on security for costs strike a proper balance between the needs of a defendant with respect to the management of financial risks associated with litigation and considerations of access to remedy for claimants.</w:t>
      </w:r>
    </w:p>
    <w:p w:rsidR="00CC54CA" w:rsidRDefault="00CC54CA"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C07120">
              <w:rPr>
                <w:rFonts w:ascii="Cambria" w:hAnsi="Cambria"/>
                <w:b/>
                <w:sz w:val="22"/>
                <w:szCs w:val="22"/>
              </w:rPr>
              <w:t>s</w:t>
            </w:r>
            <w:r>
              <w:rPr>
                <w:rFonts w:ascii="Cambria" w:hAnsi="Cambria"/>
                <w:b/>
                <w:sz w:val="22"/>
                <w:szCs w:val="22"/>
              </w:rPr>
              <w:t>: 16.5</w:t>
            </w:r>
          </w:p>
          <w:p w:rsidR="003815CF" w:rsidRDefault="00E03BF1" w:rsidP="004F60D5">
            <w:pPr>
              <w:pStyle w:val="SingleTxtG"/>
              <w:ind w:left="0" w:right="0"/>
              <w:rPr>
                <w:rFonts w:ascii="Cambria" w:hAnsi="Cambria"/>
              </w:rPr>
            </w:pPr>
            <w:r>
              <w:rPr>
                <w:rFonts w:ascii="Cambria" w:hAnsi="Cambria"/>
              </w:rPr>
              <w:t xml:space="preserve">A. </w:t>
            </w:r>
            <w:r w:rsidR="00C07120">
              <w:rPr>
                <w:rFonts w:ascii="Cambria" w:hAnsi="Cambria"/>
              </w:rPr>
              <w:t>Domestic legal systems that apply the “loser pays” principle (see 16.4 A above), may p</w:t>
            </w:r>
            <w:r w:rsidR="009E467E">
              <w:rPr>
                <w:rFonts w:ascii="Cambria" w:hAnsi="Cambria"/>
              </w:rPr>
              <w:t>rovide for the possibility of an order for security for costs where</w:t>
            </w:r>
            <w:r w:rsidR="00C07120">
              <w:rPr>
                <w:rFonts w:ascii="Cambria" w:hAnsi="Cambria"/>
              </w:rPr>
              <w:t xml:space="preserve"> the defendant fears that, in the event that the claimant is unsuccessful, it will not be possibly to recover its costs from the claimant. </w:t>
            </w:r>
          </w:p>
          <w:p w:rsidR="00B52A61" w:rsidRDefault="003815CF" w:rsidP="004F60D5">
            <w:pPr>
              <w:pStyle w:val="SingleTxtG"/>
              <w:ind w:left="0" w:right="0"/>
              <w:rPr>
                <w:rFonts w:ascii="Cambria" w:hAnsi="Cambria"/>
              </w:rPr>
            </w:pPr>
            <w:r>
              <w:rPr>
                <w:rFonts w:ascii="Cambria" w:hAnsi="Cambria"/>
              </w:rPr>
              <w:t xml:space="preserve">B. </w:t>
            </w:r>
            <w:r w:rsidR="00E03BF1">
              <w:rPr>
                <w:rFonts w:ascii="Cambria" w:hAnsi="Cambria"/>
              </w:rPr>
              <w:t xml:space="preserve">Whether or not to </w:t>
            </w:r>
            <w:r w:rsidR="00E03BF1" w:rsidRPr="009E467E">
              <w:rPr>
                <w:rFonts w:ascii="Cambria" w:hAnsi="Cambria"/>
              </w:rPr>
              <w:t xml:space="preserve">make an order for security for costs is </w:t>
            </w:r>
            <w:r>
              <w:rPr>
                <w:rFonts w:ascii="Cambria" w:hAnsi="Cambria"/>
              </w:rPr>
              <w:t xml:space="preserve">usually </w:t>
            </w:r>
            <w:r w:rsidR="00E03BF1" w:rsidRPr="009E467E">
              <w:rPr>
                <w:rFonts w:ascii="Cambria" w:hAnsi="Cambria"/>
              </w:rPr>
              <w:t>a discretionary matter for judicial bodies</w:t>
            </w:r>
            <w:r>
              <w:rPr>
                <w:rFonts w:ascii="Cambria" w:hAnsi="Cambria"/>
              </w:rPr>
              <w:t>.</w:t>
            </w:r>
            <w:r w:rsidR="00C07120">
              <w:rPr>
                <w:rFonts w:ascii="Cambria" w:hAnsi="Cambria"/>
              </w:rPr>
              <w:t xml:space="preserve"> </w:t>
            </w:r>
            <w:r>
              <w:rPr>
                <w:rFonts w:ascii="Cambria" w:hAnsi="Cambria"/>
              </w:rPr>
              <w:t>H</w:t>
            </w:r>
            <w:r w:rsidR="00C07120">
              <w:rPr>
                <w:rFonts w:ascii="Cambria" w:hAnsi="Cambria"/>
              </w:rPr>
              <w:t>owever guidance may be provided by way of statute or in a court’s procedural rules, in which judges will be directed to take account of various matters such as;</w:t>
            </w:r>
          </w:p>
          <w:p w:rsidR="00C07120" w:rsidRPr="00C07120" w:rsidRDefault="00C07120" w:rsidP="00E623C2">
            <w:pPr>
              <w:pStyle w:val="SingleTxtG"/>
              <w:numPr>
                <w:ilvl w:val="0"/>
                <w:numId w:val="39"/>
              </w:numPr>
              <w:ind w:right="0"/>
              <w:rPr>
                <w:rFonts w:ascii="Cambria" w:hAnsi="Cambria"/>
                <w:i/>
              </w:rPr>
            </w:pPr>
            <w:r>
              <w:rPr>
                <w:rFonts w:ascii="Cambria" w:hAnsi="Cambria"/>
              </w:rPr>
              <w:t>the financial position of the claimant;</w:t>
            </w:r>
          </w:p>
          <w:p w:rsidR="00C07120" w:rsidRPr="00C07120" w:rsidRDefault="00C07120" w:rsidP="00E623C2">
            <w:pPr>
              <w:pStyle w:val="SingleTxtG"/>
              <w:numPr>
                <w:ilvl w:val="0"/>
                <w:numId w:val="39"/>
              </w:numPr>
              <w:ind w:right="0"/>
              <w:rPr>
                <w:rFonts w:ascii="Cambria" w:hAnsi="Cambria"/>
                <w:i/>
              </w:rPr>
            </w:pPr>
            <w:r>
              <w:rPr>
                <w:rFonts w:ascii="Cambria" w:hAnsi="Cambria"/>
              </w:rPr>
              <w:t>the claimant’s chances of success;</w:t>
            </w:r>
          </w:p>
          <w:p w:rsidR="00C07120" w:rsidRPr="00C07120" w:rsidRDefault="00C07120" w:rsidP="00E623C2">
            <w:pPr>
              <w:pStyle w:val="SingleTxtG"/>
              <w:numPr>
                <w:ilvl w:val="0"/>
                <w:numId w:val="39"/>
              </w:numPr>
              <w:ind w:right="0"/>
              <w:rPr>
                <w:rFonts w:ascii="Cambria" w:hAnsi="Cambria"/>
                <w:i/>
              </w:rPr>
            </w:pPr>
            <w:r>
              <w:rPr>
                <w:rFonts w:ascii="Cambria" w:hAnsi="Cambria"/>
              </w:rPr>
              <w:t>whether the claimant is within or outside the jurisdiction (and the enforc</w:t>
            </w:r>
            <w:r w:rsidR="002F6DC5">
              <w:rPr>
                <w:rFonts w:ascii="Cambria" w:hAnsi="Cambria"/>
              </w:rPr>
              <w:t>eability of an order for costs);</w:t>
            </w:r>
          </w:p>
          <w:p w:rsidR="00C07120" w:rsidRPr="00C07120" w:rsidRDefault="00C07120" w:rsidP="00E623C2">
            <w:pPr>
              <w:pStyle w:val="SingleTxtG"/>
              <w:numPr>
                <w:ilvl w:val="0"/>
                <w:numId w:val="39"/>
              </w:numPr>
              <w:ind w:right="0"/>
              <w:rPr>
                <w:rFonts w:ascii="Cambria" w:hAnsi="Cambria"/>
                <w:i/>
              </w:rPr>
            </w:pPr>
            <w:r>
              <w:rPr>
                <w:rFonts w:ascii="Cambria" w:hAnsi="Cambria"/>
              </w:rPr>
              <w:t>whether the proceedings raise a matter of public importance;</w:t>
            </w:r>
          </w:p>
          <w:p w:rsidR="00C07120" w:rsidRPr="00C07120" w:rsidRDefault="00C07120" w:rsidP="00E623C2">
            <w:pPr>
              <w:pStyle w:val="SingleTxtG"/>
              <w:numPr>
                <w:ilvl w:val="0"/>
                <w:numId w:val="39"/>
              </w:numPr>
              <w:ind w:right="0"/>
              <w:rPr>
                <w:rFonts w:ascii="Cambria" w:hAnsi="Cambria"/>
                <w:i/>
              </w:rPr>
            </w:pPr>
            <w:r>
              <w:rPr>
                <w:rFonts w:ascii="Cambria" w:hAnsi="Cambria"/>
              </w:rPr>
              <w:t>whether the effect of an order would be to stifle the claimant’s legal action;</w:t>
            </w:r>
          </w:p>
          <w:p w:rsidR="00C07120" w:rsidRPr="00C07120" w:rsidRDefault="00C07120" w:rsidP="00E623C2">
            <w:pPr>
              <w:pStyle w:val="SingleTxtG"/>
              <w:numPr>
                <w:ilvl w:val="0"/>
                <w:numId w:val="39"/>
              </w:numPr>
              <w:ind w:right="0"/>
              <w:rPr>
                <w:rFonts w:ascii="Cambria" w:hAnsi="Cambria"/>
                <w:i/>
              </w:rPr>
            </w:pPr>
            <w:r>
              <w:rPr>
                <w:rFonts w:ascii="Cambria" w:hAnsi="Cambria"/>
              </w:rPr>
              <w:t>the proportionality of the security sought</w:t>
            </w:r>
            <w:r w:rsidR="00CC54CA">
              <w:rPr>
                <w:rFonts w:ascii="Cambria" w:hAnsi="Cambria"/>
              </w:rPr>
              <w:t>;</w:t>
            </w:r>
          </w:p>
          <w:p w:rsidR="00C07120" w:rsidRDefault="00C07120" w:rsidP="00CC54CA">
            <w:pPr>
              <w:pStyle w:val="SingleTxtG"/>
              <w:ind w:left="0" w:right="0"/>
              <w:rPr>
                <w:rFonts w:ascii="Cambria" w:hAnsi="Cambria"/>
                <w:i/>
              </w:rPr>
            </w:pPr>
            <w:proofErr w:type="gramStart"/>
            <w:r>
              <w:rPr>
                <w:rFonts w:ascii="Cambria" w:hAnsi="Cambria"/>
              </w:rPr>
              <w:t>with</w:t>
            </w:r>
            <w:proofErr w:type="gramEnd"/>
            <w:r>
              <w:rPr>
                <w:rFonts w:ascii="Cambria" w:hAnsi="Cambria"/>
              </w:rPr>
              <w:t xml:space="preserve"> a view to finding a suitable balance between the rights of the defendant and considerations of access to remedy.</w:t>
            </w:r>
          </w:p>
          <w:p w:rsidR="00B52A61" w:rsidRDefault="003815CF" w:rsidP="002F6DC5">
            <w:pPr>
              <w:pStyle w:val="SingleTxtG"/>
              <w:ind w:left="0" w:right="0"/>
              <w:rPr>
                <w:rFonts w:ascii="Cambria" w:hAnsi="Cambria"/>
                <w:b/>
                <w:sz w:val="22"/>
                <w:szCs w:val="22"/>
              </w:rPr>
            </w:pPr>
            <w:r>
              <w:rPr>
                <w:rFonts w:ascii="Cambria" w:hAnsi="Cambria"/>
              </w:rPr>
              <w:lastRenderedPageBreak/>
              <w:t>C</w:t>
            </w:r>
            <w:r w:rsidR="003702BF" w:rsidRPr="00C07120">
              <w:rPr>
                <w:rFonts w:ascii="Cambria" w:hAnsi="Cambria"/>
              </w:rPr>
              <w:t xml:space="preserve">. </w:t>
            </w:r>
            <w:r>
              <w:rPr>
                <w:rFonts w:ascii="Cambria" w:hAnsi="Cambria"/>
              </w:rPr>
              <w:t>Other ways of reducing the financial obstacles posed by an order for secu</w:t>
            </w:r>
            <w:r w:rsidR="00CC54CA">
              <w:rPr>
                <w:rFonts w:ascii="Cambria" w:hAnsi="Cambria"/>
              </w:rPr>
              <w:t>rity of costs include exempting</w:t>
            </w:r>
            <w:r>
              <w:rPr>
                <w:rFonts w:ascii="Cambria" w:hAnsi="Cambria"/>
              </w:rPr>
              <w:t xml:space="preserve"> certain</w:t>
            </w:r>
            <w:r w:rsidR="00C07120" w:rsidRPr="00C07120">
              <w:rPr>
                <w:rFonts w:ascii="Cambria" w:hAnsi="Cambria"/>
              </w:rPr>
              <w:t xml:space="preserve"> types of claims</w:t>
            </w:r>
            <w:r>
              <w:rPr>
                <w:rFonts w:ascii="Cambria" w:hAnsi="Cambria"/>
              </w:rPr>
              <w:t xml:space="preserve"> (</w:t>
            </w:r>
            <w:r w:rsidR="00C07120" w:rsidRPr="00C07120">
              <w:rPr>
                <w:rFonts w:ascii="Cambria" w:hAnsi="Cambria"/>
              </w:rPr>
              <w:t>e.g. small claims</w:t>
            </w:r>
            <w:r>
              <w:rPr>
                <w:rFonts w:ascii="Cambria" w:hAnsi="Cambria"/>
              </w:rPr>
              <w:t>)</w:t>
            </w:r>
            <w:r w:rsidR="00C07120">
              <w:rPr>
                <w:rFonts w:ascii="Cambria" w:hAnsi="Cambria"/>
              </w:rPr>
              <w:t xml:space="preserve"> </w:t>
            </w:r>
            <w:r>
              <w:rPr>
                <w:rFonts w:ascii="Cambria" w:hAnsi="Cambria"/>
              </w:rPr>
              <w:t>from such orders.</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16.6</w:t>
      </w:r>
      <w:r w:rsidRPr="008B11B2">
        <w:rPr>
          <w:rFonts w:ascii="Cambria" w:hAnsi="Cambria"/>
          <w:b/>
          <w:bCs/>
          <w:sz w:val="22"/>
          <w:szCs w:val="22"/>
        </w:rPr>
        <w:tab/>
      </w:r>
      <w:r w:rsidRPr="008B11B2">
        <w:rPr>
          <w:rFonts w:ascii="Cambria" w:hAnsi="Cambria"/>
          <w:b/>
          <w:sz w:val="22"/>
          <w:szCs w:val="22"/>
        </w:rPr>
        <w:t>Domestic law courts make appropriate use of technologies, including information and communications technologies, to operate in an efficient and cost-effective manner.</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263C89">
              <w:rPr>
                <w:rFonts w:ascii="Cambria" w:hAnsi="Cambria"/>
                <w:b/>
                <w:sz w:val="22"/>
                <w:szCs w:val="22"/>
              </w:rPr>
              <w:t>s</w:t>
            </w:r>
            <w:r>
              <w:rPr>
                <w:rFonts w:ascii="Cambria" w:hAnsi="Cambria"/>
                <w:b/>
                <w:sz w:val="22"/>
                <w:szCs w:val="22"/>
              </w:rPr>
              <w:t>: 16.6</w:t>
            </w:r>
          </w:p>
          <w:p w:rsidR="005E7B1C"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 xml:space="preserve">Ways to </w:t>
            </w:r>
            <w:r w:rsidR="005E7B1C">
              <w:rPr>
                <w:rFonts w:ascii="Cambria" w:hAnsi="Cambria"/>
              </w:rPr>
              <w:t>reduce court costs through the use of information and communications technologies may include;</w:t>
            </w:r>
          </w:p>
          <w:p w:rsidR="0006191C" w:rsidRDefault="005E7B1C">
            <w:pPr>
              <w:pStyle w:val="SingleTxtG"/>
              <w:numPr>
                <w:ilvl w:val="0"/>
                <w:numId w:val="79"/>
              </w:numPr>
              <w:ind w:right="0"/>
              <w:rPr>
                <w:rFonts w:ascii="Cambria" w:hAnsi="Cambria"/>
              </w:rPr>
            </w:pPr>
            <w:r w:rsidRPr="00F84AD6">
              <w:rPr>
                <w:rFonts w:ascii="Cambria" w:hAnsi="Cambria"/>
              </w:rPr>
              <w:t xml:space="preserve">greater use of video-conferencing to resolve procedural matters, rather than requiring physical appearances </w:t>
            </w:r>
            <w:r>
              <w:rPr>
                <w:rFonts w:ascii="Cambria" w:hAnsi="Cambria"/>
              </w:rPr>
              <w:t>of all parties at all hearings</w:t>
            </w:r>
            <w:r w:rsidR="00793533">
              <w:rPr>
                <w:rFonts w:ascii="Cambria" w:hAnsi="Cambria"/>
              </w:rPr>
              <w:t>;</w:t>
            </w:r>
          </w:p>
          <w:p w:rsidR="00B52A61" w:rsidRDefault="005E7B1C" w:rsidP="002F6DC5">
            <w:pPr>
              <w:pStyle w:val="SingleTxtG"/>
              <w:numPr>
                <w:ilvl w:val="0"/>
                <w:numId w:val="79"/>
              </w:numPr>
              <w:ind w:right="0"/>
              <w:rPr>
                <w:rFonts w:ascii="Cambria" w:hAnsi="Cambria"/>
                <w:b/>
                <w:sz w:val="22"/>
                <w:szCs w:val="22"/>
              </w:rPr>
            </w:pPr>
            <w:proofErr w:type="gramStart"/>
            <w:r>
              <w:rPr>
                <w:rFonts w:ascii="Cambria" w:hAnsi="Cambria"/>
              </w:rPr>
              <w:t>greater</w:t>
            </w:r>
            <w:proofErr w:type="gramEnd"/>
            <w:r>
              <w:rPr>
                <w:rFonts w:ascii="Cambria" w:hAnsi="Cambria"/>
              </w:rPr>
              <w:t xml:space="preserve"> use of e-mail and electronic filing systems. (accompanied by </w:t>
            </w:r>
            <w:r w:rsidR="00231D64">
              <w:rPr>
                <w:rFonts w:ascii="Cambria" w:hAnsi="Cambria"/>
              </w:rPr>
              <w:t>measures to deal with specific access challenges, for instance to assist claimants with disabilities, or who live in remote or rural areas, or who lack access to computers, or who lack proficiency in the use of information communications technologies.  (</w:t>
            </w:r>
            <w:r w:rsidR="00231D64">
              <w:rPr>
                <w:rFonts w:ascii="Cambria" w:hAnsi="Cambria"/>
                <w:b/>
              </w:rPr>
              <w:t>Note</w:t>
            </w:r>
            <w:r w:rsidR="002F6DC5">
              <w:rPr>
                <w:rFonts w:ascii="Cambria" w:hAnsi="Cambria"/>
                <w:b/>
              </w:rPr>
              <w:t>:</w:t>
            </w:r>
            <w:r w:rsidR="00231D64">
              <w:rPr>
                <w:rFonts w:ascii="Cambria" w:hAnsi="Cambria"/>
                <w:b/>
              </w:rPr>
              <w:t xml:space="preserve"> </w:t>
            </w:r>
            <w:r w:rsidR="00231D64">
              <w:rPr>
                <w:rFonts w:ascii="Cambria" w:hAnsi="Cambria"/>
              </w:rPr>
              <w:t>On access to information regarding court processes and services generally, see further 15.6 above).</w:t>
            </w:r>
          </w:p>
        </w:tc>
      </w:tr>
    </w:tbl>
    <w:p w:rsidR="00B52A61" w:rsidRPr="008B11B2" w:rsidRDefault="00B52A61" w:rsidP="008B11B2">
      <w:pPr>
        <w:pStyle w:val="SingleTxtG"/>
        <w:ind w:left="0" w:right="0"/>
        <w:rPr>
          <w:rFonts w:ascii="Cambria" w:hAnsi="Cambria"/>
          <w:b/>
          <w:sz w:val="22"/>
          <w:szCs w:val="22"/>
        </w:rPr>
      </w:pPr>
    </w:p>
    <w:p w:rsidR="00B52A61" w:rsidRDefault="008B11B2" w:rsidP="00B52A61">
      <w:pPr>
        <w:pStyle w:val="SingleTxtG"/>
        <w:ind w:left="0" w:right="0"/>
        <w:rPr>
          <w:rFonts w:ascii="Cambria" w:hAnsi="Cambria"/>
          <w:b/>
          <w:sz w:val="22"/>
          <w:szCs w:val="22"/>
        </w:rPr>
      </w:pPr>
      <w:r w:rsidRPr="008B11B2">
        <w:rPr>
          <w:rFonts w:ascii="Cambria" w:hAnsi="Cambria"/>
          <w:b/>
          <w:bCs/>
          <w:sz w:val="22"/>
          <w:szCs w:val="22"/>
        </w:rPr>
        <w:t>16.7</w:t>
      </w:r>
      <w:r w:rsidRPr="008B11B2">
        <w:rPr>
          <w:rFonts w:ascii="Cambria" w:hAnsi="Cambria"/>
          <w:b/>
          <w:bCs/>
          <w:sz w:val="22"/>
          <w:szCs w:val="22"/>
        </w:rPr>
        <w:tab/>
      </w:r>
      <w:r w:rsidRPr="008B11B2">
        <w:rPr>
          <w:rFonts w:ascii="Cambria" w:hAnsi="Cambria"/>
          <w:b/>
          <w:sz w:val="22"/>
          <w:szCs w:val="22"/>
        </w:rPr>
        <w:t>There is the possibility of civil enforcement of legal standards by regulators (i.e. acting on behalf of affected individuals or groups) in appropriate cases.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793533" w:rsidRDefault="00B52A61" w:rsidP="004F60D5">
            <w:pPr>
              <w:pStyle w:val="SingleTxtG"/>
              <w:ind w:left="0" w:right="0"/>
              <w:rPr>
                <w:rFonts w:ascii="Cambria" w:hAnsi="Cambria"/>
                <w:b/>
                <w:sz w:val="22"/>
                <w:szCs w:val="22"/>
              </w:rPr>
            </w:pPr>
            <w:r>
              <w:rPr>
                <w:rFonts w:ascii="Cambria" w:hAnsi="Cambria"/>
                <w:b/>
                <w:sz w:val="22"/>
                <w:szCs w:val="22"/>
              </w:rPr>
              <w:t>Illustrative example</w:t>
            </w:r>
            <w:r w:rsidR="003457BA">
              <w:rPr>
                <w:rFonts w:ascii="Cambria" w:hAnsi="Cambria"/>
                <w:b/>
                <w:sz w:val="22"/>
                <w:szCs w:val="22"/>
              </w:rPr>
              <w:t>s</w:t>
            </w:r>
            <w:r>
              <w:rPr>
                <w:rFonts w:ascii="Cambria" w:hAnsi="Cambria"/>
                <w:b/>
                <w:sz w:val="22"/>
                <w:szCs w:val="22"/>
              </w:rPr>
              <w:t>: 16.7</w:t>
            </w:r>
          </w:p>
          <w:p w:rsidR="00793533"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Po</w:t>
            </w:r>
            <w:r w:rsidR="00793533">
              <w:rPr>
                <w:rFonts w:ascii="Cambria" w:hAnsi="Cambria"/>
              </w:rPr>
              <w:t>s</w:t>
            </w:r>
            <w:r w:rsidR="00DD7E43" w:rsidRPr="00DD7E43">
              <w:rPr>
                <w:rFonts w:ascii="Cambria" w:hAnsi="Cambria"/>
              </w:rPr>
              <w:t xml:space="preserve">sibilities for </w:t>
            </w:r>
            <w:r w:rsidR="00793533">
              <w:rPr>
                <w:rFonts w:ascii="Cambria" w:hAnsi="Cambria"/>
              </w:rPr>
              <w:t>civil enforcement of legal standards by regulators can be created;</w:t>
            </w:r>
          </w:p>
          <w:p w:rsidR="0006191C" w:rsidRDefault="00793533">
            <w:pPr>
              <w:pStyle w:val="SingleTxtG"/>
              <w:numPr>
                <w:ilvl w:val="0"/>
                <w:numId w:val="80"/>
              </w:numPr>
              <w:ind w:right="0"/>
              <w:rPr>
                <w:rFonts w:ascii="Cambria" w:hAnsi="Cambria"/>
              </w:rPr>
            </w:pPr>
            <w:r>
              <w:rPr>
                <w:rFonts w:ascii="Cambria" w:hAnsi="Cambria"/>
              </w:rPr>
              <w:t xml:space="preserve">through amendments to rules on </w:t>
            </w:r>
            <w:r w:rsidRPr="003C2A8A">
              <w:rPr>
                <w:rFonts w:ascii="Cambria" w:hAnsi="Cambria"/>
              </w:rPr>
              <w:t xml:space="preserve">standing to </w:t>
            </w:r>
            <w:r>
              <w:rPr>
                <w:rFonts w:ascii="Cambria" w:hAnsi="Cambria"/>
              </w:rPr>
              <w:t xml:space="preserve">provide for enforcement by </w:t>
            </w:r>
            <w:r w:rsidRPr="003C2A8A">
              <w:rPr>
                <w:rFonts w:ascii="Cambria" w:hAnsi="Cambria"/>
              </w:rPr>
              <w:t>regulators, associations, consumer bodie</w:t>
            </w:r>
            <w:r>
              <w:rPr>
                <w:rFonts w:ascii="Cambria" w:hAnsi="Cambria"/>
              </w:rPr>
              <w:t xml:space="preserve">s, groups of citizens of </w:t>
            </w:r>
            <w:r w:rsidRPr="003C2A8A">
              <w:rPr>
                <w:rFonts w:ascii="Cambria" w:hAnsi="Cambria"/>
              </w:rPr>
              <w:t>“collective rights” (e.g. with respect to consumer rig</w:t>
            </w:r>
            <w:r>
              <w:rPr>
                <w:rFonts w:ascii="Cambria" w:hAnsi="Cambria"/>
              </w:rPr>
              <w:t>hts, unfair business practices, environmental rights);</w:t>
            </w:r>
          </w:p>
          <w:p w:rsidR="002550F6" w:rsidRPr="003C2A8A" w:rsidRDefault="00793533" w:rsidP="002F6DC5">
            <w:pPr>
              <w:pStyle w:val="SingleTxtG"/>
              <w:numPr>
                <w:ilvl w:val="0"/>
                <w:numId w:val="80"/>
              </w:numPr>
              <w:ind w:right="0"/>
              <w:rPr>
                <w:rFonts w:ascii="Cambria" w:hAnsi="Cambria"/>
              </w:rPr>
            </w:pPr>
            <w:r>
              <w:rPr>
                <w:rFonts w:ascii="Cambria" w:hAnsi="Cambria"/>
              </w:rPr>
              <w:t xml:space="preserve"> </w:t>
            </w:r>
            <w:proofErr w:type="gramStart"/>
            <w:r>
              <w:rPr>
                <w:rFonts w:ascii="Cambria" w:hAnsi="Cambria"/>
              </w:rPr>
              <w:t>by</w:t>
            </w:r>
            <w:proofErr w:type="gramEnd"/>
            <w:r>
              <w:rPr>
                <w:rFonts w:ascii="Cambria" w:hAnsi="Cambria"/>
              </w:rPr>
              <w:t xml:space="preserve"> providing for the possibility of </w:t>
            </w:r>
            <w:r w:rsidRPr="003C2A8A">
              <w:rPr>
                <w:rFonts w:ascii="Cambria" w:hAnsi="Cambria"/>
              </w:rPr>
              <w:t xml:space="preserve">representative actions </w:t>
            </w:r>
            <w:r>
              <w:rPr>
                <w:rFonts w:ascii="Cambria" w:hAnsi="Cambria"/>
              </w:rPr>
              <w:t xml:space="preserve">by regulators </w:t>
            </w:r>
            <w:r w:rsidRPr="003C2A8A">
              <w:rPr>
                <w:rFonts w:ascii="Cambria" w:hAnsi="Cambria"/>
              </w:rPr>
              <w:t>on behalf of people who have suffered losses</w:t>
            </w:r>
            <w:r>
              <w:rPr>
                <w:rFonts w:ascii="Cambria" w:hAnsi="Cambria"/>
              </w:rPr>
              <w:t xml:space="preserve">, </w:t>
            </w:r>
            <w:r w:rsidRPr="006D6967">
              <w:rPr>
                <w:rFonts w:ascii="Cambria" w:hAnsi="Cambria"/>
              </w:rPr>
              <w:t>which can result in</w:t>
            </w:r>
            <w:r>
              <w:rPr>
                <w:rFonts w:ascii="Cambria" w:hAnsi="Cambria"/>
              </w:rPr>
              <w:t xml:space="preserve"> enforceable </w:t>
            </w:r>
            <w:r w:rsidRPr="006D6967">
              <w:rPr>
                <w:rFonts w:ascii="Cambria" w:hAnsi="Cambria"/>
              </w:rPr>
              <w:t>compensatory orders</w:t>
            </w:r>
            <w:r>
              <w:rPr>
                <w:rFonts w:ascii="Cambria" w:hAnsi="Cambria"/>
              </w:rPr>
              <w:t xml:space="preserve"> for affected persons</w:t>
            </w:r>
            <w:r w:rsidRPr="003C2A8A">
              <w:rPr>
                <w:rFonts w:ascii="Cambria" w:hAnsi="Cambria"/>
              </w:rPr>
              <w:t>.</w:t>
            </w:r>
          </w:p>
        </w:tc>
      </w:tr>
    </w:tbl>
    <w:p w:rsidR="008B11B2" w:rsidRDefault="008B11B2" w:rsidP="008B11B2">
      <w:pPr>
        <w:pStyle w:val="Heading2"/>
        <w:rPr>
          <w:rFonts w:ascii="Cambria" w:eastAsia="Times New Roman" w:hAnsi="Cambria" w:cs="Times New Roman"/>
          <w:b/>
          <w:color w:val="auto"/>
          <w:sz w:val="22"/>
          <w:szCs w:val="22"/>
          <w:lang w:val="en-GB"/>
        </w:rPr>
      </w:pPr>
    </w:p>
    <w:p w:rsidR="008B11B2" w:rsidRPr="008B11B2" w:rsidRDefault="008B11B2" w:rsidP="008B11B2">
      <w:pPr>
        <w:pStyle w:val="Heading2"/>
      </w:pPr>
      <w:r w:rsidRPr="008B11B2">
        <w:t>Cooperation in cross-border cases</w:t>
      </w:r>
    </w:p>
    <w:p w:rsidR="008B11B2" w:rsidRDefault="008B11B2" w:rsidP="008B11B2">
      <w:pPr>
        <w:pStyle w:val="SingleTxtG"/>
        <w:ind w:left="0" w:right="0"/>
        <w:rPr>
          <w:rFonts w:ascii="Cambria" w:hAnsi="Cambria"/>
          <w:b/>
          <w:sz w:val="22"/>
          <w:szCs w:val="22"/>
        </w:rPr>
      </w:pPr>
    </w:p>
    <w:tbl>
      <w:tblPr>
        <w:tblStyle w:val="TableGrid"/>
        <w:tblW w:w="0" w:type="auto"/>
        <w:shd w:val="clear" w:color="auto" w:fill="DEEAF6" w:themeFill="accent1" w:themeFillTint="33"/>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17: Claimants in cases arising from business-related human rights abuses are readily and rapidly able to seek legal assistance from relevant State agencies and judicial bodies in other States for the purpose of gathering evidence from foreign individual, corporate and regulatory sources for use in judicial proceedings.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17.1</w:t>
      </w:r>
      <w:r w:rsidRPr="008B11B2">
        <w:rPr>
          <w:rFonts w:ascii="Cambria" w:hAnsi="Cambria"/>
          <w:b/>
          <w:sz w:val="22"/>
          <w:szCs w:val="22"/>
        </w:rPr>
        <w:tab/>
        <w:t xml:space="preserve">The State sets out a clear policy expectation that </w:t>
      </w:r>
      <w:proofErr w:type="gramStart"/>
      <w:r w:rsidRPr="008B11B2">
        <w:rPr>
          <w:rFonts w:ascii="Cambria" w:hAnsi="Cambria"/>
          <w:b/>
          <w:sz w:val="22"/>
          <w:szCs w:val="22"/>
        </w:rPr>
        <w:t>its</w:t>
      </w:r>
      <w:proofErr w:type="gramEnd"/>
      <w:r w:rsidRPr="008B11B2">
        <w:rPr>
          <w:rFonts w:ascii="Cambria" w:hAnsi="Cambria"/>
          <w:b/>
          <w:sz w:val="22"/>
          <w:szCs w:val="22"/>
        </w:rPr>
        <w:t xml:space="preserve"> judicial bodies and other relevant State agencies will be appropriately responsive to requests for legal assistance made for the purposes of obtaining evidence for use in judicial proceedings arising from business-related human rights abuses.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17.1</w:t>
            </w:r>
          </w:p>
          <w:p w:rsidR="00302D30" w:rsidRPr="00295FDD" w:rsidRDefault="00A364A0" w:rsidP="00302D30">
            <w:pPr>
              <w:pStyle w:val="SingleTxtG"/>
              <w:ind w:left="0" w:right="0"/>
              <w:rPr>
                <w:rFonts w:ascii="Cambria" w:hAnsi="Cambria"/>
              </w:rPr>
            </w:pPr>
            <w:r>
              <w:rPr>
                <w:rFonts w:ascii="Cambria" w:hAnsi="Cambria"/>
              </w:rPr>
              <w:t xml:space="preserve">A. </w:t>
            </w:r>
            <w:r w:rsidR="00302D30" w:rsidRPr="00295FDD">
              <w:rPr>
                <w:rFonts w:ascii="Cambria" w:hAnsi="Cambria"/>
              </w:rPr>
              <w:t>Such a policy expectation can be communicated in v</w:t>
            </w:r>
            <w:r w:rsidR="00CC54CA">
              <w:rPr>
                <w:rFonts w:ascii="Cambria" w:hAnsi="Cambria"/>
              </w:rPr>
              <w:t>arious different ways including;</w:t>
            </w:r>
          </w:p>
          <w:p w:rsidR="00302D30" w:rsidRPr="00295FDD" w:rsidRDefault="00302D30" w:rsidP="00E623C2">
            <w:pPr>
              <w:pStyle w:val="SingleTxtG"/>
              <w:numPr>
                <w:ilvl w:val="0"/>
                <w:numId w:val="20"/>
              </w:numPr>
              <w:ind w:right="0"/>
              <w:rPr>
                <w:rFonts w:ascii="Cambria" w:hAnsi="Cambria"/>
              </w:rPr>
            </w:pPr>
            <w:r w:rsidRPr="00295FDD">
              <w:rPr>
                <w:rFonts w:ascii="Cambria" w:hAnsi="Cambria"/>
              </w:rPr>
              <w:t xml:space="preserve">in policy manuals issued to </w:t>
            </w:r>
            <w:r w:rsidR="00CC54CA">
              <w:rPr>
                <w:rFonts w:ascii="Cambria" w:hAnsi="Cambria"/>
              </w:rPr>
              <w:t>relevant State</w:t>
            </w:r>
            <w:r w:rsidRPr="00295FDD">
              <w:rPr>
                <w:rFonts w:ascii="Cambria" w:hAnsi="Cambria"/>
              </w:rPr>
              <w:t xml:space="preserve"> agencies;</w:t>
            </w:r>
          </w:p>
          <w:p w:rsidR="00302D30" w:rsidRDefault="00302D30" w:rsidP="00E623C2">
            <w:pPr>
              <w:pStyle w:val="SingleTxtG"/>
              <w:numPr>
                <w:ilvl w:val="0"/>
                <w:numId w:val="20"/>
              </w:numPr>
              <w:ind w:right="0"/>
              <w:rPr>
                <w:rFonts w:ascii="Cambria" w:hAnsi="Cambria"/>
              </w:rPr>
            </w:pPr>
            <w:r w:rsidRPr="00295FDD">
              <w:rPr>
                <w:rFonts w:ascii="Cambria" w:hAnsi="Cambria"/>
              </w:rPr>
              <w:t xml:space="preserve">through legal and procedural updates to </w:t>
            </w:r>
            <w:r w:rsidR="00CC54CA">
              <w:rPr>
                <w:rFonts w:ascii="Cambria" w:hAnsi="Cambria"/>
              </w:rPr>
              <w:t>relevant State</w:t>
            </w:r>
            <w:r w:rsidRPr="00295FDD">
              <w:rPr>
                <w:rFonts w:ascii="Cambria" w:hAnsi="Cambria"/>
              </w:rPr>
              <w:t xml:space="preserve"> agencies;</w:t>
            </w:r>
          </w:p>
          <w:p w:rsidR="00A71CA0" w:rsidRPr="00A71CA0" w:rsidRDefault="00A71CA0" w:rsidP="00E623C2">
            <w:pPr>
              <w:pStyle w:val="SingleTxtG"/>
              <w:numPr>
                <w:ilvl w:val="0"/>
                <w:numId w:val="20"/>
              </w:numPr>
              <w:ind w:right="0"/>
              <w:rPr>
                <w:rFonts w:ascii="Cambria" w:hAnsi="Cambria"/>
              </w:rPr>
            </w:pPr>
            <w:r>
              <w:rPr>
                <w:rFonts w:ascii="Cambria" w:hAnsi="Cambria"/>
              </w:rPr>
              <w:t xml:space="preserve">through legislative provisions creating rights for foreign litigants to request assistance directly </w:t>
            </w:r>
            <w:r w:rsidR="00CC54CA">
              <w:rPr>
                <w:rFonts w:ascii="Cambria" w:hAnsi="Cambria"/>
              </w:rPr>
              <w:lastRenderedPageBreak/>
              <w:t>from domestic judicial bodies;</w:t>
            </w:r>
          </w:p>
          <w:p w:rsidR="00A71CA0" w:rsidRPr="00A71CA0" w:rsidRDefault="00302D30" w:rsidP="00E623C2">
            <w:pPr>
              <w:pStyle w:val="SingleTxtG"/>
              <w:numPr>
                <w:ilvl w:val="0"/>
                <w:numId w:val="20"/>
              </w:numPr>
              <w:ind w:right="0"/>
              <w:rPr>
                <w:rFonts w:ascii="Cambria" w:hAnsi="Cambria"/>
              </w:rPr>
            </w:pPr>
            <w:r>
              <w:rPr>
                <w:rFonts w:ascii="Cambria" w:hAnsi="Cambria"/>
              </w:rPr>
              <w:t>in national action plans developed for the purposes of implementation of treaty commitments relating to (a) international cooperation in relation to business-related human rights abuses or (b) the provision of mutual legal assistance generally</w:t>
            </w:r>
            <w:r w:rsidR="00CC54CA">
              <w:rPr>
                <w:rFonts w:ascii="Cambria" w:hAnsi="Cambria"/>
              </w:rPr>
              <w:t>;</w:t>
            </w:r>
          </w:p>
          <w:p w:rsidR="00B52A61" w:rsidRPr="00302D30" w:rsidRDefault="00302D30" w:rsidP="00E623C2">
            <w:pPr>
              <w:pStyle w:val="SingleTxtG"/>
              <w:numPr>
                <w:ilvl w:val="0"/>
                <w:numId w:val="20"/>
              </w:numPr>
              <w:ind w:right="0"/>
              <w:rPr>
                <w:rFonts w:ascii="Cambria" w:hAnsi="Cambria"/>
              </w:rPr>
            </w:pPr>
            <w:proofErr w:type="gramStart"/>
            <w:r w:rsidRPr="00302D30">
              <w:rPr>
                <w:rFonts w:ascii="Cambria" w:hAnsi="Cambria"/>
              </w:rPr>
              <w:t>in</w:t>
            </w:r>
            <w:proofErr w:type="gramEnd"/>
            <w:r w:rsidRPr="00302D30">
              <w:rPr>
                <w:rFonts w:ascii="Cambria" w:hAnsi="Cambria"/>
              </w:rPr>
              <w:t xml:space="preserve"> national action plans developed in relation to the implementation of the UN Guiding Principles on business and human rights.</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17.2</w:t>
      </w:r>
      <w:r w:rsidRPr="008B11B2">
        <w:rPr>
          <w:rFonts w:ascii="Cambria" w:hAnsi="Cambria"/>
          <w:b/>
          <w:sz w:val="22"/>
          <w:szCs w:val="22"/>
        </w:rPr>
        <w:tab/>
        <w:t>The State ensures that appropriate bilateral and multilateral agreements are in place to enable its judicial bodies and other relevant State agencies to request legal assistance from relevant counterparts in other States for the purposes of obtaining evidence for use in judicial proceedings arising from business-related human rights abuse.</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17.2</w:t>
            </w:r>
          </w:p>
          <w:p w:rsidR="00B52A61" w:rsidRDefault="00BB779B" w:rsidP="00BB779B">
            <w:pPr>
              <w:pStyle w:val="SingleTxtG"/>
              <w:ind w:left="0" w:right="0"/>
              <w:rPr>
                <w:rFonts w:ascii="Cambria" w:hAnsi="Cambria"/>
                <w:b/>
                <w:sz w:val="22"/>
                <w:szCs w:val="22"/>
              </w:rPr>
            </w:pPr>
            <w:r w:rsidRPr="00BB779B">
              <w:rPr>
                <w:rFonts w:ascii="Cambria" w:hAnsi="Cambria"/>
              </w:rPr>
              <w:t>A. See Hague Convention of 18 March 1970 on the Taking of Evidence Abroad in Civil or Commercial Matters</w:t>
            </w:r>
            <w:r>
              <w:rPr>
                <w:rFonts w:ascii="Cambria" w:hAnsi="Cambria"/>
              </w:rPr>
              <w:t xml:space="preserve">, copy of text and related materials available via </w:t>
            </w:r>
            <w:hyperlink r:id="rId18" w:history="1">
              <w:r w:rsidRPr="00F5343B">
                <w:rPr>
                  <w:rStyle w:val="Hyperlink"/>
                  <w:rFonts w:ascii="Cambria" w:hAnsi="Cambria"/>
                </w:rPr>
                <w:t>https://www.hcch.net/en/home</w:t>
              </w:r>
            </w:hyperlink>
            <w:r>
              <w:rPr>
                <w:rFonts w:ascii="Cambria" w:hAnsi="Cambria"/>
              </w:rPr>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17.3</w:t>
      </w:r>
      <w:r w:rsidRPr="008B11B2">
        <w:rPr>
          <w:rFonts w:ascii="Cambria" w:hAnsi="Cambria"/>
          <w:b/>
          <w:sz w:val="22"/>
          <w:szCs w:val="22"/>
        </w:rPr>
        <w:tab/>
        <w:t>The State ensures that its judicial bodies and other relevant State agencies have access to the necessary information, support, training and resources to enable personnel to make the best use of arrangements with other States for cooperation in private law cases.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17.3</w:t>
            </w:r>
          </w:p>
          <w:p w:rsidR="00B52A61" w:rsidRDefault="00BB779B" w:rsidP="004F60D5">
            <w:pPr>
              <w:pStyle w:val="SingleTxtG"/>
              <w:ind w:left="0" w:right="0"/>
              <w:rPr>
                <w:rFonts w:ascii="Cambria" w:hAnsi="Cambria"/>
              </w:rPr>
            </w:pPr>
            <w:r w:rsidRPr="00BB779B">
              <w:rPr>
                <w:rFonts w:ascii="Cambria" w:hAnsi="Cambria"/>
              </w:rPr>
              <w:t>A.  See 9.4 above.</w:t>
            </w:r>
          </w:p>
          <w:p w:rsidR="00BB779B" w:rsidRPr="00BB779B" w:rsidRDefault="00BB779B" w:rsidP="00BB779B">
            <w:pPr>
              <w:pStyle w:val="SingleTxtG"/>
              <w:ind w:left="0" w:right="0"/>
              <w:rPr>
                <w:rFonts w:ascii="Cambria" w:hAnsi="Cambria"/>
              </w:rPr>
            </w:pPr>
            <w:r>
              <w:rPr>
                <w:rFonts w:ascii="Cambria" w:hAnsi="Cambria"/>
              </w:rPr>
              <w:t xml:space="preserve">B. See also the various materials and projects detailed at </w:t>
            </w:r>
            <w:hyperlink r:id="rId19" w:history="1">
              <w:r w:rsidRPr="00F5343B">
                <w:rPr>
                  <w:rStyle w:val="Hyperlink"/>
                  <w:rFonts w:ascii="Cambria" w:hAnsi="Cambria"/>
                </w:rPr>
                <w:t>https://www.hcch.net/en/home</w:t>
              </w:r>
            </w:hyperlink>
            <w:r>
              <w:rPr>
                <w:rFonts w:ascii="Cambria" w:hAnsi="Cambria"/>
              </w:rPr>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17.4</w:t>
      </w:r>
      <w:r w:rsidRPr="008B11B2">
        <w:rPr>
          <w:rFonts w:ascii="Cambria" w:hAnsi="Cambria"/>
          <w:b/>
          <w:sz w:val="22"/>
          <w:szCs w:val="22"/>
        </w:rPr>
        <w:tab/>
        <w:t>The State is actively involved with bilateral and multilateral initiatives aimed at improving the ease with which and speed at which (a) requests for mutual legal assistance can be made and responded to; and (b) information can be exchanged between judicial bodies and other relevant State agencies in private law cases, including through information repositories that provide clarity on points of contact, core process requirements and systems for updates on outstanding requests.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2F5310" w:rsidRDefault="00B52A61" w:rsidP="002F5310">
            <w:pPr>
              <w:pStyle w:val="SingleTxtG"/>
              <w:ind w:left="0" w:right="0"/>
              <w:rPr>
                <w:rFonts w:ascii="Cambria" w:hAnsi="Cambria"/>
                <w:b/>
              </w:rPr>
            </w:pPr>
            <w:r>
              <w:rPr>
                <w:rFonts w:ascii="Cambria" w:hAnsi="Cambria"/>
                <w:b/>
                <w:sz w:val="22"/>
                <w:szCs w:val="22"/>
              </w:rPr>
              <w:t>Illustrative example: 17.4</w:t>
            </w:r>
          </w:p>
          <w:p w:rsidR="002F5310" w:rsidRPr="002F5310" w:rsidRDefault="002F5310" w:rsidP="002F5310">
            <w:pPr>
              <w:pStyle w:val="SingleTxtG"/>
              <w:ind w:left="0" w:right="0"/>
              <w:rPr>
                <w:rFonts w:ascii="Cambria" w:hAnsi="Cambria"/>
              </w:rPr>
            </w:pPr>
            <w:r w:rsidRPr="002F5310">
              <w:rPr>
                <w:rFonts w:ascii="Cambria" w:hAnsi="Cambria"/>
              </w:rPr>
              <w:t>A. See in particular</w:t>
            </w:r>
            <w:r w:rsidR="00A24C5A">
              <w:rPr>
                <w:rFonts w:ascii="Cambria" w:hAnsi="Cambria"/>
              </w:rPr>
              <w:t>:</w:t>
            </w:r>
          </w:p>
          <w:p w:rsidR="002F5310" w:rsidRPr="002F5310" w:rsidRDefault="00C71D89" w:rsidP="00E623C2">
            <w:pPr>
              <w:pStyle w:val="SingleTxtG"/>
              <w:numPr>
                <w:ilvl w:val="0"/>
                <w:numId w:val="40"/>
              </w:numPr>
              <w:ind w:right="0"/>
              <w:rPr>
                <w:rFonts w:ascii="Cambria" w:hAnsi="Cambria"/>
              </w:rPr>
            </w:pPr>
            <w:hyperlink r:id="rId20" w:history="1">
              <w:r w:rsidR="002F5310" w:rsidRPr="002F5310">
                <w:rPr>
                  <w:rStyle w:val="Hyperlink"/>
                  <w:rFonts w:ascii="Cambria" w:hAnsi="Cambria"/>
                </w:rPr>
                <w:t>http://www.haguejusticeportal.net/index.php?id=326</w:t>
              </w:r>
            </w:hyperlink>
            <w:r w:rsidR="002F5310" w:rsidRPr="002F5310">
              <w:rPr>
                <w:rFonts w:ascii="Cambria" w:hAnsi="Cambria"/>
              </w:rPr>
              <w:t>;</w:t>
            </w:r>
          </w:p>
          <w:p w:rsidR="002F5310" w:rsidRPr="002F5310" w:rsidRDefault="00C71D89" w:rsidP="00E623C2">
            <w:pPr>
              <w:pStyle w:val="SingleTxtG"/>
              <w:numPr>
                <w:ilvl w:val="0"/>
                <w:numId w:val="40"/>
              </w:numPr>
              <w:ind w:right="0"/>
              <w:rPr>
                <w:rFonts w:ascii="Cambria" w:hAnsi="Cambria"/>
              </w:rPr>
            </w:pPr>
            <w:hyperlink r:id="rId21" w:history="1">
              <w:r w:rsidR="002F5310" w:rsidRPr="002F5310">
                <w:rPr>
                  <w:rStyle w:val="Hyperlink"/>
                  <w:rFonts w:ascii="Cambria" w:hAnsi="Cambria"/>
                </w:rPr>
                <w:t>https://www.hcch.net/en/home</w:t>
              </w:r>
            </w:hyperlink>
            <w:r w:rsidR="002F5310" w:rsidRPr="002F5310">
              <w:rPr>
                <w:rFonts w:ascii="Cambria" w:hAnsi="Cambria"/>
              </w:rPr>
              <w:t>.; and</w:t>
            </w:r>
          </w:p>
          <w:p w:rsidR="002F5310" w:rsidRPr="002F5310" w:rsidRDefault="002F5310" w:rsidP="00E623C2">
            <w:pPr>
              <w:pStyle w:val="SingleTxtG"/>
              <w:numPr>
                <w:ilvl w:val="0"/>
                <w:numId w:val="40"/>
              </w:numPr>
              <w:ind w:right="0"/>
              <w:rPr>
                <w:rFonts w:ascii="Cambria" w:hAnsi="Cambria"/>
              </w:rPr>
            </w:pPr>
            <w:r w:rsidRPr="002F5310">
              <w:rPr>
                <w:rFonts w:ascii="Cambria" w:hAnsi="Cambria"/>
              </w:rPr>
              <w:t xml:space="preserve">For a regional initiative see the European e-justice portal at </w:t>
            </w:r>
            <w:hyperlink r:id="rId22" w:history="1">
              <w:r w:rsidRPr="002F5310">
                <w:rPr>
                  <w:rStyle w:val="Hyperlink"/>
                  <w:rFonts w:ascii="Cambria" w:hAnsi="Cambria"/>
                </w:rPr>
                <w:t>https://e-justice.europa.eu/content_cooperation_in_civil_matters-75-en.do</w:t>
              </w:r>
            </w:hyperlink>
            <w:r>
              <w:rPr>
                <w:rFonts w:ascii="Cambria" w:hAnsi="Cambria"/>
              </w:rPr>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17.5</w:t>
      </w:r>
      <w:r w:rsidRPr="008B11B2">
        <w:rPr>
          <w:rFonts w:ascii="Cambria" w:hAnsi="Cambria"/>
          <w:b/>
          <w:bCs/>
          <w:sz w:val="22"/>
          <w:szCs w:val="22"/>
        </w:rPr>
        <w:tab/>
      </w:r>
      <w:r w:rsidRPr="008B11B2">
        <w:rPr>
          <w:rFonts w:ascii="Cambria" w:hAnsi="Cambria"/>
          <w:b/>
          <w:sz w:val="22"/>
          <w:szCs w:val="22"/>
        </w:rPr>
        <w:t>Judicial bodies and other relevant State agencies support and encourage the involvement of their personnel in relevant bilateral and multilateral initiatives and networks aimed at (a) facilitating contact and exchange of know-how between their personnel and their counterparts in other States; and (b) promoting awareness of different opportunities and options for international cooperation and the provision of legal assistance in private law cases.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17.5</w:t>
            </w:r>
          </w:p>
          <w:p w:rsidR="005249A4" w:rsidRPr="001902DB" w:rsidRDefault="00A364A0" w:rsidP="005249A4">
            <w:pPr>
              <w:pStyle w:val="SingleTxtG"/>
              <w:ind w:left="0" w:right="0"/>
              <w:rPr>
                <w:rFonts w:ascii="Cambria" w:hAnsi="Cambria"/>
              </w:rPr>
            </w:pPr>
            <w:r>
              <w:rPr>
                <w:rFonts w:ascii="Cambria" w:hAnsi="Cambria"/>
              </w:rPr>
              <w:t xml:space="preserve">A. </w:t>
            </w:r>
            <w:r w:rsidR="005249A4" w:rsidRPr="001902DB">
              <w:rPr>
                <w:rFonts w:ascii="Cambria" w:hAnsi="Cambria"/>
              </w:rPr>
              <w:t>Examples of such initiatives and networks include;</w:t>
            </w:r>
          </w:p>
          <w:p w:rsidR="005249A4" w:rsidRDefault="005249A4" w:rsidP="00E623C2">
            <w:pPr>
              <w:pStyle w:val="SingleTxtG"/>
              <w:numPr>
                <w:ilvl w:val="0"/>
                <w:numId w:val="24"/>
              </w:numPr>
              <w:ind w:right="0"/>
              <w:rPr>
                <w:rFonts w:ascii="Cambria" w:hAnsi="Cambria"/>
              </w:rPr>
            </w:pPr>
            <w:r w:rsidRPr="001902DB">
              <w:rPr>
                <w:rFonts w:ascii="Cambria" w:hAnsi="Cambria"/>
              </w:rPr>
              <w:t>legal professional bodies</w:t>
            </w:r>
            <w:r>
              <w:rPr>
                <w:rFonts w:ascii="Cambria" w:hAnsi="Cambria"/>
              </w:rPr>
              <w:t xml:space="preserve"> and associations; </w:t>
            </w:r>
          </w:p>
          <w:p w:rsidR="005249A4" w:rsidRDefault="005249A4" w:rsidP="00E623C2">
            <w:pPr>
              <w:pStyle w:val="SingleTxtG"/>
              <w:numPr>
                <w:ilvl w:val="0"/>
                <w:numId w:val="24"/>
              </w:numPr>
              <w:ind w:right="0"/>
              <w:rPr>
                <w:rFonts w:ascii="Cambria" w:hAnsi="Cambria"/>
              </w:rPr>
            </w:pPr>
            <w:r>
              <w:rPr>
                <w:rFonts w:ascii="Cambria" w:hAnsi="Cambria"/>
              </w:rPr>
              <w:t xml:space="preserve">international and regional judicial networks; </w:t>
            </w:r>
          </w:p>
          <w:p w:rsidR="00B52A61" w:rsidRDefault="005249A4" w:rsidP="00E623C2">
            <w:pPr>
              <w:pStyle w:val="SingleTxtG"/>
              <w:numPr>
                <w:ilvl w:val="0"/>
                <w:numId w:val="24"/>
              </w:numPr>
              <w:ind w:right="0"/>
              <w:rPr>
                <w:rFonts w:ascii="Cambria" w:hAnsi="Cambria"/>
                <w:b/>
                <w:sz w:val="22"/>
                <w:szCs w:val="22"/>
              </w:rPr>
            </w:pPr>
            <w:proofErr w:type="gramStart"/>
            <w:r>
              <w:rPr>
                <w:rFonts w:ascii="Cambria" w:hAnsi="Cambria"/>
              </w:rPr>
              <w:t>international</w:t>
            </w:r>
            <w:proofErr w:type="gramEnd"/>
            <w:r>
              <w:rPr>
                <w:rFonts w:ascii="Cambria" w:hAnsi="Cambria"/>
              </w:rPr>
              <w:t xml:space="preserve"> networks of regulators.</w:t>
            </w:r>
          </w:p>
        </w:tc>
      </w:tr>
    </w:tbl>
    <w:p w:rsidR="00B52A61" w:rsidRDefault="00B52A6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rPr>
          <w:trHeight w:val="971"/>
        </w:trPr>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18: The State actively engages in relevant forums and initiatives to seek to improve access to information for claimants and their legal representatives in cross-border cases arising from or connected with business-related human rights abuses.</w:t>
            </w:r>
          </w:p>
        </w:tc>
      </w:tr>
    </w:tbl>
    <w:p w:rsidR="008B11B2" w:rsidRDefault="008B11B2" w:rsidP="008B11B2">
      <w:pPr>
        <w:pStyle w:val="SingleTxtG"/>
        <w:ind w:left="0" w:right="0"/>
        <w:rPr>
          <w:rFonts w:ascii="Cambria" w:hAnsi="Cambria"/>
          <w:b/>
          <w:bCs/>
          <w:sz w:val="22"/>
          <w:szCs w:val="22"/>
        </w:rPr>
      </w:pPr>
    </w:p>
    <w:p w:rsidR="00B52A61" w:rsidRPr="008B11B2" w:rsidRDefault="008B11B2" w:rsidP="008B11B2">
      <w:pPr>
        <w:pStyle w:val="SingleTxtG"/>
        <w:ind w:left="0" w:right="0"/>
        <w:rPr>
          <w:rFonts w:ascii="Cambria" w:hAnsi="Cambria"/>
          <w:b/>
          <w:sz w:val="22"/>
          <w:szCs w:val="22"/>
        </w:rPr>
      </w:pPr>
      <w:r w:rsidRPr="008B11B2">
        <w:rPr>
          <w:rFonts w:ascii="Cambria" w:hAnsi="Cambria"/>
          <w:b/>
          <w:bCs/>
          <w:sz w:val="22"/>
          <w:szCs w:val="22"/>
        </w:rPr>
        <w:t>18.1</w:t>
      </w:r>
      <w:r w:rsidRPr="008B11B2">
        <w:rPr>
          <w:rFonts w:ascii="Cambria" w:hAnsi="Cambria"/>
          <w:b/>
          <w:bCs/>
          <w:sz w:val="22"/>
          <w:szCs w:val="22"/>
        </w:rPr>
        <w:tab/>
      </w:r>
      <w:r w:rsidRPr="008B11B2">
        <w:rPr>
          <w:rFonts w:ascii="Cambria" w:hAnsi="Cambria"/>
          <w:b/>
          <w:sz w:val="22"/>
          <w:szCs w:val="22"/>
        </w:rPr>
        <w:t>The State actively engages in bilateral, regional and multilateral initiatives aimed at improving the ease and speed with which information can be exchanged between claimants and their legal representatives and the relevant State agencies of other States in cross-border cases.</w:t>
      </w: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18.2</w:t>
      </w:r>
      <w:r w:rsidRPr="008B11B2">
        <w:rPr>
          <w:rFonts w:ascii="Cambria" w:hAnsi="Cambria"/>
          <w:b/>
          <w:sz w:val="22"/>
          <w:szCs w:val="22"/>
        </w:rPr>
        <w:tab/>
        <w:t>The State engages in bilateral, regional and multilateral initiatives that relate to cross-border access to information regarding the human rights-related risks and impacts of different business activities, and that aim at achieving greater alignment between different domestic legal regimes with respect to issues such as data protection, protection of victims and their legal representatives, protection of whistle-blowers and legitimate requirements of commercial confidentiality.</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915EEE">
              <w:rPr>
                <w:rFonts w:ascii="Cambria" w:hAnsi="Cambria"/>
                <w:b/>
                <w:sz w:val="22"/>
                <w:szCs w:val="22"/>
              </w:rPr>
              <w:t>s</w:t>
            </w:r>
            <w:r>
              <w:rPr>
                <w:rFonts w:ascii="Cambria" w:hAnsi="Cambria"/>
                <w:b/>
                <w:sz w:val="22"/>
                <w:szCs w:val="22"/>
              </w:rPr>
              <w:t>: 18.2</w:t>
            </w:r>
          </w:p>
          <w:p w:rsidR="00915EEE" w:rsidRDefault="00915EEE" w:rsidP="004F60D5">
            <w:pPr>
              <w:pStyle w:val="SingleTxtG"/>
              <w:ind w:left="0" w:right="0"/>
              <w:rPr>
                <w:rFonts w:ascii="Cambria" w:hAnsi="Cambria"/>
              </w:rPr>
            </w:pPr>
            <w:r w:rsidRPr="00331BCA">
              <w:rPr>
                <w:rFonts w:ascii="Cambria" w:hAnsi="Cambria"/>
                <w:sz w:val="22"/>
                <w:szCs w:val="22"/>
              </w:rPr>
              <w:t>A.</w:t>
            </w:r>
            <w:r>
              <w:rPr>
                <w:rFonts w:ascii="Cambria" w:hAnsi="Cambria"/>
                <w:b/>
                <w:sz w:val="22"/>
                <w:szCs w:val="22"/>
              </w:rPr>
              <w:t xml:space="preserve"> </w:t>
            </w:r>
            <w:r w:rsidRPr="00331BCA">
              <w:rPr>
                <w:rFonts w:ascii="Cambria" w:hAnsi="Cambria"/>
              </w:rPr>
              <w:t xml:space="preserve">States have entered into treaties to </w:t>
            </w:r>
            <w:r w:rsidR="00331BCA" w:rsidRPr="00331BCA">
              <w:rPr>
                <w:rFonts w:ascii="Cambria" w:hAnsi="Cambria"/>
              </w:rPr>
              <w:t xml:space="preserve">enable greater and </w:t>
            </w:r>
            <w:proofErr w:type="gramStart"/>
            <w:r w:rsidR="00A21672">
              <w:rPr>
                <w:rFonts w:ascii="Cambria" w:hAnsi="Cambria"/>
              </w:rPr>
              <w:t>more</w:t>
            </w:r>
            <w:r w:rsidR="002F6DC5">
              <w:rPr>
                <w:rFonts w:ascii="Cambria" w:hAnsi="Cambria"/>
              </w:rPr>
              <w:t xml:space="preserve"> </w:t>
            </w:r>
            <w:r w:rsidR="00331BCA" w:rsidRPr="00331BCA">
              <w:rPr>
                <w:rFonts w:ascii="Cambria" w:hAnsi="Cambria"/>
              </w:rPr>
              <w:t>timely</w:t>
            </w:r>
            <w:proofErr w:type="gramEnd"/>
            <w:r w:rsidR="00331BCA" w:rsidRPr="00331BCA">
              <w:rPr>
                <w:rFonts w:ascii="Cambria" w:hAnsi="Cambria"/>
              </w:rPr>
              <w:t xml:space="preserve"> access to environmental information.  The “Aarhus” </w:t>
            </w:r>
            <w:r w:rsidR="00331BCA" w:rsidRPr="00331BCA">
              <w:rPr>
                <w:rFonts w:ascii="Cambria" w:hAnsi="Cambria"/>
                <w:bCs/>
              </w:rPr>
              <w:t xml:space="preserve">Convention on Access to Information, Public Participation in Decision-making and Access to Justice in Environmental Matters </w:t>
            </w:r>
            <w:r w:rsidR="00A84ACB">
              <w:rPr>
                <w:rFonts w:ascii="Cambria" w:hAnsi="Cambria"/>
                <w:bCs/>
              </w:rPr>
              <w:t xml:space="preserve">sets down </w:t>
            </w:r>
            <w:r w:rsidR="00331BCA" w:rsidRPr="00331BCA">
              <w:rPr>
                <w:rFonts w:ascii="Cambria" w:hAnsi="Cambria" w:cs="Arial"/>
              </w:rPr>
              <w:t xml:space="preserve">basic rules to promote the involvement of citizens in environmental matters and improve </w:t>
            </w:r>
            <w:r w:rsidR="00331BCA">
              <w:rPr>
                <w:rFonts w:ascii="Cambria" w:hAnsi="Cambria" w:cs="Arial"/>
              </w:rPr>
              <w:t>enforcement of environmental standards and</w:t>
            </w:r>
            <w:r w:rsidR="00A84ACB">
              <w:rPr>
                <w:rFonts w:ascii="Cambria" w:hAnsi="Cambria" w:cs="Arial"/>
              </w:rPr>
              <w:t xml:space="preserve">, by applying a non-discrimination principle (i.e. as regards the nationality or citizenship of </w:t>
            </w:r>
            <w:r w:rsidR="00331BCA">
              <w:rPr>
                <w:rFonts w:ascii="Cambria" w:hAnsi="Cambria" w:cs="Arial"/>
              </w:rPr>
              <w:t xml:space="preserve"> </w:t>
            </w:r>
            <w:r w:rsidR="00A84ACB">
              <w:rPr>
                <w:rFonts w:ascii="Cambria" w:hAnsi="Cambria" w:cs="Arial"/>
              </w:rPr>
              <w:t>applicants for information)</w:t>
            </w:r>
            <w:r w:rsidR="00CC54CA">
              <w:rPr>
                <w:rFonts w:ascii="Cambria" w:hAnsi="Cambria" w:cs="Arial"/>
              </w:rPr>
              <w:t>,</w:t>
            </w:r>
            <w:r w:rsidR="00A84ACB">
              <w:rPr>
                <w:rFonts w:ascii="Cambria" w:hAnsi="Cambria" w:cs="Arial"/>
              </w:rPr>
              <w:t xml:space="preserve"> </w:t>
            </w:r>
            <w:r w:rsidR="00331BCA">
              <w:rPr>
                <w:rFonts w:ascii="Cambria" w:hAnsi="Cambria" w:cs="Arial"/>
              </w:rPr>
              <w:t>creates a framework for cross-border access to environmental information</w:t>
            </w:r>
            <w:r w:rsidR="00CC54CA">
              <w:rPr>
                <w:rFonts w:ascii="Cambria" w:hAnsi="Cambria" w:cs="Arial"/>
              </w:rPr>
              <w:t>;</w:t>
            </w:r>
          </w:p>
          <w:p w:rsidR="00B52A61" w:rsidRDefault="00A84ACB" w:rsidP="00A84ACB">
            <w:pPr>
              <w:pStyle w:val="SingleTxtG"/>
              <w:ind w:left="0" w:right="0"/>
              <w:rPr>
                <w:rFonts w:ascii="Cambria" w:hAnsi="Cambria"/>
                <w:b/>
                <w:sz w:val="22"/>
                <w:szCs w:val="22"/>
              </w:rPr>
            </w:pPr>
            <w:r>
              <w:rPr>
                <w:rFonts w:ascii="Cambria" w:hAnsi="Cambria"/>
              </w:rPr>
              <w:t>B</w:t>
            </w:r>
            <w:r w:rsidR="00915EEE" w:rsidRPr="00915EEE">
              <w:rPr>
                <w:rFonts w:ascii="Cambria" w:hAnsi="Cambria"/>
              </w:rPr>
              <w:t xml:space="preserve">. International theme or sector-based networks of regulators provide potential forums for discussion and exchanges of good practices in relation to issues such as data protection, protection of victims and their </w:t>
            </w:r>
            <w:r w:rsidR="00915EEE" w:rsidRPr="00331BCA">
              <w:rPr>
                <w:rFonts w:ascii="Cambria" w:hAnsi="Cambria"/>
              </w:rPr>
              <w:t>legal representatives, protection of whistle-blowers and legitimate requirements of commercial confidentiality.</w:t>
            </w:r>
          </w:p>
        </w:tc>
      </w:tr>
    </w:tbl>
    <w:p w:rsidR="00A364A0" w:rsidRDefault="00A364A0" w:rsidP="008B11B2">
      <w:pPr>
        <w:pStyle w:val="Heading2"/>
      </w:pPr>
    </w:p>
    <w:p w:rsidR="008B11B2" w:rsidRDefault="008B11B2" w:rsidP="008B11B2">
      <w:pPr>
        <w:pStyle w:val="Heading2"/>
      </w:pPr>
      <w:r w:rsidRPr="008B11B2">
        <w:t xml:space="preserve">Private law remedies </w:t>
      </w:r>
    </w:p>
    <w:p w:rsidR="008B11B2" w:rsidRPr="008B11B2" w:rsidRDefault="008B11B2" w:rsidP="008B11B2"/>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19: Private law remedies consequent upon a determination of corporate legal liability offer the prospect of an effective remedy for the relevant abuse and/or harm.</w:t>
            </w:r>
          </w:p>
        </w:tc>
      </w:tr>
    </w:tbl>
    <w:p w:rsidR="008B11B2" w:rsidRP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19.1</w:t>
      </w:r>
      <w:r w:rsidRPr="008B11B2">
        <w:rPr>
          <w:rFonts w:ascii="Cambria" w:hAnsi="Cambria"/>
          <w:b/>
          <w:sz w:val="22"/>
          <w:szCs w:val="22"/>
        </w:rPr>
        <w:tab/>
        <w:t xml:space="preserve">Judicial bodies have the authority and ability, in law and in practice, to award a range of remedies in private law cases arising from business-related human rights abuses that may include monetary damages and/or non-monetary remedial measures, such as orders for restitution, measures to assist with the rehabilitation of victims </w:t>
      </w:r>
      <w:r w:rsidRPr="008B11B2">
        <w:rPr>
          <w:rFonts w:ascii="Cambria" w:hAnsi="Cambria"/>
          <w:b/>
          <w:sz w:val="22"/>
          <w:szCs w:val="22"/>
        </w:rPr>
        <w:lastRenderedPageBreak/>
        <w:t>and/or resources, satisfaction (e.g. public apologies) and guarantees of non-repetition (e.g. mandated compliance programmes, education and training).</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D8730E" w:rsidRDefault="00B52A61" w:rsidP="004F60D5">
            <w:pPr>
              <w:pStyle w:val="SingleTxtG"/>
              <w:ind w:left="0" w:right="0"/>
              <w:rPr>
                <w:rFonts w:ascii="Cambria" w:hAnsi="Cambria"/>
                <w:b/>
              </w:rPr>
            </w:pPr>
            <w:r>
              <w:rPr>
                <w:rFonts w:ascii="Cambria" w:hAnsi="Cambria"/>
                <w:b/>
                <w:sz w:val="22"/>
                <w:szCs w:val="22"/>
              </w:rPr>
              <w:t>Illustrative example</w:t>
            </w:r>
            <w:r w:rsidR="00D8730E">
              <w:rPr>
                <w:rFonts w:ascii="Cambria" w:hAnsi="Cambria"/>
                <w:b/>
                <w:sz w:val="22"/>
                <w:szCs w:val="22"/>
              </w:rPr>
              <w:t>s</w:t>
            </w:r>
            <w:r>
              <w:rPr>
                <w:rFonts w:ascii="Cambria" w:hAnsi="Cambria"/>
                <w:b/>
                <w:sz w:val="22"/>
                <w:szCs w:val="22"/>
              </w:rPr>
              <w:t>: 19.1</w:t>
            </w:r>
          </w:p>
          <w:p w:rsidR="000F6C8A" w:rsidRDefault="00D8730E" w:rsidP="00A21672">
            <w:pPr>
              <w:pStyle w:val="SingleTxtG"/>
              <w:ind w:left="0" w:right="0"/>
              <w:rPr>
                <w:rFonts w:ascii="Cambria" w:hAnsi="Cambria"/>
              </w:rPr>
            </w:pPr>
            <w:r w:rsidRPr="00A21672">
              <w:rPr>
                <w:rFonts w:ascii="Cambria" w:hAnsi="Cambria"/>
              </w:rPr>
              <w:t>A.</w:t>
            </w:r>
            <w:r w:rsidR="00A21672" w:rsidRPr="00A21672">
              <w:rPr>
                <w:rFonts w:ascii="Cambria" w:hAnsi="Cambria"/>
              </w:rPr>
              <w:t xml:space="preserve"> Where remedies are obtained in private law cases these are most likely to be compensatory monetary </w:t>
            </w:r>
            <w:r w:rsidR="00A21672" w:rsidRPr="005B2626">
              <w:rPr>
                <w:rFonts w:ascii="Cambria" w:hAnsi="Cambria"/>
              </w:rPr>
              <w:t>damages.</w:t>
            </w:r>
          </w:p>
          <w:p w:rsidR="00B52A61" w:rsidRPr="005B2626" w:rsidRDefault="000F6C8A" w:rsidP="00A21672">
            <w:pPr>
              <w:pStyle w:val="SingleTxtG"/>
              <w:ind w:left="0" w:right="0"/>
              <w:rPr>
                <w:rFonts w:ascii="Cambria" w:hAnsi="Cambria"/>
              </w:rPr>
            </w:pPr>
            <w:r>
              <w:rPr>
                <w:rFonts w:ascii="Cambria" w:hAnsi="Cambria"/>
              </w:rPr>
              <w:t xml:space="preserve">B. </w:t>
            </w:r>
            <w:r w:rsidR="00A21672" w:rsidRPr="005B2626">
              <w:rPr>
                <w:rFonts w:ascii="Cambria" w:hAnsi="Cambria"/>
              </w:rPr>
              <w:t xml:space="preserve">However, </w:t>
            </w:r>
            <w:r>
              <w:rPr>
                <w:rFonts w:ascii="Cambria" w:hAnsi="Cambria"/>
              </w:rPr>
              <w:t xml:space="preserve">examples of </w:t>
            </w:r>
            <w:r w:rsidR="00A21672" w:rsidRPr="005B2626">
              <w:rPr>
                <w:rFonts w:ascii="Cambria" w:hAnsi="Cambria"/>
              </w:rPr>
              <w:t xml:space="preserve">alternative </w:t>
            </w:r>
            <w:r w:rsidR="00C23D11">
              <w:rPr>
                <w:rFonts w:ascii="Cambria" w:hAnsi="Cambria"/>
              </w:rPr>
              <w:t xml:space="preserve">private law </w:t>
            </w:r>
            <w:r w:rsidR="00A21672" w:rsidRPr="005B2626">
              <w:rPr>
                <w:rFonts w:ascii="Cambria" w:hAnsi="Cambria"/>
              </w:rPr>
              <w:t xml:space="preserve">remedies </w:t>
            </w:r>
            <w:r>
              <w:rPr>
                <w:rFonts w:ascii="Cambria" w:hAnsi="Cambria"/>
              </w:rPr>
              <w:t>include:</w:t>
            </w:r>
          </w:p>
          <w:p w:rsidR="00A21672" w:rsidRPr="005B2626" w:rsidRDefault="00A21672" w:rsidP="00E623C2">
            <w:pPr>
              <w:pStyle w:val="SingleTxtG"/>
              <w:numPr>
                <w:ilvl w:val="0"/>
                <w:numId w:val="41"/>
              </w:numPr>
              <w:ind w:right="0"/>
              <w:rPr>
                <w:rFonts w:ascii="Cambria" w:hAnsi="Cambria"/>
              </w:rPr>
            </w:pPr>
            <w:r w:rsidRPr="005B2626">
              <w:rPr>
                <w:rFonts w:ascii="Cambria" w:hAnsi="Cambria"/>
              </w:rPr>
              <w:t>establishment of tailored remediation programmes</w:t>
            </w:r>
            <w:r w:rsidR="00C23D11">
              <w:rPr>
                <w:rFonts w:ascii="Cambria" w:hAnsi="Cambria"/>
              </w:rPr>
              <w:t>;</w:t>
            </w:r>
            <w:r w:rsidRPr="005B2626">
              <w:rPr>
                <w:rFonts w:ascii="Cambria" w:hAnsi="Cambria"/>
              </w:rPr>
              <w:t xml:space="preserve"> </w:t>
            </w:r>
          </w:p>
          <w:p w:rsidR="00A21672" w:rsidRPr="005B2626" w:rsidRDefault="00A21672" w:rsidP="00E623C2">
            <w:pPr>
              <w:pStyle w:val="SingleTxtG"/>
              <w:numPr>
                <w:ilvl w:val="0"/>
                <w:numId w:val="41"/>
              </w:numPr>
              <w:ind w:right="0"/>
              <w:rPr>
                <w:rFonts w:ascii="Cambria" w:hAnsi="Cambria"/>
              </w:rPr>
            </w:pPr>
            <w:r w:rsidRPr="005B2626">
              <w:rPr>
                <w:rFonts w:ascii="Cambria" w:hAnsi="Cambria"/>
              </w:rPr>
              <w:t>establishment of a development fund, or “trust fund” for communities;</w:t>
            </w:r>
          </w:p>
          <w:p w:rsidR="00B52A61" w:rsidRPr="00CC13F7" w:rsidRDefault="005B2626" w:rsidP="00E623C2">
            <w:pPr>
              <w:pStyle w:val="SingleTxtG"/>
              <w:numPr>
                <w:ilvl w:val="0"/>
                <w:numId w:val="41"/>
              </w:numPr>
              <w:ind w:right="0"/>
              <w:rPr>
                <w:rFonts w:ascii="Cambria" w:hAnsi="Cambria"/>
                <w:b/>
                <w:sz w:val="22"/>
                <w:szCs w:val="22"/>
              </w:rPr>
            </w:pPr>
            <w:r w:rsidRPr="005B2626">
              <w:rPr>
                <w:rFonts w:ascii="Cambria" w:hAnsi="Cambria"/>
              </w:rPr>
              <w:t>establishment of c</w:t>
            </w:r>
            <w:r w:rsidR="007A1509" w:rsidRPr="005B2626">
              <w:rPr>
                <w:rFonts w:ascii="Cambria" w:hAnsi="Cambria"/>
              </w:rPr>
              <w:t>laims</w:t>
            </w:r>
            <w:r w:rsidR="004B61F5" w:rsidRPr="005B2626">
              <w:rPr>
                <w:rFonts w:ascii="Cambria" w:hAnsi="Cambria"/>
              </w:rPr>
              <w:t xml:space="preserve"> facility fund</w:t>
            </w:r>
            <w:r w:rsidR="00CC54CA">
              <w:rPr>
                <w:rFonts w:ascii="Cambria" w:hAnsi="Cambria"/>
              </w:rPr>
              <w:t>;</w:t>
            </w:r>
          </w:p>
          <w:p w:rsidR="00CC13F7" w:rsidRPr="005B2626" w:rsidRDefault="00CC13F7" w:rsidP="00E623C2">
            <w:pPr>
              <w:pStyle w:val="SingleTxtG"/>
              <w:numPr>
                <w:ilvl w:val="0"/>
                <w:numId w:val="41"/>
              </w:numPr>
              <w:ind w:right="0"/>
              <w:rPr>
                <w:rFonts w:ascii="Cambria" w:hAnsi="Cambria"/>
                <w:b/>
                <w:sz w:val="22"/>
                <w:szCs w:val="22"/>
              </w:rPr>
            </w:pPr>
            <w:proofErr w:type="gramStart"/>
            <w:r>
              <w:rPr>
                <w:rFonts w:ascii="Cambria" w:hAnsi="Cambria"/>
              </w:rPr>
              <w:t>public</w:t>
            </w:r>
            <w:proofErr w:type="gramEnd"/>
            <w:r>
              <w:rPr>
                <w:rFonts w:ascii="Cambria" w:hAnsi="Cambria"/>
              </w:rPr>
              <w:t xml:space="preserve"> apologies; admissions of responsibility.</w:t>
            </w:r>
          </w:p>
          <w:p w:rsidR="00DA1BA6" w:rsidRDefault="00C23D11" w:rsidP="00DA1BA6">
            <w:pPr>
              <w:pStyle w:val="SingleTxtG"/>
              <w:ind w:left="0" w:right="0"/>
              <w:rPr>
                <w:rFonts w:ascii="Cambria" w:hAnsi="Cambria" w:cs="Arial"/>
              </w:rPr>
            </w:pPr>
            <w:r>
              <w:rPr>
                <w:rFonts w:ascii="Cambria" w:hAnsi="Cambria"/>
              </w:rPr>
              <w:t>C</w:t>
            </w:r>
            <w:r w:rsidR="005B2626" w:rsidRPr="00DA1BA6">
              <w:rPr>
                <w:rFonts w:ascii="Cambria" w:hAnsi="Cambria"/>
              </w:rPr>
              <w:t>. For examples as to further alternat</w:t>
            </w:r>
            <w:r>
              <w:rPr>
                <w:rFonts w:ascii="Cambria" w:hAnsi="Cambria"/>
              </w:rPr>
              <w:t xml:space="preserve">ive private law </w:t>
            </w:r>
            <w:r w:rsidR="005B2626" w:rsidRPr="00DA1BA6">
              <w:rPr>
                <w:rFonts w:ascii="Cambria" w:hAnsi="Cambria"/>
              </w:rPr>
              <w:t xml:space="preserve">remedies that may be considered in cases of serious business-related human rights abuses see </w:t>
            </w:r>
            <w:r w:rsidR="00DA1BA6" w:rsidRPr="00DA1BA6">
              <w:rPr>
                <w:rFonts w:ascii="Cambria" w:hAnsi="Cambria"/>
              </w:rPr>
              <w:t xml:space="preserve">the </w:t>
            </w:r>
            <w:r w:rsidR="00DA1BA6" w:rsidRPr="00DA1BA6">
              <w:rPr>
                <w:rFonts w:ascii="Cambria" w:hAnsi="Cambria"/>
                <w:i/>
              </w:rPr>
              <w:t xml:space="preserve">UN </w:t>
            </w:r>
            <w:r w:rsidR="00DA1BA6" w:rsidRPr="00DA1BA6">
              <w:rPr>
                <w:rFonts w:ascii="Cambria" w:hAnsi="Cambria" w:cs="Arial"/>
                <w:i/>
              </w:rPr>
              <w:t>Basic Principles and Guidelines on the Right to a Remedy and Reparation for Victims of Gross Violations of International Human Rights Law and Serious Violations of International Humanitarian Law</w:t>
            </w:r>
            <w:r w:rsidR="00DA1BA6" w:rsidRPr="00DA1BA6">
              <w:rPr>
                <w:rFonts w:ascii="Cambria" w:hAnsi="Cambria" w:cs="Arial"/>
              </w:rPr>
              <w:t>, copy available at</w:t>
            </w:r>
          </w:p>
          <w:p w:rsidR="00DA1BA6" w:rsidRPr="00DA1BA6" w:rsidRDefault="00C71D89" w:rsidP="00DA1BA6">
            <w:pPr>
              <w:pStyle w:val="SingleTxtG"/>
              <w:ind w:left="0" w:right="0"/>
              <w:rPr>
                <w:rFonts w:ascii="Cambria" w:hAnsi="Cambria" w:cs="Arial"/>
              </w:rPr>
            </w:pPr>
            <w:hyperlink r:id="rId23" w:history="1">
              <w:r w:rsidR="00DA1BA6" w:rsidRPr="00DA1BA6">
                <w:rPr>
                  <w:rStyle w:val="Hyperlink"/>
                  <w:rFonts w:ascii="Cambria" w:hAnsi="Cambria" w:cs="Arial"/>
                </w:rPr>
                <w:t>http://www.ohchr.org/EN/ProfessionalInterest/Pages/RemedyAndReparation.aspx</w:t>
              </w:r>
            </w:hyperlink>
            <w:r w:rsidR="00DA1BA6" w:rsidRPr="00DA1BA6">
              <w:rPr>
                <w:rFonts w:ascii="Cambria" w:hAnsi="Cambria" w:cs="Arial"/>
              </w:rPr>
              <w:t>.</w:t>
            </w:r>
          </w:p>
        </w:tc>
      </w:tr>
    </w:tbl>
    <w:p w:rsidR="00B52A61" w:rsidRPr="008B11B2" w:rsidRDefault="00B52A61" w:rsidP="008B11B2">
      <w:pPr>
        <w:pStyle w:val="SingleTxtG"/>
        <w:ind w:left="0" w:right="0"/>
        <w:rPr>
          <w:rFonts w:ascii="Cambria" w:hAnsi="Cambria"/>
          <w:b/>
          <w:sz w:val="22"/>
          <w:szCs w:val="22"/>
        </w:rPr>
      </w:pPr>
    </w:p>
    <w:p w:rsidR="00DA1BA6" w:rsidRDefault="008B11B2" w:rsidP="009B481A">
      <w:pPr>
        <w:pStyle w:val="SingleTxtG"/>
        <w:ind w:left="0" w:right="0"/>
        <w:rPr>
          <w:rFonts w:ascii="Cambria" w:hAnsi="Cambria"/>
          <w:b/>
          <w:sz w:val="22"/>
          <w:szCs w:val="22"/>
        </w:rPr>
      </w:pPr>
      <w:r w:rsidRPr="008B11B2">
        <w:rPr>
          <w:rFonts w:ascii="Cambria" w:hAnsi="Cambria"/>
          <w:b/>
          <w:sz w:val="22"/>
          <w:szCs w:val="22"/>
        </w:rPr>
        <w:t>19.2</w:t>
      </w:r>
      <w:r w:rsidRPr="008B11B2">
        <w:rPr>
          <w:rFonts w:ascii="Cambria" w:hAnsi="Cambria"/>
          <w:b/>
          <w:sz w:val="22"/>
          <w:szCs w:val="22"/>
        </w:rPr>
        <w:tab/>
        <w:t>In each case, the private law remedies awarded to claimants: (a) are proportional and appropriate to the gravity of the abuse and the extent and nature of the loss and/or harm suffered; (b) may, to the extent permitted by the relevant domestic legal system, reflect the degree of culpability of the defendant company (e.g. as demonstrated by whether the company exercised appropriate human rights due diligence, the strength and effectiveness of the company’s legal compliance efforts, any history of similar conduct, whether the company responded adequately to warnings and other relevant factors); (c) are designed in such a way as to minimize the risks of repetition or continuation of the harm; and (d) take account of issues of gender and the needs of individuals or groups at heightened risk of vulnerability or marginalization.</w:t>
      </w:r>
      <w:r w:rsidR="009B481A" w:rsidDel="009B481A">
        <w:rPr>
          <w:rFonts w:ascii="Cambria" w:hAnsi="Cambria"/>
          <w:b/>
          <w:sz w:val="22"/>
          <w:szCs w:val="22"/>
        </w:rPr>
        <w:t xml:space="preserve"> </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19.3</w:t>
      </w:r>
      <w:r w:rsidRPr="008B11B2">
        <w:rPr>
          <w:rFonts w:ascii="Cambria" w:hAnsi="Cambria"/>
          <w:b/>
          <w:bCs/>
          <w:sz w:val="22"/>
          <w:szCs w:val="22"/>
        </w:rPr>
        <w:tab/>
      </w:r>
      <w:r w:rsidRPr="008B11B2">
        <w:rPr>
          <w:rFonts w:ascii="Cambria" w:hAnsi="Cambria"/>
          <w:b/>
          <w:sz w:val="22"/>
          <w:szCs w:val="22"/>
        </w:rPr>
        <w:t xml:space="preserve">Claimants are consulted with respect to the design and implementation of private law remedies and with respect to the terms of any settlement. Such consultation takes account of gender issues and the needs of individuals or groups at heightened risk of vulnerability or marginalization. </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19.3</w:t>
            </w:r>
          </w:p>
          <w:p w:rsidR="008C174B" w:rsidRDefault="00AD707B" w:rsidP="004F60D5">
            <w:pPr>
              <w:pStyle w:val="SingleTxtG"/>
              <w:ind w:left="0" w:right="0"/>
              <w:rPr>
                <w:rFonts w:ascii="Cambria" w:hAnsi="Cambria"/>
              </w:rPr>
            </w:pPr>
            <w:r>
              <w:rPr>
                <w:rFonts w:ascii="Cambria" w:hAnsi="Cambria"/>
              </w:rPr>
              <w:t xml:space="preserve">A. Measures to contribute to the understanding of </w:t>
            </w:r>
            <w:r w:rsidR="008C174B" w:rsidRPr="008C174B">
              <w:rPr>
                <w:rFonts w:ascii="Cambria" w:hAnsi="Cambria"/>
              </w:rPr>
              <w:t>gender issues and the needs of individuals or groups at heightened risk of vulnerability or marginalization</w:t>
            </w:r>
            <w:r>
              <w:rPr>
                <w:rFonts w:ascii="Cambria" w:hAnsi="Cambria"/>
              </w:rPr>
              <w:t xml:space="preserve"> </w:t>
            </w:r>
            <w:r w:rsidR="00D42DB9">
              <w:rPr>
                <w:rFonts w:ascii="Cambria" w:hAnsi="Cambria"/>
              </w:rPr>
              <w:t xml:space="preserve">are likely to </w:t>
            </w:r>
            <w:r>
              <w:rPr>
                <w:rFonts w:ascii="Cambria" w:hAnsi="Cambria"/>
              </w:rPr>
              <w:t>include;</w:t>
            </w:r>
          </w:p>
          <w:p w:rsidR="00AD707B" w:rsidRDefault="00D42DB9" w:rsidP="00E623C2">
            <w:pPr>
              <w:pStyle w:val="SingleTxtG"/>
              <w:numPr>
                <w:ilvl w:val="0"/>
                <w:numId w:val="42"/>
              </w:numPr>
              <w:ind w:right="0"/>
              <w:rPr>
                <w:rFonts w:ascii="Cambria" w:hAnsi="Cambria"/>
              </w:rPr>
            </w:pPr>
            <w:r>
              <w:rPr>
                <w:rFonts w:ascii="Cambria" w:hAnsi="Cambria"/>
              </w:rPr>
              <w:t>proactive sharing of information and outreach</w:t>
            </w:r>
            <w:r w:rsidR="00315AEB">
              <w:rPr>
                <w:rFonts w:ascii="Cambria" w:hAnsi="Cambria"/>
              </w:rPr>
              <w:t xml:space="preserve"> in an appropriate and accessible formats and in appropriate languages</w:t>
            </w:r>
            <w:r>
              <w:rPr>
                <w:rFonts w:ascii="Cambria" w:hAnsi="Cambria"/>
              </w:rPr>
              <w:t>;</w:t>
            </w:r>
          </w:p>
          <w:p w:rsidR="00315AEB" w:rsidRDefault="008627A7" w:rsidP="00E623C2">
            <w:pPr>
              <w:pStyle w:val="SingleTxtG"/>
              <w:numPr>
                <w:ilvl w:val="0"/>
                <w:numId w:val="42"/>
              </w:numPr>
              <w:ind w:right="0"/>
              <w:rPr>
                <w:rFonts w:ascii="Cambria" w:hAnsi="Cambria"/>
              </w:rPr>
            </w:pPr>
            <w:r>
              <w:rPr>
                <w:rFonts w:ascii="Cambria" w:hAnsi="Cambria"/>
              </w:rPr>
              <w:t xml:space="preserve">prior </w:t>
            </w:r>
            <w:r w:rsidR="00D42DB9">
              <w:rPr>
                <w:rFonts w:ascii="Cambria" w:hAnsi="Cambria"/>
              </w:rPr>
              <w:t>consultation with relevant local experts and civil society organisations</w:t>
            </w:r>
            <w:r w:rsidR="00315AEB">
              <w:rPr>
                <w:rFonts w:ascii="Cambria" w:hAnsi="Cambria"/>
              </w:rPr>
              <w:t>;</w:t>
            </w:r>
          </w:p>
          <w:p w:rsidR="00D42DB9" w:rsidRDefault="00315AEB" w:rsidP="00E623C2">
            <w:pPr>
              <w:pStyle w:val="SingleTxtG"/>
              <w:numPr>
                <w:ilvl w:val="0"/>
                <w:numId w:val="42"/>
              </w:numPr>
              <w:ind w:right="0"/>
              <w:rPr>
                <w:rFonts w:ascii="Cambria" w:hAnsi="Cambria"/>
              </w:rPr>
            </w:pPr>
            <w:r>
              <w:rPr>
                <w:rFonts w:ascii="Cambria" w:hAnsi="Cambria"/>
              </w:rPr>
              <w:t>steps to ensure respect for dignity of relevant individuals and communities</w:t>
            </w:r>
            <w:r w:rsidR="00D42DB9">
              <w:rPr>
                <w:rFonts w:ascii="Cambria" w:hAnsi="Cambria"/>
              </w:rPr>
              <w:t>;</w:t>
            </w:r>
          </w:p>
          <w:p w:rsidR="00315AEB" w:rsidRDefault="00315AEB" w:rsidP="00E623C2">
            <w:pPr>
              <w:pStyle w:val="SingleTxtG"/>
              <w:numPr>
                <w:ilvl w:val="0"/>
                <w:numId w:val="42"/>
              </w:numPr>
              <w:ind w:right="0"/>
              <w:rPr>
                <w:rFonts w:ascii="Cambria" w:hAnsi="Cambria"/>
              </w:rPr>
            </w:pPr>
            <w:r>
              <w:rPr>
                <w:rFonts w:ascii="Cambria" w:hAnsi="Cambria"/>
              </w:rPr>
              <w:t>steps to ensure understanding of relevant decision-making structures;</w:t>
            </w:r>
          </w:p>
          <w:p w:rsidR="00315AEB" w:rsidRDefault="00315AEB" w:rsidP="00E623C2">
            <w:pPr>
              <w:pStyle w:val="SingleTxtG"/>
              <w:numPr>
                <w:ilvl w:val="0"/>
                <w:numId w:val="42"/>
              </w:numPr>
              <w:ind w:right="0"/>
              <w:rPr>
                <w:rFonts w:ascii="Cambria" w:hAnsi="Cambria"/>
              </w:rPr>
            </w:pPr>
            <w:r>
              <w:rPr>
                <w:rFonts w:ascii="Cambria" w:hAnsi="Cambria"/>
              </w:rPr>
              <w:t>steps to identify all relevant representatives (individual and institutional)</w:t>
            </w:r>
            <w:r w:rsidR="008627A7">
              <w:rPr>
                <w:rFonts w:ascii="Cambria" w:hAnsi="Cambria"/>
              </w:rPr>
              <w:t xml:space="preserve"> with authority to negotiate on behalf of communities</w:t>
            </w:r>
            <w:r w:rsidR="00CC54CA">
              <w:rPr>
                <w:rFonts w:ascii="Cambria" w:hAnsi="Cambria"/>
              </w:rPr>
              <w:t>;</w:t>
            </w:r>
          </w:p>
          <w:p w:rsidR="00B52A61" w:rsidRPr="008627A7" w:rsidRDefault="00B647C3" w:rsidP="00CC54CA">
            <w:pPr>
              <w:pStyle w:val="SingleTxtG"/>
              <w:numPr>
                <w:ilvl w:val="0"/>
                <w:numId w:val="42"/>
              </w:numPr>
              <w:ind w:right="0"/>
              <w:rPr>
                <w:rFonts w:ascii="Cambria" w:hAnsi="Cambria"/>
              </w:rPr>
            </w:pPr>
            <w:proofErr w:type="gramStart"/>
            <w:r>
              <w:rPr>
                <w:rFonts w:ascii="Cambria" w:hAnsi="Cambria"/>
              </w:rPr>
              <w:t>steps</w:t>
            </w:r>
            <w:proofErr w:type="gramEnd"/>
            <w:r>
              <w:rPr>
                <w:rFonts w:ascii="Cambria" w:hAnsi="Cambria"/>
              </w:rPr>
              <w:t xml:space="preserve"> to understand the interests and needs of different groups within the community.</w:t>
            </w:r>
          </w:p>
        </w:tc>
      </w:tr>
    </w:tbl>
    <w:p w:rsidR="00B52A61" w:rsidRPr="008B11B2" w:rsidRDefault="00B52A61" w:rsidP="008B11B2">
      <w:pPr>
        <w:pStyle w:val="SingleTxtG"/>
        <w:ind w:left="0" w:right="0"/>
        <w:rPr>
          <w:rFonts w:ascii="Cambria" w:hAnsi="Cambria"/>
          <w:b/>
          <w:sz w:val="22"/>
          <w:szCs w:val="22"/>
        </w:rPr>
      </w:pPr>
    </w:p>
    <w:p w:rsidR="00B52A61" w:rsidRPr="008B11B2" w:rsidRDefault="008B11B2" w:rsidP="008B11B2">
      <w:pPr>
        <w:pStyle w:val="SingleTxtG"/>
        <w:ind w:left="0" w:right="0"/>
        <w:rPr>
          <w:rFonts w:ascii="Cambria" w:hAnsi="Cambria"/>
          <w:b/>
          <w:sz w:val="22"/>
          <w:szCs w:val="22"/>
        </w:rPr>
      </w:pPr>
      <w:r w:rsidRPr="008B11B2">
        <w:rPr>
          <w:rFonts w:ascii="Cambria" w:hAnsi="Cambria"/>
          <w:b/>
          <w:sz w:val="22"/>
          <w:szCs w:val="22"/>
        </w:rPr>
        <w:lastRenderedPageBreak/>
        <w:t>19.4</w:t>
      </w:r>
      <w:r w:rsidRPr="008B11B2">
        <w:rPr>
          <w:rFonts w:ascii="Cambria" w:hAnsi="Cambria"/>
          <w:b/>
          <w:sz w:val="22"/>
          <w:szCs w:val="22"/>
        </w:rPr>
        <w:tab/>
        <w:t>Judicial bodies and/or relevant State agencies monitor a company’s implementation of private law remedies in an appropriate fashion and ensure that there is an effective mechanism by which interested persons can report and/or raise a complaint regarding and/or seek remedial action with respect to any non-implementation of such remedies.</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19.5</w:t>
      </w:r>
      <w:r w:rsidRPr="008B11B2">
        <w:rPr>
          <w:rFonts w:ascii="Cambria" w:hAnsi="Cambria"/>
          <w:b/>
          <w:sz w:val="22"/>
          <w:szCs w:val="22"/>
        </w:rPr>
        <w:tab/>
        <w:t>The domestic legal system does not permit the tax deductibility of amounts paid as monetary damages following a determination of corporate legal liability in cases arising from business-related human rights abuses.</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19.6</w:t>
      </w:r>
      <w:r w:rsidRPr="008B11B2">
        <w:rPr>
          <w:rFonts w:ascii="Cambria" w:hAnsi="Cambria"/>
          <w:b/>
          <w:bCs/>
          <w:sz w:val="22"/>
          <w:szCs w:val="22"/>
        </w:rPr>
        <w:tab/>
      </w:r>
      <w:r w:rsidRPr="008B11B2">
        <w:rPr>
          <w:rFonts w:ascii="Cambria" w:hAnsi="Cambria"/>
          <w:b/>
          <w:sz w:val="22"/>
          <w:szCs w:val="22"/>
        </w:rPr>
        <w:t>The domestic legal system ensures, through appropriate regulation, guidance or professional standards, that monetary damages are distributed among members of affected groups of claimants in a fair, transparent and non-discriminatory way, taking into account gender issues and the needs of individuals or groups at heightened risk or vulnerability or marginalization.</w:t>
      </w:r>
    </w:p>
    <w:tbl>
      <w:tblPr>
        <w:tblStyle w:val="TableGrid"/>
        <w:tblW w:w="0" w:type="auto"/>
        <w:tblLook w:val="04A0" w:firstRow="1" w:lastRow="0" w:firstColumn="1" w:lastColumn="0" w:noHBand="0" w:noVBand="1"/>
      </w:tblPr>
      <w:tblGrid>
        <w:gridCol w:w="9236"/>
      </w:tblGrid>
      <w:tr w:rsidR="00B52A61" w:rsidRPr="008627A7" w:rsidTr="004F60D5">
        <w:tc>
          <w:tcPr>
            <w:tcW w:w="9236" w:type="dxa"/>
            <w:shd w:val="clear" w:color="auto" w:fill="C5E0B3" w:themeFill="accent6" w:themeFillTint="66"/>
          </w:tcPr>
          <w:p w:rsidR="008627A7" w:rsidRDefault="00B52A61" w:rsidP="002132C5">
            <w:pPr>
              <w:pStyle w:val="SingleTxtG"/>
              <w:ind w:left="0" w:right="0"/>
              <w:rPr>
                <w:rFonts w:ascii="Cambria" w:hAnsi="Cambria"/>
                <w:b/>
              </w:rPr>
            </w:pPr>
            <w:r w:rsidRPr="008627A7">
              <w:rPr>
                <w:rFonts w:ascii="Cambria" w:hAnsi="Cambria"/>
                <w:b/>
              </w:rPr>
              <w:t>Illustrative example</w:t>
            </w:r>
            <w:r w:rsidR="00CC54CA">
              <w:rPr>
                <w:rFonts w:ascii="Cambria" w:hAnsi="Cambria"/>
                <w:b/>
              </w:rPr>
              <w:t>s</w:t>
            </w:r>
            <w:r w:rsidRPr="008627A7">
              <w:rPr>
                <w:rFonts w:ascii="Cambria" w:hAnsi="Cambria"/>
                <w:b/>
              </w:rPr>
              <w:t>: 19.6</w:t>
            </w:r>
          </w:p>
          <w:p w:rsidR="008627A7" w:rsidRPr="008627A7" w:rsidRDefault="008627A7" w:rsidP="002132C5">
            <w:pPr>
              <w:pStyle w:val="SingleTxtG"/>
              <w:ind w:left="0" w:right="0"/>
              <w:rPr>
                <w:rFonts w:ascii="Cambria" w:hAnsi="Cambria"/>
              </w:rPr>
            </w:pPr>
            <w:r w:rsidRPr="008627A7">
              <w:rPr>
                <w:rFonts w:ascii="Cambria" w:hAnsi="Cambria"/>
              </w:rPr>
              <w:t xml:space="preserve">A. </w:t>
            </w:r>
            <w:r w:rsidR="00CC54CA">
              <w:rPr>
                <w:rFonts w:ascii="Cambria" w:hAnsi="Cambria"/>
              </w:rPr>
              <w:t>Matters to cover in regulatory or professional standards include the following;</w:t>
            </w:r>
          </w:p>
          <w:p w:rsidR="008627A7" w:rsidRPr="008627A7" w:rsidRDefault="00CC54CA" w:rsidP="00E623C2">
            <w:pPr>
              <w:pStyle w:val="SingleTxtG"/>
              <w:numPr>
                <w:ilvl w:val="0"/>
                <w:numId w:val="43"/>
              </w:numPr>
              <w:ind w:right="0"/>
              <w:rPr>
                <w:rFonts w:ascii="Cambria" w:hAnsi="Cambria"/>
              </w:rPr>
            </w:pPr>
            <w:r>
              <w:rPr>
                <w:rFonts w:ascii="Cambria" w:hAnsi="Cambria"/>
              </w:rPr>
              <w:t>a</w:t>
            </w:r>
            <w:r w:rsidR="008627A7" w:rsidRPr="008627A7">
              <w:rPr>
                <w:rFonts w:ascii="Cambria" w:hAnsi="Cambria"/>
              </w:rPr>
              <w:t>ppropriate and adequate publicity with respect to the fact of the award or the settlement to all members of the affected class, transmitted in an appropriate and accessible form  and in all relevant languages;</w:t>
            </w:r>
          </w:p>
          <w:p w:rsidR="00B647C3" w:rsidRDefault="00CC54CA" w:rsidP="00E623C2">
            <w:pPr>
              <w:pStyle w:val="SingleTxtG"/>
              <w:numPr>
                <w:ilvl w:val="0"/>
                <w:numId w:val="43"/>
              </w:numPr>
              <w:ind w:right="0"/>
              <w:rPr>
                <w:rFonts w:ascii="Cambria" w:hAnsi="Cambria"/>
              </w:rPr>
            </w:pPr>
            <w:r>
              <w:rPr>
                <w:rFonts w:ascii="Cambria" w:hAnsi="Cambria"/>
              </w:rPr>
              <w:t>j</w:t>
            </w:r>
            <w:r w:rsidR="008627A7" w:rsidRPr="008627A7">
              <w:rPr>
                <w:rFonts w:ascii="Cambria" w:hAnsi="Cambria"/>
              </w:rPr>
              <w:t>udicial oversight or review of settlement terms</w:t>
            </w:r>
            <w:r w:rsidR="008627A7">
              <w:rPr>
                <w:rFonts w:ascii="Cambria" w:hAnsi="Cambria"/>
              </w:rPr>
              <w:t xml:space="preserve"> for fairness and adequacy, taking account of all the relevant circumstances</w:t>
            </w:r>
            <w:r w:rsidR="00B647C3">
              <w:rPr>
                <w:rFonts w:ascii="Cambria" w:hAnsi="Cambria"/>
              </w:rPr>
              <w:t>;</w:t>
            </w:r>
          </w:p>
          <w:p w:rsidR="00B647C3" w:rsidRDefault="00CC54CA" w:rsidP="00E623C2">
            <w:pPr>
              <w:pStyle w:val="SingleTxtG"/>
              <w:numPr>
                <w:ilvl w:val="0"/>
                <w:numId w:val="43"/>
              </w:numPr>
              <w:ind w:right="0"/>
              <w:rPr>
                <w:rFonts w:ascii="Cambria" w:hAnsi="Cambria"/>
              </w:rPr>
            </w:pPr>
            <w:r>
              <w:rPr>
                <w:rFonts w:ascii="Cambria" w:hAnsi="Cambria"/>
              </w:rPr>
              <w:t>a</w:t>
            </w:r>
            <w:r w:rsidR="00B647C3">
              <w:rPr>
                <w:rFonts w:ascii="Cambria" w:hAnsi="Cambria"/>
              </w:rPr>
              <w:t>ppointment of suitably qualified and suitably vetted person</w:t>
            </w:r>
            <w:r>
              <w:rPr>
                <w:rFonts w:ascii="Cambria" w:hAnsi="Cambria"/>
              </w:rPr>
              <w:t>s</w:t>
            </w:r>
            <w:r w:rsidR="00B647C3">
              <w:rPr>
                <w:rFonts w:ascii="Cambria" w:hAnsi="Cambria"/>
              </w:rPr>
              <w:t xml:space="preserve"> to administer process of distribution of funds;</w:t>
            </w:r>
          </w:p>
          <w:p w:rsidR="00B647C3" w:rsidRDefault="00CC54CA" w:rsidP="00E623C2">
            <w:pPr>
              <w:pStyle w:val="SingleTxtG"/>
              <w:numPr>
                <w:ilvl w:val="0"/>
                <w:numId w:val="43"/>
              </w:numPr>
              <w:ind w:right="0"/>
              <w:rPr>
                <w:rFonts w:ascii="Cambria" w:hAnsi="Cambria"/>
              </w:rPr>
            </w:pPr>
            <w:r>
              <w:rPr>
                <w:rFonts w:ascii="Cambria" w:hAnsi="Cambria"/>
              </w:rPr>
              <w:t>e</w:t>
            </w:r>
            <w:r w:rsidR="00B647C3">
              <w:rPr>
                <w:rFonts w:ascii="Cambria" w:hAnsi="Cambria"/>
              </w:rPr>
              <w:t xml:space="preserve">stablishment of consultative committee to develop methodologies and </w:t>
            </w:r>
            <w:r>
              <w:rPr>
                <w:rFonts w:ascii="Cambria" w:hAnsi="Cambria"/>
              </w:rPr>
              <w:t>terms for distribution of funds;</w:t>
            </w:r>
          </w:p>
          <w:p w:rsidR="002132C5" w:rsidRDefault="00CC54CA" w:rsidP="00E623C2">
            <w:pPr>
              <w:pStyle w:val="SingleTxtG"/>
              <w:numPr>
                <w:ilvl w:val="0"/>
                <w:numId w:val="43"/>
              </w:numPr>
              <w:ind w:right="0"/>
              <w:rPr>
                <w:rFonts w:ascii="Cambria" w:hAnsi="Cambria"/>
              </w:rPr>
            </w:pPr>
            <w:r>
              <w:rPr>
                <w:rFonts w:ascii="Cambria" w:hAnsi="Cambria"/>
              </w:rPr>
              <w:t>d</w:t>
            </w:r>
            <w:r w:rsidR="00B647C3">
              <w:rPr>
                <w:rFonts w:ascii="Cambria" w:hAnsi="Cambria"/>
              </w:rPr>
              <w:t xml:space="preserve">evelopment of an appropriate methodology for distribution, in consultation with representatives of class members, which </w:t>
            </w:r>
            <w:r>
              <w:rPr>
                <w:rFonts w:ascii="Cambria" w:hAnsi="Cambria"/>
              </w:rPr>
              <w:t>is then made publicly available;</w:t>
            </w:r>
          </w:p>
          <w:p w:rsidR="00B647C3" w:rsidRDefault="00CC54CA" w:rsidP="00E623C2">
            <w:pPr>
              <w:pStyle w:val="SingleTxtG"/>
              <w:numPr>
                <w:ilvl w:val="0"/>
                <w:numId w:val="43"/>
              </w:numPr>
              <w:ind w:right="0"/>
              <w:rPr>
                <w:rFonts w:ascii="Cambria" w:hAnsi="Cambria"/>
              </w:rPr>
            </w:pPr>
            <w:proofErr w:type="gramStart"/>
            <w:r>
              <w:rPr>
                <w:rFonts w:ascii="Cambria" w:hAnsi="Cambria"/>
              </w:rPr>
              <w:t>p</w:t>
            </w:r>
            <w:r w:rsidR="003B7116">
              <w:rPr>
                <w:rFonts w:ascii="Cambria" w:hAnsi="Cambria"/>
              </w:rPr>
              <w:t>ublic</w:t>
            </w:r>
            <w:proofErr w:type="gramEnd"/>
            <w:r w:rsidR="003B7116">
              <w:rPr>
                <w:rFonts w:ascii="Cambria" w:hAnsi="Cambria"/>
              </w:rPr>
              <w:t xml:space="preserve"> c</w:t>
            </w:r>
            <w:r w:rsidR="00B647C3">
              <w:rPr>
                <w:rFonts w:ascii="Cambria" w:hAnsi="Cambria"/>
              </w:rPr>
              <w:t>all</w:t>
            </w:r>
            <w:r w:rsidR="003B7116">
              <w:rPr>
                <w:rFonts w:ascii="Cambria" w:hAnsi="Cambria"/>
              </w:rPr>
              <w:t>s</w:t>
            </w:r>
            <w:r w:rsidR="00B647C3">
              <w:rPr>
                <w:rFonts w:ascii="Cambria" w:hAnsi="Cambria"/>
              </w:rPr>
              <w:t xml:space="preserve"> for claims against fund, ensuring simplicity of process and accessibility of information (e.g.  outreach may include web-site with on-line claim forms, media ad</w:t>
            </w:r>
            <w:r>
              <w:rPr>
                <w:rFonts w:ascii="Cambria" w:hAnsi="Cambria"/>
              </w:rPr>
              <w:t>vertisements, toll free numbers);</w:t>
            </w:r>
          </w:p>
          <w:p w:rsidR="00B52A61" w:rsidRPr="008627A7" w:rsidRDefault="00CC54CA" w:rsidP="00CC54CA">
            <w:pPr>
              <w:pStyle w:val="SingleTxtG"/>
              <w:numPr>
                <w:ilvl w:val="0"/>
                <w:numId w:val="43"/>
              </w:numPr>
              <w:ind w:right="0"/>
              <w:rPr>
                <w:rFonts w:ascii="Cambria" w:hAnsi="Cambria"/>
                <w:b/>
              </w:rPr>
            </w:pPr>
            <w:proofErr w:type="gramStart"/>
            <w:r>
              <w:rPr>
                <w:rFonts w:ascii="Cambria" w:hAnsi="Cambria"/>
              </w:rPr>
              <w:t>a</w:t>
            </w:r>
            <w:r w:rsidR="00B647C3">
              <w:rPr>
                <w:rFonts w:ascii="Cambria" w:hAnsi="Cambria"/>
              </w:rPr>
              <w:t>rrangements</w:t>
            </w:r>
            <w:proofErr w:type="gramEnd"/>
            <w:r w:rsidR="00B647C3">
              <w:rPr>
                <w:rFonts w:ascii="Cambria" w:hAnsi="Cambria"/>
              </w:rPr>
              <w:t xml:space="preserve"> for provision of independent information and advice, including financial advice, taking steps to ensure that such providers have the trust of affected persons and communities.</w:t>
            </w:r>
          </w:p>
        </w:tc>
      </w:tr>
    </w:tbl>
    <w:p w:rsidR="00F205B6" w:rsidRPr="008627A7" w:rsidRDefault="00F205B6" w:rsidP="008B11B2">
      <w:pPr>
        <w:rPr>
          <w:sz w:val="20"/>
          <w:szCs w:val="20"/>
        </w:rPr>
      </w:pPr>
    </w:p>
    <w:sectPr w:rsidR="00F205B6" w:rsidRPr="008627A7" w:rsidSect="008B11B2">
      <w:footerReference w:type="default" r:id="rId24"/>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AF" w:rsidRDefault="00B64DAF" w:rsidP="008B11B2">
      <w:r>
        <w:separator/>
      </w:r>
    </w:p>
  </w:endnote>
  <w:endnote w:type="continuationSeparator" w:id="0">
    <w:p w:rsidR="00B64DAF" w:rsidRDefault="00B64DAF" w:rsidP="008B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4938"/>
      <w:docPartObj>
        <w:docPartGallery w:val="Page Numbers (Bottom of Page)"/>
        <w:docPartUnique/>
      </w:docPartObj>
    </w:sdtPr>
    <w:sdtEndPr/>
    <w:sdtContent>
      <w:p w:rsidR="00971592" w:rsidRDefault="00443688">
        <w:pPr>
          <w:pStyle w:val="Footer"/>
          <w:jc w:val="center"/>
        </w:pPr>
        <w:r>
          <w:fldChar w:fldCharType="begin"/>
        </w:r>
        <w:r w:rsidR="00971592">
          <w:instrText xml:space="preserve"> PAGE   \* MERGEFORMAT </w:instrText>
        </w:r>
        <w:r>
          <w:fldChar w:fldCharType="separate"/>
        </w:r>
        <w:r w:rsidR="00C71D89">
          <w:rPr>
            <w:noProof/>
          </w:rPr>
          <w:t>3</w:t>
        </w:r>
        <w:r>
          <w:rPr>
            <w:noProof/>
          </w:rPr>
          <w:fldChar w:fldCharType="end"/>
        </w:r>
      </w:p>
    </w:sdtContent>
  </w:sdt>
  <w:p w:rsidR="00971592" w:rsidRDefault="0097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AF" w:rsidRDefault="00B64DAF" w:rsidP="008B11B2">
      <w:r>
        <w:separator/>
      </w:r>
    </w:p>
  </w:footnote>
  <w:footnote w:type="continuationSeparator" w:id="0">
    <w:p w:rsidR="00B64DAF" w:rsidRDefault="00B64DAF" w:rsidP="008B11B2">
      <w:r>
        <w:continuationSeparator/>
      </w:r>
    </w:p>
  </w:footnote>
  <w:footnote w:id="1">
    <w:p w:rsidR="00971592" w:rsidRPr="00DD4B32" w:rsidRDefault="00971592" w:rsidP="00DD4B32">
      <w:pPr>
        <w:pStyle w:val="SingleTxtG"/>
        <w:ind w:left="0" w:right="0"/>
        <w:rPr>
          <w:rStyle w:val="FootnoteReference"/>
          <w:rFonts w:ascii="Cambria" w:hAnsi="Cambria"/>
          <w:sz w:val="20"/>
          <w:lang w:val="es-ES"/>
        </w:rPr>
      </w:pPr>
      <w:r w:rsidRPr="00DD4B32">
        <w:rPr>
          <w:rStyle w:val="FootnoteReference"/>
          <w:rFonts w:ascii="Cambria" w:hAnsi="Cambria"/>
          <w:sz w:val="20"/>
        </w:rPr>
        <w:footnoteRef/>
      </w:r>
      <w:r w:rsidRPr="00DD4B32">
        <w:rPr>
          <w:rStyle w:val="FootnoteReference"/>
          <w:rFonts w:ascii="Cambria" w:hAnsi="Cambria"/>
          <w:sz w:val="20"/>
          <w:lang w:val="es-ES"/>
        </w:rPr>
        <w:t xml:space="preserve"> </w:t>
      </w:r>
      <w:proofErr w:type="spellStart"/>
      <w:r w:rsidR="00DD4B32" w:rsidRPr="00DD4B32">
        <w:rPr>
          <w:rFonts w:ascii="Cambria" w:hAnsi="Cambria"/>
          <w:lang w:val="es-ES"/>
        </w:rPr>
        <w:t>See</w:t>
      </w:r>
      <w:proofErr w:type="spellEnd"/>
      <w:r w:rsidR="00DD4B32" w:rsidRPr="00DD4B32">
        <w:rPr>
          <w:rFonts w:ascii="Cambria" w:hAnsi="Cambria"/>
          <w:lang w:val="es-ES"/>
        </w:rPr>
        <w:t xml:space="preserve"> paras 9.1-9.7 and 10.1 </w:t>
      </w:r>
      <w:proofErr w:type="spellStart"/>
      <w:r w:rsidR="00DD4B32" w:rsidRPr="00DD4B32">
        <w:rPr>
          <w:rFonts w:ascii="Cambria" w:hAnsi="Cambria"/>
          <w:lang w:val="es-ES"/>
        </w:rPr>
        <w:t>below</w:t>
      </w:r>
      <w:proofErr w:type="spellEnd"/>
      <w:r w:rsidR="00DD4B32" w:rsidRPr="00DD4B32">
        <w:rPr>
          <w:rFonts w:ascii="Cambria" w:hAnsi="Cambria"/>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6E"/>
    <w:multiLevelType w:val="hybridMultilevel"/>
    <w:tmpl w:val="A2AA05AE"/>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
    <w:nsid w:val="010E243F"/>
    <w:multiLevelType w:val="hybridMultilevel"/>
    <w:tmpl w:val="5DB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F130D"/>
    <w:multiLevelType w:val="hybridMultilevel"/>
    <w:tmpl w:val="3644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20080"/>
    <w:multiLevelType w:val="hybridMultilevel"/>
    <w:tmpl w:val="AB06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D43"/>
    <w:multiLevelType w:val="hybridMultilevel"/>
    <w:tmpl w:val="5D4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7097B"/>
    <w:multiLevelType w:val="hybridMultilevel"/>
    <w:tmpl w:val="B3C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21092"/>
    <w:multiLevelType w:val="hybridMultilevel"/>
    <w:tmpl w:val="D218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7796A"/>
    <w:multiLevelType w:val="hybridMultilevel"/>
    <w:tmpl w:val="3B0A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A5F1A"/>
    <w:multiLevelType w:val="hybridMultilevel"/>
    <w:tmpl w:val="62C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71460"/>
    <w:multiLevelType w:val="hybridMultilevel"/>
    <w:tmpl w:val="A778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C34398"/>
    <w:multiLevelType w:val="hybridMultilevel"/>
    <w:tmpl w:val="CD5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CA4DCE"/>
    <w:multiLevelType w:val="hybridMultilevel"/>
    <w:tmpl w:val="43D6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E63621E"/>
    <w:multiLevelType w:val="hybridMultilevel"/>
    <w:tmpl w:val="DC4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C831F3"/>
    <w:multiLevelType w:val="hybridMultilevel"/>
    <w:tmpl w:val="D520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D10A46"/>
    <w:multiLevelType w:val="hybridMultilevel"/>
    <w:tmpl w:val="8672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AB3B56"/>
    <w:multiLevelType w:val="hybridMultilevel"/>
    <w:tmpl w:val="358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243EBC"/>
    <w:multiLevelType w:val="hybridMultilevel"/>
    <w:tmpl w:val="EB8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DF35EC"/>
    <w:multiLevelType w:val="hybridMultilevel"/>
    <w:tmpl w:val="25DC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1046EC"/>
    <w:multiLevelType w:val="hybridMultilevel"/>
    <w:tmpl w:val="465CBD7A"/>
    <w:lvl w:ilvl="0" w:tplc="B96039B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76A4B69"/>
    <w:multiLevelType w:val="hybridMultilevel"/>
    <w:tmpl w:val="A1D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C37936"/>
    <w:multiLevelType w:val="hybridMultilevel"/>
    <w:tmpl w:val="C514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400363"/>
    <w:multiLevelType w:val="hybridMultilevel"/>
    <w:tmpl w:val="A440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AA360D"/>
    <w:multiLevelType w:val="hybridMultilevel"/>
    <w:tmpl w:val="956E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B25BE7"/>
    <w:multiLevelType w:val="hybridMultilevel"/>
    <w:tmpl w:val="DE9A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0F6227"/>
    <w:multiLevelType w:val="hybridMultilevel"/>
    <w:tmpl w:val="55FC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F37776"/>
    <w:multiLevelType w:val="hybridMultilevel"/>
    <w:tmpl w:val="8EA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9E55C8"/>
    <w:multiLevelType w:val="hybridMultilevel"/>
    <w:tmpl w:val="5FB2B7E4"/>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8027C4"/>
    <w:multiLevelType w:val="hybridMultilevel"/>
    <w:tmpl w:val="73D0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F82D17"/>
    <w:multiLevelType w:val="hybridMultilevel"/>
    <w:tmpl w:val="196A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C306C6"/>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28194D"/>
    <w:multiLevelType w:val="hybridMultilevel"/>
    <w:tmpl w:val="BF3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B45C48"/>
    <w:multiLevelType w:val="hybridMultilevel"/>
    <w:tmpl w:val="E3A0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1F42BF"/>
    <w:multiLevelType w:val="hybridMultilevel"/>
    <w:tmpl w:val="974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4E395D"/>
    <w:multiLevelType w:val="hybridMultilevel"/>
    <w:tmpl w:val="DC46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C681D0B"/>
    <w:multiLevelType w:val="hybridMultilevel"/>
    <w:tmpl w:val="A59C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D215F97"/>
    <w:multiLevelType w:val="hybridMultilevel"/>
    <w:tmpl w:val="027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EC3838"/>
    <w:multiLevelType w:val="hybridMultilevel"/>
    <w:tmpl w:val="0D6AF7FC"/>
    <w:lvl w:ilvl="0" w:tplc="D42E6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F52DE8"/>
    <w:multiLevelType w:val="hybridMultilevel"/>
    <w:tmpl w:val="937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F87869"/>
    <w:multiLevelType w:val="hybridMultilevel"/>
    <w:tmpl w:val="5288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844383"/>
    <w:multiLevelType w:val="hybridMultilevel"/>
    <w:tmpl w:val="5B2A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27D0351"/>
    <w:multiLevelType w:val="hybridMultilevel"/>
    <w:tmpl w:val="E05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32A7788"/>
    <w:multiLevelType w:val="hybridMultilevel"/>
    <w:tmpl w:val="E48C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3F66FFA"/>
    <w:multiLevelType w:val="hybridMultilevel"/>
    <w:tmpl w:val="131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4856C1"/>
    <w:multiLevelType w:val="hybridMultilevel"/>
    <w:tmpl w:val="F98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8DA10C3"/>
    <w:multiLevelType w:val="hybridMultilevel"/>
    <w:tmpl w:val="D8D2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ACF2F82"/>
    <w:multiLevelType w:val="hybridMultilevel"/>
    <w:tmpl w:val="B2B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AE27D97"/>
    <w:multiLevelType w:val="hybridMultilevel"/>
    <w:tmpl w:val="BAACEA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7">
    <w:nsid w:val="4C017BBB"/>
    <w:multiLevelType w:val="hybridMultilevel"/>
    <w:tmpl w:val="2AE4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D587F98"/>
    <w:multiLevelType w:val="hybridMultilevel"/>
    <w:tmpl w:val="65D6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E4E4A25"/>
    <w:multiLevelType w:val="hybridMultilevel"/>
    <w:tmpl w:val="55BC75BC"/>
    <w:lvl w:ilvl="0" w:tplc="B96039B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ECE76A5"/>
    <w:multiLevelType w:val="hybridMultilevel"/>
    <w:tmpl w:val="C0E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F9F48DE"/>
    <w:multiLevelType w:val="hybridMultilevel"/>
    <w:tmpl w:val="98706BEE"/>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04520A0"/>
    <w:multiLevelType w:val="hybridMultilevel"/>
    <w:tmpl w:val="9936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0691F22"/>
    <w:multiLevelType w:val="hybridMultilevel"/>
    <w:tmpl w:val="9EB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06D3486"/>
    <w:multiLevelType w:val="hybridMultilevel"/>
    <w:tmpl w:val="8AEA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1641F08"/>
    <w:multiLevelType w:val="hybridMultilevel"/>
    <w:tmpl w:val="7660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5D76A8B"/>
    <w:multiLevelType w:val="hybridMultilevel"/>
    <w:tmpl w:val="6238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6CC2184"/>
    <w:multiLevelType w:val="hybridMultilevel"/>
    <w:tmpl w:val="1A9AEEE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8">
    <w:nsid w:val="5728655A"/>
    <w:multiLevelType w:val="hybridMultilevel"/>
    <w:tmpl w:val="8810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7330CAB"/>
    <w:multiLevelType w:val="hybridMultilevel"/>
    <w:tmpl w:val="9646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7435DAD"/>
    <w:multiLevelType w:val="hybridMultilevel"/>
    <w:tmpl w:val="EA8C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F05F63"/>
    <w:multiLevelType w:val="hybridMultilevel"/>
    <w:tmpl w:val="F912D6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A55377F"/>
    <w:multiLevelType w:val="hybridMultilevel"/>
    <w:tmpl w:val="688E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BD307E1"/>
    <w:multiLevelType w:val="hybridMultilevel"/>
    <w:tmpl w:val="DC68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DA976BE"/>
    <w:multiLevelType w:val="hybridMultilevel"/>
    <w:tmpl w:val="848C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EEA0971"/>
    <w:multiLevelType w:val="hybridMultilevel"/>
    <w:tmpl w:val="DDD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1FA0C55"/>
    <w:multiLevelType w:val="hybridMultilevel"/>
    <w:tmpl w:val="B5C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88129E"/>
    <w:multiLevelType w:val="hybridMultilevel"/>
    <w:tmpl w:val="CAE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7450BE"/>
    <w:multiLevelType w:val="hybridMultilevel"/>
    <w:tmpl w:val="8FBA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80667E"/>
    <w:multiLevelType w:val="hybridMultilevel"/>
    <w:tmpl w:val="7C0C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80D02DA"/>
    <w:multiLevelType w:val="hybridMultilevel"/>
    <w:tmpl w:val="4EE0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C2D5223"/>
    <w:multiLevelType w:val="hybridMultilevel"/>
    <w:tmpl w:val="939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5B25D1"/>
    <w:multiLevelType w:val="hybridMultilevel"/>
    <w:tmpl w:val="E63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01C2C32"/>
    <w:multiLevelType w:val="hybridMultilevel"/>
    <w:tmpl w:val="548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19F4385"/>
    <w:multiLevelType w:val="hybridMultilevel"/>
    <w:tmpl w:val="2AB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2A62282"/>
    <w:multiLevelType w:val="hybridMultilevel"/>
    <w:tmpl w:val="19E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3AD0A00"/>
    <w:multiLevelType w:val="hybridMultilevel"/>
    <w:tmpl w:val="A1A6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5FD4438"/>
    <w:multiLevelType w:val="hybridMultilevel"/>
    <w:tmpl w:val="9D6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5FF1426"/>
    <w:multiLevelType w:val="hybridMultilevel"/>
    <w:tmpl w:val="6256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6FF5D06"/>
    <w:multiLevelType w:val="hybridMultilevel"/>
    <w:tmpl w:val="F0E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9FC17F1"/>
    <w:multiLevelType w:val="hybridMultilevel"/>
    <w:tmpl w:val="44C0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ED21ABB"/>
    <w:multiLevelType w:val="hybridMultilevel"/>
    <w:tmpl w:val="F84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F386748"/>
    <w:multiLevelType w:val="hybridMultilevel"/>
    <w:tmpl w:val="9670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F7B5ED5"/>
    <w:multiLevelType w:val="hybridMultilevel"/>
    <w:tmpl w:val="9608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4"/>
  </w:num>
  <w:num w:numId="3">
    <w:abstractNumId w:val="29"/>
  </w:num>
  <w:num w:numId="4">
    <w:abstractNumId w:val="0"/>
  </w:num>
  <w:num w:numId="5">
    <w:abstractNumId w:val="44"/>
  </w:num>
  <w:num w:numId="6">
    <w:abstractNumId w:val="10"/>
  </w:num>
  <w:num w:numId="7">
    <w:abstractNumId w:val="20"/>
  </w:num>
  <w:num w:numId="8">
    <w:abstractNumId w:val="82"/>
  </w:num>
  <w:num w:numId="9">
    <w:abstractNumId w:val="5"/>
  </w:num>
  <w:num w:numId="10">
    <w:abstractNumId w:val="30"/>
  </w:num>
  <w:num w:numId="11">
    <w:abstractNumId w:val="27"/>
  </w:num>
  <w:num w:numId="12">
    <w:abstractNumId w:val="48"/>
  </w:num>
  <w:num w:numId="13">
    <w:abstractNumId w:val="12"/>
  </w:num>
  <w:num w:numId="14">
    <w:abstractNumId w:val="14"/>
  </w:num>
  <w:num w:numId="15">
    <w:abstractNumId w:val="65"/>
  </w:num>
  <w:num w:numId="16">
    <w:abstractNumId w:val="38"/>
  </w:num>
  <w:num w:numId="17">
    <w:abstractNumId w:val="79"/>
  </w:num>
  <w:num w:numId="18">
    <w:abstractNumId w:val="43"/>
  </w:num>
  <w:num w:numId="19">
    <w:abstractNumId w:val="8"/>
  </w:num>
  <w:num w:numId="20">
    <w:abstractNumId w:val="75"/>
  </w:num>
  <w:num w:numId="21">
    <w:abstractNumId w:val="60"/>
  </w:num>
  <w:num w:numId="22">
    <w:abstractNumId w:val="33"/>
  </w:num>
  <w:num w:numId="23">
    <w:abstractNumId w:val="24"/>
  </w:num>
  <w:num w:numId="24">
    <w:abstractNumId w:val="31"/>
  </w:num>
  <w:num w:numId="25">
    <w:abstractNumId w:val="17"/>
  </w:num>
  <w:num w:numId="26">
    <w:abstractNumId w:val="35"/>
  </w:num>
  <w:num w:numId="27">
    <w:abstractNumId w:val="18"/>
  </w:num>
  <w:num w:numId="28">
    <w:abstractNumId w:val="81"/>
  </w:num>
  <w:num w:numId="29">
    <w:abstractNumId w:val="37"/>
  </w:num>
  <w:num w:numId="30">
    <w:abstractNumId w:val="3"/>
  </w:num>
  <w:num w:numId="31">
    <w:abstractNumId w:val="4"/>
  </w:num>
  <w:num w:numId="32">
    <w:abstractNumId w:val="51"/>
  </w:num>
  <w:num w:numId="33">
    <w:abstractNumId w:val="74"/>
  </w:num>
  <w:num w:numId="34">
    <w:abstractNumId w:val="25"/>
  </w:num>
  <w:num w:numId="35">
    <w:abstractNumId w:val="54"/>
  </w:num>
  <w:num w:numId="36">
    <w:abstractNumId w:val="9"/>
  </w:num>
  <w:num w:numId="37">
    <w:abstractNumId w:val="72"/>
  </w:num>
  <w:num w:numId="38">
    <w:abstractNumId w:val="22"/>
  </w:num>
  <w:num w:numId="39">
    <w:abstractNumId w:val="70"/>
  </w:num>
  <w:num w:numId="40">
    <w:abstractNumId w:val="50"/>
  </w:num>
  <w:num w:numId="41">
    <w:abstractNumId w:val="68"/>
  </w:num>
  <w:num w:numId="42">
    <w:abstractNumId w:val="76"/>
  </w:num>
  <w:num w:numId="43">
    <w:abstractNumId w:val="78"/>
  </w:num>
  <w:num w:numId="44">
    <w:abstractNumId w:val="57"/>
  </w:num>
  <w:num w:numId="45">
    <w:abstractNumId w:val="34"/>
  </w:num>
  <w:num w:numId="46">
    <w:abstractNumId w:val="61"/>
  </w:num>
  <w:num w:numId="47">
    <w:abstractNumId w:val="53"/>
  </w:num>
  <w:num w:numId="48">
    <w:abstractNumId w:val="83"/>
  </w:num>
  <w:num w:numId="49">
    <w:abstractNumId w:val="56"/>
  </w:num>
  <w:num w:numId="50">
    <w:abstractNumId w:val="15"/>
  </w:num>
  <w:num w:numId="51">
    <w:abstractNumId w:val="13"/>
  </w:num>
  <w:num w:numId="52">
    <w:abstractNumId w:val="63"/>
  </w:num>
  <w:num w:numId="53">
    <w:abstractNumId w:val="21"/>
  </w:num>
  <w:num w:numId="54">
    <w:abstractNumId w:val="66"/>
  </w:num>
  <w:num w:numId="55">
    <w:abstractNumId w:val="40"/>
  </w:num>
  <w:num w:numId="56">
    <w:abstractNumId w:val="46"/>
  </w:num>
  <w:num w:numId="57">
    <w:abstractNumId w:val="28"/>
  </w:num>
  <w:num w:numId="58">
    <w:abstractNumId w:val="39"/>
  </w:num>
  <w:num w:numId="59">
    <w:abstractNumId w:val="42"/>
  </w:num>
  <w:num w:numId="60">
    <w:abstractNumId w:val="49"/>
  </w:num>
  <w:num w:numId="61">
    <w:abstractNumId w:val="19"/>
  </w:num>
  <w:num w:numId="62">
    <w:abstractNumId w:val="32"/>
  </w:num>
  <w:num w:numId="63">
    <w:abstractNumId w:val="52"/>
  </w:num>
  <w:num w:numId="64">
    <w:abstractNumId w:val="2"/>
  </w:num>
  <w:num w:numId="65">
    <w:abstractNumId w:val="58"/>
  </w:num>
  <w:num w:numId="66">
    <w:abstractNumId w:val="1"/>
  </w:num>
  <w:num w:numId="67">
    <w:abstractNumId w:val="26"/>
  </w:num>
  <w:num w:numId="68">
    <w:abstractNumId w:val="7"/>
  </w:num>
  <w:num w:numId="69">
    <w:abstractNumId w:val="16"/>
  </w:num>
  <w:num w:numId="70">
    <w:abstractNumId w:val="6"/>
  </w:num>
  <w:num w:numId="71">
    <w:abstractNumId w:val="62"/>
  </w:num>
  <w:num w:numId="72">
    <w:abstractNumId w:val="71"/>
  </w:num>
  <w:num w:numId="73">
    <w:abstractNumId w:val="77"/>
  </w:num>
  <w:num w:numId="74">
    <w:abstractNumId w:val="59"/>
  </w:num>
  <w:num w:numId="75">
    <w:abstractNumId w:val="73"/>
  </w:num>
  <w:num w:numId="76">
    <w:abstractNumId w:val="80"/>
  </w:num>
  <w:num w:numId="77">
    <w:abstractNumId w:val="67"/>
  </w:num>
  <w:num w:numId="78">
    <w:abstractNumId w:val="55"/>
  </w:num>
  <w:num w:numId="79">
    <w:abstractNumId w:val="45"/>
  </w:num>
  <w:num w:numId="80">
    <w:abstractNumId w:val="47"/>
  </w:num>
  <w:num w:numId="81">
    <w:abstractNumId w:val="11"/>
  </w:num>
  <w:num w:numId="82">
    <w:abstractNumId w:val="41"/>
  </w:num>
  <w:num w:numId="83">
    <w:abstractNumId w:val="69"/>
  </w:num>
  <w:num w:numId="84">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B2"/>
    <w:rsid w:val="000000D7"/>
    <w:rsid w:val="0000313E"/>
    <w:rsid w:val="00003A9B"/>
    <w:rsid w:val="00005CB4"/>
    <w:rsid w:val="00020509"/>
    <w:rsid w:val="00024AD7"/>
    <w:rsid w:val="00027D2A"/>
    <w:rsid w:val="00033303"/>
    <w:rsid w:val="00033D9C"/>
    <w:rsid w:val="00042D52"/>
    <w:rsid w:val="00051B06"/>
    <w:rsid w:val="0005227D"/>
    <w:rsid w:val="0006191C"/>
    <w:rsid w:val="00065A8F"/>
    <w:rsid w:val="00082881"/>
    <w:rsid w:val="00087C29"/>
    <w:rsid w:val="00095056"/>
    <w:rsid w:val="0009628C"/>
    <w:rsid w:val="000B3A84"/>
    <w:rsid w:val="000B5C46"/>
    <w:rsid w:val="000C07D3"/>
    <w:rsid w:val="000C317B"/>
    <w:rsid w:val="000C4EB9"/>
    <w:rsid w:val="000D161C"/>
    <w:rsid w:val="000D6A4B"/>
    <w:rsid w:val="000D7EAF"/>
    <w:rsid w:val="000E148D"/>
    <w:rsid w:val="000E4763"/>
    <w:rsid w:val="000E7C3A"/>
    <w:rsid w:val="000F067B"/>
    <w:rsid w:val="000F111E"/>
    <w:rsid w:val="000F6C8A"/>
    <w:rsid w:val="00100006"/>
    <w:rsid w:val="00101CE6"/>
    <w:rsid w:val="00102AEF"/>
    <w:rsid w:val="0010410D"/>
    <w:rsid w:val="00117ABA"/>
    <w:rsid w:val="0013033A"/>
    <w:rsid w:val="00131618"/>
    <w:rsid w:val="00136F34"/>
    <w:rsid w:val="00137001"/>
    <w:rsid w:val="001463E7"/>
    <w:rsid w:val="001469EC"/>
    <w:rsid w:val="001474C4"/>
    <w:rsid w:val="00150C0F"/>
    <w:rsid w:val="00152A32"/>
    <w:rsid w:val="00153585"/>
    <w:rsid w:val="00154788"/>
    <w:rsid w:val="00155A77"/>
    <w:rsid w:val="00174D12"/>
    <w:rsid w:val="00175256"/>
    <w:rsid w:val="00176F60"/>
    <w:rsid w:val="001902DB"/>
    <w:rsid w:val="00190458"/>
    <w:rsid w:val="0019101F"/>
    <w:rsid w:val="001945ED"/>
    <w:rsid w:val="00195FF5"/>
    <w:rsid w:val="001A0823"/>
    <w:rsid w:val="001A59B7"/>
    <w:rsid w:val="001B06ED"/>
    <w:rsid w:val="001C157D"/>
    <w:rsid w:val="001C69FC"/>
    <w:rsid w:val="001C716B"/>
    <w:rsid w:val="001D3034"/>
    <w:rsid w:val="001E34A8"/>
    <w:rsid w:val="001E4F72"/>
    <w:rsid w:val="001E6F88"/>
    <w:rsid w:val="001E6FB1"/>
    <w:rsid w:val="001F1FF7"/>
    <w:rsid w:val="001F2887"/>
    <w:rsid w:val="002015E8"/>
    <w:rsid w:val="002026B1"/>
    <w:rsid w:val="002045CD"/>
    <w:rsid w:val="002066A9"/>
    <w:rsid w:val="002132C5"/>
    <w:rsid w:val="002145BC"/>
    <w:rsid w:val="00216BF4"/>
    <w:rsid w:val="00221E19"/>
    <w:rsid w:val="00224DE3"/>
    <w:rsid w:val="0022652B"/>
    <w:rsid w:val="00231D64"/>
    <w:rsid w:val="002400BA"/>
    <w:rsid w:val="00241E41"/>
    <w:rsid w:val="00243EE3"/>
    <w:rsid w:val="0024641B"/>
    <w:rsid w:val="00247E6C"/>
    <w:rsid w:val="002509FE"/>
    <w:rsid w:val="00250E15"/>
    <w:rsid w:val="002550F6"/>
    <w:rsid w:val="002564A1"/>
    <w:rsid w:val="00256A65"/>
    <w:rsid w:val="002603B7"/>
    <w:rsid w:val="00263C89"/>
    <w:rsid w:val="002715A9"/>
    <w:rsid w:val="00286841"/>
    <w:rsid w:val="002946F4"/>
    <w:rsid w:val="00295FDD"/>
    <w:rsid w:val="00297605"/>
    <w:rsid w:val="002978D7"/>
    <w:rsid w:val="002C1998"/>
    <w:rsid w:val="002C2BAD"/>
    <w:rsid w:val="002C63B1"/>
    <w:rsid w:val="002D3675"/>
    <w:rsid w:val="002D43DD"/>
    <w:rsid w:val="002D6560"/>
    <w:rsid w:val="002E7B36"/>
    <w:rsid w:val="002F5310"/>
    <w:rsid w:val="002F6DC5"/>
    <w:rsid w:val="00302D30"/>
    <w:rsid w:val="003033D8"/>
    <w:rsid w:val="0030503A"/>
    <w:rsid w:val="00306D0E"/>
    <w:rsid w:val="00312CB7"/>
    <w:rsid w:val="00315AEB"/>
    <w:rsid w:val="0031766A"/>
    <w:rsid w:val="00320CA2"/>
    <w:rsid w:val="00323847"/>
    <w:rsid w:val="00324537"/>
    <w:rsid w:val="0032549A"/>
    <w:rsid w:val="00327DB7"/>
    <w:rsid w:val="00331BCA"/>
    <w:rsid w:val="00340343"/>
    <w:rsid w:val="00344B31"/>
    <w:rsid w:val="003457BA"/>
    <w:rsid w:val="00352DF5"/>
    <w:rsid w:val="003661E4"/>
    <w:rsid w:val="003702BF"/>
    <w:rsid w:val="00375564"/>
    <w:rsid w:val="00375753"/>
    <w:rsid w:val="003815CF"/>
    <w:rsid w:val="0038406C"/>
    <w:rsid w:val="00386DA3"/>
    <w:rsid w:val="00390B0E"/>
    <w:rsid w:val="00390DDB"/>
    <w:rsid w:val="003923C1"/>
    <w:rsid w:val="003953F5"/>
    <w:rsid w:val="003A2C0A"/>
    <w:rsid w:val="003A34DF"/>
    <w:rsid w:val="003A41C8"/>
    <w:rsid w:val="003A722D"/>
    <w:rsid w:val="003B3BBB"/>
    <w:rsid w:val="003B591B"/>
    <w:rsid w:val="003B7116"/>
    <w:rsid w:val="003C1AB4"/>
    <w:rsid w:val="003C2A8A"/>
    <w:rsid w:val="003D0CC9"/>
    <w:rsid w:val="003D4956"/>
    <w:rsid w:val="003D51A4"/>
    <w:rsid w:val="003E1479"/>
    <w:rsid w:val="003E2044"/>
    <w:rsid w:val="003E291E"/>
    <w:rsid w:val="003E2DF1"/>
    <w:rsid w:val="003F0E50"/>
    <w:rsid w:val="003F284D"/>
    <w:rsid w:val="003F676D"/>
    <w:rsid w:val="00401655"/>
    <w:rsid w:val="00402294"/>
    <w:rsid w:val="00407C20"/>
    <w:rsid w:val="00410C64"/>
    <w:rsid w:val="00413063"/>
    <w:rsid w:val="00422082"/>
    <w:rsid w:val="00423CF0"/>
    <w:rsid w:val="004309D6"/>
    <w:rsid w:val="004405D4"/>
    <w:rsid w:val="00443688"/>
    <w:rsid w:val="00445BCB"/>
    <w:rsid w:val="00447521"/>
    <w:rsid w:val="00456E1B"/>
    <w:rsid w:val="00470D0A"/>
    <w:rsid w:val="00474E24"/>
    <w:rsid w:val="0048043A"/>
    <w:rsid w:val="0048676E"/>
    <w:rsid w:val="00494240"/>
    <w:rsid w:val="00495131"/>
    <w:rsid w:val="004A490F"/>
    <w:rsid w:val="004A79CD"/>
    <w:rsid w:val="004B10A9"/>
    <w:rsid w:val="004B61F5"/>
    <w:rsid w:val="004C5EA7"/>
    <w:rsid w:val="004C75EA"/>
    <w:rsid w:val="004D47D9"/>
    <w:rsid w:val="004E03CA"/>
    <w:rsid w:val="004F60D5"/>
    <w:rsid w:val="00504D4D"/>
    <w:rsid w:val="00506A4C"/>
    <w:rsid w:val="005102C3"/>
    <w:rsid w:val="005139A9"/>
    <w:rsid w:val="0051643A"/>
    <w:rsid w:val="00516D42"/>
    <w:rsid w:val="005200C9"/>
    <w:rsid w:val="005206CF"/>
    <w:rsid w:val="005249A4"/>
    <w:rsid w:val="00531F8F"/>
    <w:rsid w:val="005325E5"/>
    <w:rsid w:val="00534473"/>
    <w:rsid w:val="00537C24"/>
    <w:rsid w:val="00546B8C"/>
    <w:rsid w:val="0055259C"/>
    <w:rsid w:val="00556AC6"/>
    <w:rsid w:val="00563D6D"/>
    <w:rsid w:val="00564CB1"/>
    <w:rsid w:val="00567E75"/>
    <w:rsid w:val="00571CC6"/>
    <w:rsid w:val="0057353F"/>
    <w:rsid w:val="00576727"/>
    <w:rsid w:val="00583118"/>
    <w:rsid w:val="00585696"/>
    <w:rsid w:val="0058630D"/>
    <w:rsid w:val="00591265"/>
    <w:rsid w:val="00595A24"/>
    <w:rsid w:val="00595A78"/>
    <w:rsid w:val="005967AB"/>
    <w:rsid w:val="005A224E"/>
    <w:rsid w:val="005B057C"/>
    <w:rsid w:val="005B058F"/>
    <w:rsid w:val="005B2626"/>
    <w:rsid w:val="005C15F1"/>
    <w:rsid w:val="005C3104"/>
    <w:rsid w:val="005D30FF"/>
    <w:rsid w:val="005D5087"/>
    <w:rsid w:val="005D5940"/>
    <w:rsid w:val="005E144C"/>
    <w:rsid w:val="005E187B"/>
    <w:rsid w:val="005E7B1C"/>
    <w:rsid w:val="005F64A4"/>
    <w:rsid w:val="00620715"/>
    <w:rsid w:val="00620C4E"/>
    <w:rsid w:val="00623D2A"/>
    <w:rsid w:val="00624E1D"/>
    <w:rsid w:val="006300BF"/>
    <w:rsid w:val="00642554"/>
    <w:rsid w:val="0064335D"/>
    <w:rsid w:val="00645460"/>
    <w:rsid w:val="00647FF0"/>
    <w:rsid w:val="006648F6"/>
    <w:rsid w:val="00667FD4"/>
    <w:rsid w:val="00680EA3"/>
    <w:rsid w:val="00683E36"/>
    <w:rsid w:val="00686C99"/>
    <w:rsid w:val="00690614"/>
    <w:rsid w:val="006B15E1"/>
    <w:rsid w:val="006B3252"/>
    <w:rsid w:val="006B3366"/>
    <w:rsid w:val="006B373A"/>
    <w:rsid w:val="006B3A42"/>
    <w:rsid w:val="006B51D8"/>
    <w:rsid w:val="006D0353"/>
    <w:rsid w:val="006D45CF"/>
    <w:rsid w:val="006D6967"/>
    <w:rsid w:val="006E2B61"/>
    <w:rsid w:val="006E516D"/>
    <w:rsid w:val="006F085F"/>
    <w:rsid w:val="006F2ACF"/>
    <w:rsid w:val="006F64F4"/>
    <w:rsid w:val="00712A8E"/>
    <w:rsid w:val="00713FEA"/>
    <w:rsid w:val="007140E4"/>
    <w:rsid w:val="00716BA6"/>
    <w:rsid w:val="007209F9"/>
    <w:rsid w:val="007210D1"/>
    <w:rsid w:val="00722628"/>
    <w:rsid w:val="007257C4"/>
    <w:rsid w:val="0075154D"/>
    <w:rsid w:val="0075241C"/>
    <w:rsid w:val="00754AB8"/>
    <w:rsid w:val="007559FF"/>
    <w:rsid w:val="00761B79"/>
    <w:rsid w:val="00765829"/>
    <w:rsid w:val="0076585D"/>
    <w:rsid w:val="0076629E"/>
    <w:rsid w:val="0077141C"/>
    <w:rsid w:val="0077583E"/>
    <w:rsid w:val="00784842"/>
    <w:rsid w:val="0079050A"/>
    <w:rsid w:val="00793533"/>
    <w:rsid w:val="007A1509"/>
    <w:rsid w:val="007A3979"/>
    <w:rsid w:val="007A4DD4"/>
    <w:rsid w:val="007A5E63"/>
    <w:rsid w:val="007B0E9C"/>
    <w:rsid w:val="007D01D6"/>
    <w:rsid w:val="007D707B"/>
    <w:rsid w:val="007E147F"/>
    <w:rsid w:val="007E1542"/>
    <w:rsid w:val="007E2F0F"/>
    <w:rsid w:val="007E695C"/>
    <w:rsid w:val="007E7C47"/>
    <w:rsid w:val="007F11F1"/>
    <w:rsid w:val="007F2885"/>
    <w:rsid w:val="007F7215"/>
    <w:rsid w:val="00801C04"/>
    <w:rsid w:val="0082332E"/>
    <w:rsid w:val="00837EF5"/>
    <w:rsid w:val="00840954"/>
    <w:rsid w:val="008419CC"/>
    <w:rsid w:val="00847FF6"/>
    <w:rsid w:val="008503C0"/>
    <w:rsid w:val="008531A3"/>
    <w:rsid w:val="00857A89"/>
    <w:rsid w:val="008627A7"/>
    <w:rsid w:val="0087215F"/>
    <w:rsid w:val="00873CF4"/>
    <w:rsid w:val="0087408A"/>
    <w:rsid w:val="00874D03"/>
    <w:rsid w:val="008754CA"/>
    <w:rsid w:val="00876024"/>
    <w:rsid w:val="0088184F"/>
    <w:rsid w:val="00881CF8"/>
    <w:rsid w:val="00884598"/>
    <w:rsid w:val="008921D1"/>
    <w:rsid w:val="008B11B2"/>
    <w:rsid w:val="008B259C"/>
    <w:rsid w:val="008B483B"/>
    <w:rsid w:val="008B5A17"/>
    <w:rsid w:val="008C09BD"/>
    <w:rsid w:val="008C174B"/>
    <w:rsid w:val="008D09CA"/>
    <w:rsid w:val="008E0E3C"/>
    <w:rsid w:val="008E2ABD"/>
    <w:rsid w:val="008F36AD"/>
    <w:rsid w:val="008F39A3"/>
    <w:rsid w:val="0090149C"/>
    <w:rsid w:val="00902D9C"/>
    <w:rsid w:val="00903ACE"/>
    <w:rsid w:val="00905455"/>
    <w:rsid w:val="00907965"/>
    <w:rsid w:val="00910935"/>
    <w:rsid w:val="00912032"/>
    <w:rsid w:val="0091410B"/>
    <w:rsid w:val="00915EEE"/>
    <w:rsid w:val="00917B5B"/>
    <w:rsid w:val="00920660"/>
    <w:rsid w:val="0092072B"/>
    <w:rsid w:val="00923D62"/>
    <w:rsid w:val="00924F02"/>
    <w:rsid w:val="009253C3"/>
    <w:rsid w:val="009268B1"/>
    <w:rsid w:val="00927EB6"/>
    <w:rsid w:val="00931853"/>
    <w:rsid w:val="009420BB"/>
    <w:rsid w:val="00942ABC"/>
    <w:rsid w:val="00942EA4"/>
    <w:rsid w:val="00944BC7"/>
    <w:rsid w:val="00944EF2"/>
    <w:rsid w:val="00967C84"/>
    <w:rsid w:val="00970419"/>
    <w:rsid w:val="00970E27"/>
    <w:rsid w:val="00971592"/>
    <w:rsid w:val="00975E93"/>
    <w:rsid w:val="00976E5E"/>
    <w:rsid w:val="009820DC"/>
    <w:rsid w:val="009821FA"/>
    <w:rsid w:val="00984CE2"/>
    <w:rsid w:val="0099149C"/>
    <w:rsid w:val="00994C43"/>
    <w:rsid w:val="009B481A"/>
    <w:rsid w:val="009C0E62"/>
    <w:rsid w:val="009C1A23"/>
    <w:rsid w:val="009C6484"/>
    <w:rsid w:val="009C7A6A"/>
    <w:rsid w:val="009D0F38"/>
    <w:rsid w:val="009E467E"/>
    <w:rsid w:val="009F0D3E"/>
    <w:rsid w:val="009F21F6"/>
    <w:rsid w:val="00A00713"/>
    <w:rsid w:val="00A01FF7"/>
    <w:rsid w:val="00A0458E"/>
    <w:rsid w:val="00A10C8D"/>
    <w:rsid w:val="00A10D39"/>
    <w:rsid w:val="00A1140F"/>
    <w:rsid w:val="00A13242"/>
    <w:rsid w:val="00A13742"/>
    <w:rsid w:val="00A13FA6"/>
    <w:rsid w:val="00A21672"/>
    <w:rsid w:val="00A24C5A"/>
    <w:rsid w:val="00A25260"/>
    <w:rsid w:val="00A25F89"/>
    <w:rsid w:val="00A27D5F"/>
    <w:rsid w:val="00A319DC"/>
    <w:rsid w:val="00A31EBE"/>
    <w:rsid w:val="00A342E0"/>
    <w:rsid w:val="00A364A0"/>
    <w:rsid w:val="00A425BD"/>
    <w:rsid w:val="00A44988"/>
    <w:rsid w:val="00A55663"/>
    <w:rsid w:val="00A61E47"/>
    <w:rsid w:val="00A66FAD"/>
    <w:rsid w:val="00A67C0A"/>
    <w:rsid w:val="00A70ABC"/>
    <w:rsid w:val="00A717C7"/>
    <w:rsid w:val="00A71CA0"/>
    <w:rsid w:val="00A73FD9"/>
    <w:rsid w:val="00A75532"/>
    <w:rsid w:val="00A75885"/>
    <w:rsid w:val="00A84ACB"/>
    <w:rsid w:val="00A92921"/>
    <w:rsid w:val="00A93658"/>
    <w:rsid w:val="00A9508B"/>
    <w:rsid w:val="00A97FCB"/>
    <w:rsid w:val="00AA1D30"/>
    <w:rsid w:val="00AA4A85"/>
    <w:rsid w:val="00AB07D9"/>
    <w:rsid w:val="00AB0829"/>
    <w:rsid w:val="00AC0EE6"/>
    <w:rsid w:val="00AC338E"/>
    <w:rsid w:val="00AD5B6E"/>
    <w:rsid w:val="00AD707B"/>
    <w:rsid w:val="00AE069A"/>
    <w:rsid w:val="00AE5748"/>
    <w:rsid w:val="00AE6A5C"/>
    <w:rsid w:val="00AF0312"/>
    <w:rsid w:val="00AF171C"/>
    <w:rsid w:val="00AF4E04"/>
    <w:rsid w:val="00B02DB9"/>
    <w:rsid w:val="00B06243"/>
    <w:rsid w:val="00B100CA"/>
    <w:rsid w:val="00B14A57"/>
    <w:rsid w:val="00B22883"/>
    <w:rsid w:val="00B24402"/>
    <w:rsid w:val="00B2747F"/>
    <w:rsid w:val="00B31BA4"/>
    <w:rsid w:val="00B32373"/>
    <w:rsid w:val="00B35740"/>
    <w:rsid w:val="00B4391C"/>
    <w:rsid w:val="00B51F0C"/>
    <w:rsid w:val="00B52A61"/>
    <w:rsid w:val="00B53146"/>
    <w:rsid w:val="00B53A23"/>
    <w:rsid w:val="00B55FB0"/>
    <w:rsid w:val="00B63529"/>
    <w:rsid w:val="00B647C3"/>
    <w:rsid w:val="00B64967"/>
    <w:rsid w:val="00B64DAF"/>
    <w:rsid w:val="00B65831"/>
    <w:rsid w:val="00B65DF1"/>
    <w:rsid w:val="00B73862"/>
    <w:rsid w:val="00B73CB6"/>
    <w:rsid w:val="00B824DF"/>
    <w:rsid w:val="00B8387C"/>
    <w:rsid w:val="00B84A50"/>
    <w:rsid w:val="00B857A7"/>
    <w:rsid w:val="00B92892"/>
    <w:rsid w:val="00B92959"/>
    <w:rsid w:val="00B93C4A"/>
    <w:rsid w:val="00B952E6"/>
    <w:rsid w:val="00BA2400"/>
    <w:rsid w:val="00BB779B"/>
    <w:rsid w:val="00BC1B22"/>
    <w:rsid w:val="00BC2132"/>
    <w:rsid w:val="00BC3807"/>
    <w:rsid w:val="00BD3288"/>
    <w:rsid w:val="00BD42A9"/>
    <w:rsid w:val="00BD72D7"/>
    <w:rsid w:val="00BE28D2"/>
    <w:rsid w:val="00BE464F"/>
    <w:rsid w:val="00BF3247"/>
    <w:rsid w:val="00BF3C9D"/>
    <w:rsid w:val="00BF67AD"/>
    <w:rsid w:val="00BF7D59"/>
    <w:rsid w:val="00C015D0"/>
    <w:rsid w:val="00C07120"/>
    <w:rsid w:val="00C12C26"/>
    <w:rsid w:val="00C13D11"/>
    <w:rsid w:val="00C15B8F"/>
    <w:rsid w:val="00C173D5"/>
    <w:rsid w:val="00C23D11"/>
    <w:rsid w:val="00C31F96"/>
    <w:rsid w:val="00C348DE"/>
    <w:rsid w:val="00C35CBA"/>
    <w:rsid w:val="00C42471"/>
    <w:rsid w:val="00C5249B"/>
    <w:rsid w:val="00C568F7"/>
    <w:rsid w:val="00C57E7B"/>
    <w:rsid w:val="00C62275"/>
    <w:rsid w:val="00C62C22"/>
    <w:rsid w:val="00C700E4"/>
    <w:rsid w:val="00C71D89"/>
    <w:rsid w:val="00C73768"/>
    <w:rsid w:val="00C80F45"/>
    <w:rsid w:val="00C93042"/>
    <w:rsid w:val="00C93C97"/>
    <w:rsid w:val="00C94455"/>
    <w:rsid w:val="00C97801"/>
    <w:rsid w:val="00CB290C"/>
    <w:rsid w:val="00CB2C9D"/>
    <w:rsid w:val="00CB71EA"/>
    <w:rsid w:val="00CC13F7"/>
    <w:rsid w:val="00CC54CA"/>
    <w:rsid w:val="00CD4B63"/>
    <w:rsid w:val="00CE09C2"/>
    <w:rsid w:val="00CE6C9F"/>
    <w:rsid w:val="00CF050C"/>
    <w:rsid w:val="00CF4252"/>
    <w:rsid w:val="00CF4A18"/>
    <w:rsid w:val="00D00A31"/>
    <w:rsid w:val="00D06986"/>
    <w:rsid w:val="00D13383"/>
    <w:rsid w:val="00D1633B"/>
    <w:rsid w:val="00D21E50"/>
    <w:rsid w:val="00D42DB9"/>
    <w:rsid w:val="00D43029"/>
    <w:rsid w:val="00D44E53"/>
    <w:rsid w:val="00D47077"/>
    <w:rsid w:val="00D50656"/>
    <w:rsid w:val="00D608EA"/>
    <w:rsid w:val="00D62489"/>
    <w:rsid w:val="00D70005"/>
    <w:rsid w:val="00D7114D"/>
    <w:rsid w:val="00D723F7"/>
    <w:rsid w:val="00D75ECD"/>
    <w:rsid w:val="00D8266E"/>
    <w:rsid w:val="00D85F23"/>
    <w:rsid w:val="00D86E9A"/>
    <w:rsid w:val="00D8730E"/>
    <w:rsid w:val="00D910AC"/>
    <w:rsid w:val="00D93CAD"/>
    <w:rsid w:val="00D94FC4"/>
    <w:rsid w:val="00DA1BA6"/>
    <w:rsid w:val="00DA5F2E"/>
    <w:rsid w:val="00DB7F6F"/>
    <w:rsid w:val="00DC1D78"/>
    <w:rsid w:val="00DC7379"/>
    <w:rsid w:val="00DC7922"/>
    <w:rsid w:val="00DD0AF4"/>
    <w:rsid w:val="00DD0E45"/>
    <w:rsid w:val="00DD4B32"/>
    <w:rsid w:val="00DD7E43"/>
    <w:rsid w:val="00DE2790"/>
    <w:rsid w:val="00DF099C"/>
    <w:rsid w:val="00DF154B"/>
    <w:rsid w:val="00DF3D45"/>
    <w:rsid w:val="00DF3D71"/>
    <w:rsid w:val="00DF5185"/>
    <w:rsid w:val="00DF6B61"/>
    <w:rsid w:val="00E03BF1"/>
    <w:rsid w:val="00E12E81"/>
    <w:rsid w:val="00E166AB"/>
    <w:rsid w:val="00E16CFA"/>
    <w:rsid w:val="00E17694"/>
    <w:rsid w:val="00E22011"/>
    <w:rsid w:val="00E239D6"/>
    <w:rsid w:val="00E23A39"/>
    <w:rsid w:val="00E24BAC"/>
    <w:rsid w:val="00E259B9"/>
    <w:rsid w:val="00E26EE2"/>
    <w:rsid w:val="00E33EC5"/>
    <w:rsid w:val="00E3571C"/>
    <w:rsid w:val="00E43AF7"/>
    <w:rsid w:val="00E45469"/>
    <w:rsid w:val="00E516BD"/>
    <w:rsid w:val="00E56694"/>
    <w:rsid w:val="00E614A3"/>
    <w:rsid w:val="00E623C2"/>
    <w:rsid w:val="00E65954"/>
    <w:rsid w:val="00E82BB5"/>
    <w:rsid w:val="00E90299"/>
    <w:rsid w:val="00E91124"/>
    <w:rsid w:val="00E94FFA"/>
    <w:rsid w:val="00E963B2"/>
    <w:rsid w:val="00EA0ACE"/>
    <w:rsid w:val="00EA196B"/>
    <w:rsid w:val="00EA2E9C"/>
    <w:rsid w:val="00EA52E7"/>
    <w:rsid w:val="00EB575A"/>
    <w:rsid w:val="00EB63E6"/>
    <w:rsid w:val="00EC076F"/>
    <w:rsid w:val="00ED057C"/>
    <w:rsid w:val="00ED386A"/>
    <w:rsid w:val="00ED4BA3"/>
    <w:rsid w:val="00ED76DA"/>
    <w:rsid w:val="00EE0701"/>
    <w:rsid w:val="00EE7B65"/>
    <w:rsid w:val="00EF16A9"/>
    <w:rsid w:val="00EF299C"/>
    <w:rsid w:val="00EF5D9A"/>
    <w:rsid w:val="00EF70B1"/>
    <w:rsid w:val="00EF7950"/>
    <w:rsid w:val="00F00AF1"/>
    <w:rsid w:val="00F02193"/>
    <w:rsid w:val="00F02F8E"/>
    <w:rsid w:val="00F05C79"/>
    <w:rsid w:val="00F14986"/>
    <w:rsid w:val="00F164D8"/>
    <w:rsid w:val="00F17BFD"/>
    <w:rsid w:val="00F17FCB"/>
    <w:rsid w:val="00F205B6"/>
    <w:rsid w:val="00F20631"/>
    <w:rsid w:val="00F23E9B"/>
    <w:rsid w:val="00F24F90"/>
    <w:rsid w:val="00F276EC"/>
    <w:rsid w:val="00F279FC"/>
    <w:rsid w:val="00F32E8D"/>
    <w:rsid w:val="00F401FA"/>
    <w:rsid w:val="00F4568E"/>
    <w:rsid w:val="00F506A7"/>
    <w:rsid w:val="00F52765"/>
    <w:rsid w:val="00F62A46"/>
    <w:rsid w:val="00F645B3"/>
    <w:rsid w:val="00F67C44"/>
    <w:rsid w:val="00F70C11"/>
    <w:rsid w:val="00F74AA2"/>
    <w:rsid w:val="00F81B91"/>
    <w:rsid w:val="00F83ADE"/>
    <w:rsid w:val="00F84AD6"/>
    <w:rsid w:val="00F85F0B"/>
    <w:rsid w:val="00F87500"/>
    <w:rsid w:val="00F927D4"/>
    <w:rsid w:val="00FA09D1"/>
    <w:rsid w:val="00FA4C5E"/>
    <w:rsid w:val="00FC1C99"/>
    <w:rsid w:val="00FC43A6"/>
    <w:rsid w:val="00FC459B"/>
    <w:rsid w:val="00FC7094"/>
    <w:rsid w:val="00FD0034"/>
    <w:rsid w:val="00FD0A56"/>
    <w:rsid w:val="00FD0F59"/>
    <w:rsid w:val="00FD45B7"/>
    <w:rsid w:val="00FD65A3"/>
    <w:rsid w:val="00FE0651"/>
    <w:rsid w:val="00FF3041"/>
    <w:rsid w:val="00FF54D2"/>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21"/>
  </w:style>
  <w:style w:type="paragraph" w:styleId="Heading1">
    <w:name w:val="heading 1"/>
    <w:basedOn w:val="Normal"/>
    <w:next w:val="Normal"/>
    <w:link w:val="Heading1Char"/>
    <w:uiPriority w:val="9"/>
    <w:qFormat/>
    <w:rsid w:val="008B11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1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8B11B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rsid w:val="008B11B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
    <w:uiPriority w:val="99"/>
    <w:rsid w:val="008B11B2"/>
    <w:rPr>
      <w:rFonts w:ascii="Times New Roman" w:hAnsi="Times New Roman"/>
      <w:sz w:val="18"/>
      <w:vertAlign w:val="superscript"/>
    </w:rPr>
  </w:style>
  <w:style w:type="paragraph" w:styleId="FootnoteText">
    <w:name w:val="footnote text"/>
    <w:aliases w:val="5_G"/>
    <w:basedOn w:val="Normal"/>
    <w:link w:val="FootnoteTextChar"/>
    <w:uiPriority w:val="99"/>
    <w:rsid w:val="008B11B2"/>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8B11B2"/>
    <w:rPr>
      <w:rFonts w:ascii="Times New Roman" w:eastAsia="Times New Roman" w:hAnsi="Times New Roman" w:cs="Times New Roman"/>
      <w:sz w:val="18"/>
      <w:szCs w:val="20"/>
      <w:lang w:val="en-GB"/>
    </w:rPr>
  </w:style>
  <w:style w:type="paragraph" w:customStyle="1" w:styleId="H1G">
    <w:name w:val="_ H_1_G"/>
    <w:basedOn w:val="Normal"/>
    <w:next w:val="Normal"/>
    <w:rsid w:val="008B11B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styleId="CommentReference">
    <w:name w:val="annotation reference"/>
    <w:basedOn w:val="DefaultParagraphFont"/>
    <w:semiHidden/>
    <w:unhideWhenUsed/>
    <w:rsid w:val="008B11B2"/>
    <w:rPr>
      <w:sz w:val="18"/>
      <w:szCs w:val="18"/>
    </w:rPr>
  </w:style>
  <w:style w:type="paragraph" w:styleId="CommentText">
    <w:name w:val="annotation text"/>
    <w:basedOn w:val="Normal"/>
    <w:link w:val="CommentTextChar"/>
    <w:semiHidden/>
    <w:unhideWhenUsed/>
    <w:rsid w:val="008B11B2"/>
    <w:pPr>
      <w:suppressAutoHyphens/>
    </w:pPr>
    <w:rPr>
      <w:rFonts w:ascii="Times New Roman" w:eastAsia="Times New Roman" w:hAnsi="Times New Roman" w:cs="Times New Roman"/>
      <w:lang w:val="en-GB"/>
    </w:rPr>
  </w:style>
  <w:style w:type="character" w:customStyle="1" w:styleId="CommentTextChar">
    <w:name w:val="Comment Text Char"/>
    <w:basedOn w:val="DefaultParagraphFont"/>
    <w:link w:val="CommentText"/>
    <w:semiHidden/>
    <w:rsid w:val="008B11B2"/>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8B11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1B2"/>
    <w:rPr>
      <w:rFonts w:ascii="Times New Roman" w:hAnsi="Times New Roman" w:cs="Times New Roman"/>
      <w:sz w:val="18"/>
      <w:szCs w:val="18"/>
    </w:rPr>
  </w:style>
  <w:style w:type="table" w:styleId="TableGrid">
    <w:name w:val="Table Grid"/>
    <w:basedOn w:val="TableNormal"/>
    <w:uiPriority w:val="39"/>
    <w:rsid w:val="008B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11B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B11B2"/>
    <w:rPr>
      <w:rFonts w:asciiTheme="majorHAnsi" w:eastAsiaTheme="majorEastAsia" w:hAnsiTheme="majorHAnsi" w:cstheme="majorBidi"/>
      <w:color w:val="2E74B5" w:themeColor="accent1" w:themeShade="BF"/>
      <w:sz w:val="32"/>
      <w:szCs w:val="32"/>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1A0823"/>
    <w:pPr>
      <w:ind w:left="720"/>
      <w:contextualSpacing/>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AC338E"/>
    <w:rPr>
      <w:color w:val="0000FF"/>
      <w:u w:val="single"/>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AC338E"/>
    <w:rPr>
      <w:rFonts w:ascii="Calibri" w:eastAsia="Times New Roman" w:hAnsi="Calibri" w:cs="Times New Roman"/>
      <w:sz w:val="22"/>
      <w:szCs w:val="22"/>
      <w:lang w:val="en-GB"/>
    </w:rPr>
  </w:style>
  <w:style w:type="paragraph" w:styleId="Header">
    <w:name w:val="header"/>
    <w:basedOn w:val="Normal"/>
    <w:link w:val="HeaderChar"/>
    <w:uiPriority w:val="99"/>
    <w:semiHidden/>
    <w:unhideWhenUsed/>
    <w:rsid w:val="004B10A9"/>
    <w:pPr>
      <w:tabs>
        <w:tab w:val="center" w:pos="4513"/>
        <w:tab w:val="right" w:pos="9026"/>
      </w:tabs>
    </w:pPr>
  </w:style>
  <w:style w:type="character" w:customStyle="1" w:styleId="HeaderChar">
    <w:name w:val="Header Char"/>
    <w:basedOn w:val="DefaultParagraphFont"/>
    <w:link w:val="Header"/>
    <w:uiPriority w:val="99"/>
    <w:semiHidden/>
    <w:rsid w:val="004B10A9"/>
  </w:style>
  <w:style w:type="paragraph" w:styleId="Footer">
    <w:name w:val="footer"/>
    <w:basedOn w:val="Normal"/>
    <w:link w:val="FooterChar"/>
    <w:uiPriority w:val="99"/>
    <w:unhideWhenUsed/>
    <w:rsid w:val="004B10A9"/>
    <w:pPr>
      <w:tabs>
        <w:tab w:val="center" w:pos="4513"/>
        <w:tab w:val="right" w:pos="9026"/>
      </w:tabs>
    </w:pPr>
  </w:style>
  <w:style w:type="character" w:customStyle="1" w:styleId="FooterChar">
    <w:name w:val="Footer Char"/>
    <w:basedOn w:val="DefaultParagraphFont"/>
    <w:link w:val="Footer"/>
    <w:uiPriority w:val="99"/>
    <w:rsid w:val="004B10A9"/>
  </w:style>
  <w:style w:type="character" w:styleId="FollowedHyperlink">
    <w:name w:val="FollowedHyperlink"/>
    <w:basedOn w:val="DefaultParagraphFont"/>
    <w:uiPriority w:val="99"/>
    <w:semiHidden/>
    <w:unhideWhenUsed/>
    <w:rsid w:val="002F53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21"/>
  </w:style>
  <w:style w:type="paragraph" w:styleId="Heading1">
    <w:name w:val="heading 1"/>
    <w:basedOn w:val="Normal"/>
    <w:next w:val="Normal"/>
    <w:link w:val="Heading1Char"/>
    <w:uiPriority w:val="9"/>
    <w:qFormat/>
    <w:rsid w:val="008B11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1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8B11B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rsid w:val="008B11B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
    <w:uiPriority w:val="99"/>
    <w:rsid w:val="008B11B2"/>
    <w:rPr>
      <w:rFonts w:ascii="Times New Roman" w:hAnsi="Times New Roman"/>
      <w:sz w:val="18"/>
      <w:vertAlign w:val="superscript"/>
    </w:rPr>
  </w:style>
  <w:style w:type="paragraph" w:styleId="FootnoteText">
    <w:name w:val="footnote text"/>
    <w:aliases w:val="5_G"/>
    <w:basedOn w:val="Normal"/>
    <w:link w:val="FootnoteTextChar"/>
    <w:uiPriority w:val="99"/>
    <w:rsid w:val="008B11B2"/>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8B11B2"/>
    <w:rPr>
      <w:rFonts w:ascii="Times New Roman" w:eastAsia="Times New Roman" w:hAnsi="Times New Roman" w:cs="Times New Roman"/>
      <w:sz w:val="18"/>
      <w:szCs w:val="20"/>
      <w:lang w:val="en-GB"/>
    </w:rPr>
  </w:style>
  <w:style w:type="paragraph" w:customStyle="1" w:styleId="H1G">
    <w:name w:val="_ H_1_G"/>
    <w:basedOn w:val="Normal"/>
    <w:next w:val="Normal"/>
    <w:rsid w:val="008B11B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styleId="CommentReference">
    <w:name w:val="annotation reference"/>
    <w:basedOn w:val="DefaultParagraphFont"/>
    <w:semiHidden/>
    <w:unhideWhenUsed/>
    <w:rsid w:val="008B11B2"/>
    <w:rPr>
      <w:sz w:val="18"/>
      <w:szCs w:val="18"/>
    </w:rPr>
  </w:style>
  <w:style w:type="paragraph" w:styleId="CommentText">
    <w:name w:val="annotation text"/>
    <w:basedOn w:val="Normal"/>
    <w:link w:val="CommentTextChar"/>
    <w:semiHidden/>
    <w:unhideWhenUsed/>
    <w:rsid w:val="008B11B2"/>
    <w:pPr>
      <w:suppressAutoHyphens/>
    </w:pPr>
    <w:rPr>
      <w:rFonts w:ascii="Times New Roman" w:eastAsia="Times New Roman" w:hAnsi="Times New Roman" w:cs="Times New Roman"/>
      <w:lang w:val="en-GB"/>
    </w:rPr>
  </w:style>
  <w:style w:type="character" w:customStyle="1" w:styleId="CommentTextChar">
    <w:name w:val="Comment Text Char"/>
    <w:basedOn w:val="DefaultParagraphFont"/>
    <w:link w:val="CommentText"/>
    <w:semiHidden/>
    <w:rsid w:val="008B11B2"/>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8B11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1B2"/>
    <w:rPr>
      <w:rFonts w:ascii="Times New Roman" w:hAnsi="Times New Roman" w:cs="Times New Roman"/>
      <w:sz w:val="18"/>
      <w:szCs w:val="18"/>
    </w:rPr>
  </w:style>
  <w:style w:type="table" w:styleId="TableGrid">
    <w:name w:val="Table Grid"/>
    <w:basedOn w:val="TableNormal"/>
    <w:uiPriority w:val="39"/>
    <w:rsid w:val="008B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11B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B11B2"/>
    <w:rPr>
      <w:rFonts w:asciiTheme="majorHAnsi" w:eastAsiaTheme="majorEastAsia" w:hAnsiTheme="majorHAnsi" w:cstheme="majorBidi"/>
      <w:color w:val="2E74B5" w:themeColor="accent1" w:themeShade="BF"/>
      <w:sz w:val="32"/>
      <w:szCs w:val="32"/>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1A0823"/>
    <w:pPr>
      <w:ind w:left="720"/>
      <w:contextualSpacing/>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AC338E"/>
    <w:rPr>
      <w:color w:val="0000FF"/>
      <w:u w:val="single"/>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AC338E"/>
    <w:rPr>
      <w:rFonts w:ascii="Calibri" w:eastAsia="Times New Roman" w:hAnsi="Calibri" w:cs="Times New Roman"/>
      <w:sz w:val="22"/>
      <w:szCs w:val="22"/>
      <w:lang w:val="en-GB"/>
    </w:rPr>
  </w:style>
  <w:style w:type="paragraph" w:styleId="Header">
    <w:name w:val="header"/>
    <w:basedOn w:val="Normal"/>
    <w:link w:val="HeaderChar"/>
    <w:uiPriority w:val="99"/>
    <w:semiHidden/>
    <w:unhideWhenUsed/>
    <w:rsid w:val="004B10A9"/>
    <w:pPr>
      <w:tabs>
        <w:tab w:val="center" w:pos="4513"/>
        <w:tab w:val="right" w:pos="9026"/>
      </w:tabs>
    </w:pPr>
  </w:style>
  <w:style w:type="character" w:customStyle="1" w:styleId="HeaderChar">
    <w:name w:val="Header Char"/>
    <w:basedOn w:val="DefaultParagraphFont"/>
    <w:link w:val="Header"/>
    <w:uiPriority w:val="99"/>
    <w:semiHidden/>
    <w:rsid w:val="004B10A9"/>
  </w:style>
  <w:style w:type="paragraph" w:styleId="Footer">
    <w:name w:val="footer"/>
    <w:basedOn w:val="Normal"/>
    <w:link w:val="FooterChar"/>
    <w:uiPriority w:val="99"/>
    <w:unhideWhenUsed/>
    <w:rsid w:val="004B10A9"/>
    <w:pPr>
      <w:tabs>
        <w:tab w:val="center" w:pos="4513"/>
        <w:tab w:val="right" w:pos="9026"/>
      </w:tabs>
    </w:pPr>
  </w:style>
  <w:style w:type="character" w:customStyle="1" w:styleId="FooterChar">
    <w:name w:val="Footer Char"/>
    <w:basedOn w:val="DefaultParagraphFont"/>
    <w:link w:val="Footer"/>
    <w:uiPriority w:val="99"/>
    <w:rsid w:val="004B10A9"/>
  </w:style>
  <w:style w:type="character" w:styleId="FollowedHyperlink">
    <w:name w:val="FollowedHyperlink"/>
    <w:basedOn w:val="DefaultParagraphFont"/>
    <w:uiPriority w:val="99"/>
    <w:semiHidden/>
    <w:unhideWhenUsed/>
    <w:rsid w:val="002F5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documents/ga/res/40/a40r034.htm" TargetMode="External"/><Relationship Id="rId18" Type="http://schemas.openxmlformats.org/officeDocument/2006/relationships/hyperlink" Target="https://www.hcch.net/en/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cch.net/en/home" TargetMode="External"/><Relationship Id="rId7" Type="http://schemas.openxmlformats.org/officeDocument/2006/relationships/footnotes" Target="footnotes.xml"/><Relationship Id="rId12" Type="http://schemas.openxmlformats.org/officeDocument/2006/relationships/hyperlink" Target="http://www.ohchr.org/Documents/Publications/training9Titleen.pdf" TargetMode="External"/><Relationship Id="rId17" Type="http://schemas.openxmlformats.org/officeDocument/2006/relationships/hyperlink" Target="http://www.unodc.org/ml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odc.org/documents/organized-crime/Publications/Mutual_Legal_Assistance_Ebook_E.pdf" TargetMode="External"/><Relationship Id="rId20" Type="http://schemas.openxmlformats.org/officeDocument/2006/relationships/hyperlink" Target="http://www.haguejusticeportal.net/index.php?id=326"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ocuments/ga/res/40/a40r034.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hchr.org/EN/ProfessionalInterest/Pages/RoleOfProsecutors.aspx" TargetMode="External"/><Relationship Id="rId23" Type="http://schemas.openxmlformats.org/officeDocument/2006/relationships/hyperlink" Target="http://www.ohchr.org/EN/ProfessionalInterest/Pages/RemedyAndReparation.aspx" TargetMode="External"/><Relationship Id="rId28" Type="http://schemas.openxmlformats.org/officeDocument/2006/relationships/customXml" Target="../customXml/item3.xml"/><Relationship Id="rId10" Type="http://schemas.openxmlformats.org/officeDocument/2006/relationships/hyperlink" Target="http://www.ohchr.org/Documents/Publications/training9Titleen.pdf" TargetMode="External"/><Relationship Id="rId19" Type="http://schemas.openxmlformats.org/officeDocument/2006/relationships/hyperlink" Target="https://www.hcch.net/en/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hchr.org/EN/ProfessionalInterest/Pages/RoleOfProsecutors.aspx" TargetMode="External"/><Relationship Id="rId22" Type="http://schemas.openxmlformats.org/officeDocument/2006/relationships/hyperlink" Target="https://e-justice.europa.eu/content_cooperation_in_civil_matters-75-en.do"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D4D172-FB4C-4258-B41B-127F500AC292}"/>
</file>

<file path=customXml/itemProps2.xml><?xml version="1.0" encoding="utf-8"?>
<ds:datastoreItem xmlns:ds="http://schemas.openxmlformats.org/officeDocument/2006/customXml" ds:itemID="{138C9360-5643-4F62-98B6-30366A0305C1}"/>
</file>

<file path=customXml/itemProps3.xml><?xml version="1.0" encoding="utf-8"?>
<ds:datastoreItem xmlns:ds="http://schemas.openxmlformats.org/officeDocument/2006/customXml" ds:itemID="{2CF398D9-35F6-43DA-A754-CDC9F0EE55DB}"/>
</file>

<file path=customXml/itemProps4.xml><?xml version="1.0" encoding="utf-8"?>
<ds:datastoreItem xmlns:ds="http://schemas.openxmlformats.org/officeDocument/2006/customXml" ds:itemID="{11EEB7CB-C36F-4328-8AE2-44672B60974E}"/>
</file>

<file path=docProps/app.xml><?xml version="1.0" encoding="utf-8"?>
<Properties xmlns="http://schemas.openxmlformats.org/officeDocument/2006/extended-properties" xmlns:vt="http://schemas.openxmlformats.org/officeDocument/2006/docPropsVTypes">
  <Template>Normal.dotm</Template>
  <TotalTime>36</TotalTime>
  <Pages>38</Pages>
  <Words>15621</Words>
  <Characters>89040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Ragnhild Handagard</dc:creator>
  <cp:lastModifiedBy>Lene WENDLAND</cp:lastModifiedBy>
  <cp:revision>4</cp:revision>
  <cp:lastPrinted>2016-06-14T09:28:00Z</cp:lastPrinted>
  <dcterms:created xsi:type="dcterms:W3CDTF">2016-07-05T07:59:00Z</dcterms:created>
  <dcterms:modified xsi:type="dcterms:W3CDTF">2016-07-05T08:35:00Z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3602600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