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B32EB" w14:textId="063DE922" w:rsidR="003164CB" w:rsidRDefault="003164CB" w:rsidP="003164CB">
      <w:pPr>
        <w:spacing w:after="0" w:line="240" w:lineRule="atLeast"/>
        <w:jc w:val="center"/>
        <w:rPr>
          <w:rFonts w:ascii="Times New Roman" w:hAnsi="Times New Roman" w:cs="Times New Roman"/>
          <w:b/>
        </w:rPr>
      </w:pPr>
      <w:bookmarkStart w:id="0" w:name="_GoBack"/>
      <w:bookmarkEnd w:id="0"/>
    </w:p>
    <w:p w14:paraId="1025697D" w14:textId="77777777" w:rsidR="009C60FD" w:rsidRPr="007A4A66" w:rsidRDefault="009C60FD" w:rsidP="003164CB">
      <w:pPr>
        <w:spacing w:after="0" w:line="240" w:lineRule="atLeast"/>
        <w:jc w:val="center"/>
        <w:rPr>
          <w:rFonts w:ascii="Times New Roman" w:hAnsi="Times New Roman" w:cs="Times New Roman"/>
          <w:b/>
        </w:rPr>
      </w:pPr>
    </w:p>
    <w:p w14:paraId="403217E5" w14:textId="68AD0A90" w:rsidR="006A6BA4" w:rsidRPr="003164CB" w:rsidRDefault="00087C98" w:rsidP="003164CB">
      <w:pPr>
        <w:spacing w:after="0" w:line="240" w:lineRule="atLeast"/>
        <w:jc w:val="center"/>
        <w:rPr>
          <w:rFonts w:ascii="Times New Roman" w:hAnsi="Times New Roman" w:cs="Times New Roman"/>
          <w:b/>
          <w:sz w:val="28"/>
          <w:szCs w:val="28"/>
          <w:lang w:val="es-MX"/>
        </w:rPr>
      </w:pPr>
      <w:r w:rsidRPr="003164CB">
        <w:rPr>
          <w:rFonts w:ascii="Times New Roman" w:hAnsi="Times New Roman" w:cs="Times New Roman"/>
          <w:b/>
          <w:sz w:val="28"/>
          <w:szCs w:val="28"/>
        </w:rPr>
        <w:t>Aporte del Procurador de los Derechos Humanos de Guatemala a Informe de la Oficina de Derechos Humanos de las Naciones Unidas sobre los derechos del niño y los ODS: "Recuperación sostenible y robusta de la pandemia COVID-19"</w:t>
      </w:r>
    </w:p>
    <w:p w14:paraId="2122403E" w14:textId="77777777" w:rsidR="006A6BA4" w:rsidRPr="003164CB" w:rsidRDefault="006A6BA4" w:rsidP="003164CB">
      <w:pPr>
        <w:spacing w:after="0" w:line="240" w:lineRule="atLeast"/>
        <w:rPr>
          <w:rFonts w:ascii="Times New Roman" w:hAnsi="Times New Roman" w:cs="Times New Roman"/>
          <w:b/>
          <w:sz w:val="28"/>
          <w:szCs w:val="28"/>
          <w:lang w:val="es-MX"/>
        </w:rPr>
      </w:pPr>
    </w:p>
    <w:p w14:paraId="2F4C777C" w14:textId="37C04F4F" w:rsidR="00087C98" w:rsidRPr="003164CB" w:rsidRDefault="00087C98" w:rsidP="003164CB">
      <w:pPr>
        <w:spacing w:after="0" w:line="240" w:lineRule="atLeast"/>
        <w:jc w:val="both"/>
        <w:rPr>
          <w:rFonts w:ascii="Times New Roman" w:hAnsi="Times New Roman" w:cs="Times New Roman"/>
          <w:lang w:val="es-MX"/>
        </w:rPr>
      </w:pPr>
      <w:r w:rsidRPr="003164CB">
        <w:rPr>
          <w:rFonts w:ascii="Times New Roman" w:hAnsi="Times New Roman" w:cs="Times New Roman"/>
          <w:lang w:val="es-MX"/>
        </w:rPr>
        <w:t>Atendiendo la invitación a participar en el Informe de la Oficina de Derechos Humanos de las Naciones Unidas sobre los derechos del niño y los Objetivos de Desarrollo Sostenible (ODS): “Recuperación Sostenible y Robusta de la pandemia COVID-19”, el Procurador de los Derechos Humanos de Guatemala presenta este aporte, en el que se aborda</w:t>
      </w:r>
      <w:r w:rsidR="007A4A66">
        <w:rPr>
          <w:rFonts w:ascii="Times New Roman" w:hAnsi="Times New Roman" w:cs="Times New Roman"/>
          <w:lang w:val="es-MX"/>
        </w:rPr>
        <w:t>n</w:t>
      </w:r>
      <w:r w:rsidRPr="003164CB">
        <w:rPr>
          <w:rFonts w:ascii="Times New Roman" w:hAnsi="Times New Roman" w:cs="Times New Roman"/>
          <w:lang w:val="es-MX"/>
        </w:rPr>
        <w:t xml:space="preserve"> los desafíos más urgentes </w:t>
      </w:r>
      <w:r w:rsidR="007A4A66">
        <w:rPr>
          <w:rFonts w:ascii="Times New Roman" w:hAnsi="Times New Roman" w:cs="Times New Roman"/>
          <w:lang w:val="es-MX"/>
        </w:rPr>
        <w:t xml:space="preserve">en este tema. </w:t>
      </w:r>
    </w:p>
    <w:p w14:paraId="23909A14" w14:textId="77777777" w:rsidR="00087C98" w:rsidRPr="003164CB" w:rsidRDefault="00087C98" w:rsidP="003164CB">
      <w:pPr>
        <w:spacing w:after="0" w:line="240" w:lineRule="atLeast"/>
        <w:jc w:val="both"/>
        <w:rPr>
          <w:rFonts w:ascii="Times New Roman" w:hAnsi="Times New Roman" w:cs="Times New Roman"/>
          <w:lang w:val="es-MX"/>
        </w:rPr>
      </w:pPr>
    </w:p>
    <w:p w14:paraId="60F9CAD3" w14:textId="48E19FF0" w:rsidR="003164CB" w:rsidRPr="003164CB" w:rsidRDefault="00B7680F" w:rsidP="003164CB">
      <w:pPr>
        <w:spacing w:after="0" w:line="240" w:lineRule="atLeast"/>
        <w:jc w:val="both"/>
        <w:rPr>
          <w:rFonts w:ascii="Times New Roman" w:hAnsi="Times New Roman" w:cs="Times New Roman"/>
          <w:lang w:val="es-MX"/>
        </w:rPr>
      </w:pPr>
      <w:r>
        <w:rPr>
          <w:rFonts w:ascii="Times New Roman" w:hAnsi="Times New Roman" w:cs="Times New Roman"/>
          <w:lang w:val="es-MX"/>
        </w:rPr>
        <w:t>L</w:t>
      </w:r>
      <w:r w:rsidR="00087C98" w:rsidRPr="003164CB">
        <w:rPr>
          <w:rFonts w:ascii="Times New Roman" w:hAnsi="Times New Roman" w:cs="Times New Roman"/>
          <w:lang w:val="es-MX"/>
        </w:rPr>
        <w:t xml:space="preserve">a pandemia de COVID-19 </w:t>
      </w:r>
      <w:r w:rsidR="00A146E5">
        <w:rPr>
          <w:rFonts w:ascii="Times New Roman" w:hAnsi="Times New Roman" w:cs="Times New Roman"/>
          <w:lang w:val="es-MX"/>
        </w:rPr>
        <w:t xml:space="preserve">tiene </w:t>
      </w:r>
      <w:r w:rsidR="00087C98" w:rsidRPr="003164CB">
        <w:rPr>
          <w:rFonts w:ascii="Times New Roman" w:hAnsi="Times New Roman" w:cs="Times New Roman"/>
          <w:lang w:val="es-MX"/>
        </w:rPr>
        <w:t>enormes efectos en</w:t>
      </w:r>
      <w:r w:rsidR="00A146E5">
        <w:rPr>
          <w:rFonts w:ascii="Times New Roman" w:hAnsi="Times New Roman" w:cs="Times New Roman"/>
          <w:lang w:val="es-MX"/>
        </w:rPr>
        <w:t xml:space="preserve"> el cumplimiento </w:t>
      </w:r>
      <w:r w:rsidR="00087C98" w:rsidRPr="003164CB">
        <w:rPr>
          <w:rFonts w:ascii="Times New Roman" w:hAnsi="Times New Roman" w:cs="Times New Roman"/>
          <w:lang w:val="es-MX"/>
        </w:rPr>
        <w:t xml:space="preserve">de los derechos de niños, niñas y adolescentes (NNA). Estos efectos van mucho más allá de la salud, las medidas tomadas para contrarrestar esta enfermedad -especialmente el confinamiento, restricciones de movilidad y </w:t>
      </w:r>
      <w:r>
        <w:rPr>
          <w:rFonts w:ascii="Times New Roman" w:hAnsi="Times New Roman" w:cs="Times New Roman"/>
          <w:lang w:val="es-MX"/>
        </w:rPr>
        <w:t xml:space="preserve">la suspensión de clases presenciales en </w:t>
      </w:r>
      <w:r w:rsidR="00087C98" w:rsidRPr="003164CB">
        <w:rPr>
          <w:rFonts w:ascii="Times New Roman" w:hAnsi="Times New Roman" w:cs="Times New Roman"/>
          <w:lang w:val="es-MX"/>
        </w:rPr>
        <w:t>escuelas</w:t>
      </w:r>
      <w:r w:rsidR="009C60FD">
        <w:rPr>
          <w:rFonts w:ascii="Times New Roman" w:hAnsi="Times New Roman" w:cs="Times New Roman"/>
          <w:lang w:val="es-MX"/>
        </w:rPr>
        <w:t>-</w:t>
      </w:r>
      <w:r w:rsidR="00087C98" w:rsidRPr="003164CB">
        <w:rPr>
          <w:rFonts w:ascii="Times New Roman" w:hAnsi="Times New Roman" w:cs="Times New Roman"/>
          <w:lang w:val="es-MX"/>
        </w:rPr>
        <w:t xml:space="preserve"> han afectado </w:t>
      </w:r>
      <w:r>
        <w:rPr>
          <w:rFonts w:ascii="Times New Roman" w:hAnsi="Times New Roman" w:cs="Times New Roman"/>
          <w:lang w:val="es-MX"/>
        </w:rPr>
        <w:t xml:space="preserve">y afectarán </w:t>
      </w:r>
      <w:r w:rsidR="00087C98" w:rsidRPr="003164CB">
        <w:rPr>
          <w:rFonts w:ascii="Times New Roman" w:hAnsi="Times New Roman" w:cs="Times New Roman"/>
          <w:lang w:val="es-MX"/>
        </w:rPr>
        <w:t xml:space="preserve">directamente la educación y los servicios de protección </w:t>
      </w:r>
      <w:r>
        <w:rPr>
          <w:rFonts w:ascii="Times New Roman" w:hAnsi="Times New Roman" w:cs="Times New Roman"/>
          <w:lang w:val="es-MX"/>
        </w:rPr>
        <w:t>de niñez y adolescencia</w:t>
      </w:r>
      <w:r w:rsidR="00087C98" w:rsidRPr="003164CB">
        <w:rPr>
          <w:rFonts w:ascii="Times New Roman" w:hAnsi="Times New Roman" w:cs="Times New Roman"/>
          <w:lang w:val="es-MX"/>
        </w:rPr>
        <w:t xml:space="preserve">; además, la crisis económica generada por la pandemia perjudicó la capacidad de </w:t>
      </w:r>
      <w:r>
        <w:rPr>
          <w:rFonts w:ascii="Times New Roman" w:hAnsi="Times New Roman" w:cs="Times New Roman"/>
          <w:lang w:val="es-MX"/>
        </w:rPr>
        <w:t xml:space="preserve">las familias </w:t>
      </w:r>
      <w:r w:rsidR="00087C98" w:rsidRPr="003164CB">
        <w:rPr>
          <w:rFonts w:ascii="Times New Roman" w:hAnsi="Times New Roman" w:cs="Times New Roman"/>
          <w:lang w:val="es-MX"/>
        </w:rPr>
        <w:t xml:space="preserve">para obtener ingresos, especialmente a los más pobres, y redujo la posibilidad de acceder a una alimentación adecuada y a otros productos o servicios que aseguran un nivel de vida digno. </w:t>
      </w:r>
      <w:r w:rsidR="003164CB" w:rsidRPr="003164CB">
        <w:rPr>
          <w:rFonts w:ascii="Times New Roman" w:hAnsi="Times New Roman" w:cs="Times New Roman"/>
          <w:lang w:val="es-MX"/>
        </w:rPr>
        <w:t>A continuación, se presentan los desafíos más urgentes derivados de la pandemia de COVID-19, según ODS</w:t>
      </w:r>
    </w:p>
    <w:p w14:paraId="402C901B" w14:textId="77777777" w:rsidR="00693F7B" w:rsidRDefault="00693F7B" w:rsidP="007A4A66">
      <w:pPr>
        <w:spacing w:after="0" w:line="240" w:lineRule="atLeast"/>
        <w:rPr>
          <w:rFonts w:ascii="Times New Roman" w:hAnsi="Times New Roman" w:cs="Times New Roman"/>
          <w:lang w:val="es-MX"/>
        </w:rPr>
      </w:pPr>
    </w:p>
    <w:p w14:paraId="7EECCA65" w14:textId="2E0CE7FD" w:rsidR="00087C98" w:rsidRPr="007A4A66" w:rsidRDefault="00087C98" w:rsidP="007A4A66">
      <w:pPr>
        <w:pStyle w:val="Heading1"/>
        <w:spacing w:before="0" w:line="240" w:lineRule="atLeast"/>
        <w:rPr>
          <w:rFonts w:ascii="Times New Roman" w:hAnsi="Times New Roman" w:cs="Times New Roman"/>
          <w:b/>
          <w:bCs/>
          <w:iCs/>
          <w:color w:val="auto"/>
          <w:sz w:val="24"/>
          <w:szCs w:val="24"/>
          <w:lang w:val="es-MX"/>
        </w:rPr>
      </w:pPr>
      <w:r w:rsidRPr="007A4A66">
        <w:rPr>
          <w:rFonts w:ascii="Times New Roman" w:hAnsi="Times New Roman" w:cs="Times New Roman"/>
          <w:b/>
          <w:bCs/>
          <w:iCs/>
          <w:color w:val="auto"/>
          <w:sz w:val="24"/>
          <w:szCs w:val="24"/>
          <w:lang w:val="es-MX"/>
        </w:rPr>
        <w:t>1. Objetivos 1 (fin de la pobreza) y 2 (hambre cero)</w:t>
      </w:r>
    </w:p>
    <w:p w14:paraId="5D1D92E7" w14:textId="77777777" w:rsidR="00087C98" w:rsidRPr="003164CB" w:rsidRDefault="00087C98" w:rsidP="007A4A66">
      <w:pPr>
        <w:spacing w:after="0" w:line="240" w:lineRule="atLeast"/>
        <w:jc w:val="both"/>
        <w:rPr>
          <w:rFonts w:ascii="Times New Roman" w:hAnsi="Times New Roman" w:cs="Times New Roman"/>
          <w:lang w:val="es-MX"/>
        </w:rPr>
      </w:pPr>
    </w:p>
    <w:p w14:paraId="52999ED4" w14:textId="5C0AC8B4" w:rsidR="00087C98" w:rsidRPr="003164CB" w:rsidRDefault="00087C98" w:rsidP="003164CB">
      <w:pPr>
        <w:spacing w:after="0" w:line="240" w:lineRule="atLeast"/>
        <w:jc w:val="both"/>
        <w:rPr>
          <w:rFonts w:ascii="Times New Roman" w:hAnsi="Times New Roman" w:cs="Times New Roman"/>
        </w:rPr>
      </w:pPr>
      <w:r w:rsidRPr="003164CB">
        <w:rPr>
          <w:rFonts w:ascii="Times New Roman" w:hAnsi="Times New Roman" w:cs="Times New Roman"/>
          <w:lang w:val="es-MX"/>
        </w:rPr>
        <w:t>De acuerdo con</w:t>
      </w:r>
      <w:r w:rsidR="00B7680F">
        <w:rPr>
          <w:rFonts w:ascii="Times New Roman" w:hAnsi="Times New Roman" w:cs="Times New Roman"/>
          <w:lang w:val="es-MX"/>
        </w:rPr>
        <w:t xml:space="preserve"> la </w:t>
      </w:r>
      <w:r w:rsidRPr="003164CB">
        <w:rPr>
          <w:rFonts w:ascii="Times New Roman" w:hAnsi="Times New Roman" w:cs="Times New Roman"/>
          <w:lang w:val="es-MX"/>
        </w:rPr>
        <w:t xml:space="preserve"> Comisión Económica para América Latina y el Caribe (CEPAL), l</w:t>
      </w:r>
      <w:r w:rsidRPr="003164CB">
        <w:rPr>
          <w:rFonts w:ascii="Times New Roman" w:hAnsi="Times New Roman" w:cs="Times New Roman"/>
        </w:rPr>
        <w:t>a crisis provocada por la pandemia de COVID-19 hará que en Guatemala aumente la pobreza extrema en un 2.9%, por lo que la población en esta situación en 2020 sería de 22.7%</w:t>
      </w:r>
      <w:r w:rsidRPr="003164CB">
        <w:rPr>
          <w:rStyle w:val="FootnoteReference"/>
          <w:rFonts w:ascii="Times New Roman" w:hAnsi="Times New Roman" w:cs="Times New Roman"/>
        </w:rPr>
        <w:footnoteReference w:id="1"/>
      </w:r>
      <w:r w:rsidRPr="003164CB">
        <w:rPr>
          <w:rFonts w:ascii="Times New Roman" w:hAnsi="Times New Roman" w:cs="Times New Roman"/>
        </w:rPr>
        <w:t>.  Esto tiene repercusiones directas en los derechos de la niñez y adolescencia, incluyendo el acceso a alimentación adecuada, a recursos educativos y a servicios básicos -como agua y energía eléctrica-, además, aumenta</w:t>
      </w:r>
      <w:r w:rsidR="00F455AD">
        <w:rPr>
          <w:rFonts w:ascii="Times New Roman" w:hAnsi="Times New Roman" w:cs="Times New Roman"/>
        </w:rPr>
        <w:t>n</w:t>
      </w:r>
      <w:r w:rsidRPr="003164CB">
        <w:rPr>
          <w:rFonts w:ascii="Times New Roman" w:hAnsi="Times New Roman" w:cs="Times New Roman"/>
        </w:rPr>
        <w:t xml:space="preserve"> las condiciones que los pone</w:t>
      </w:r>
      <w:r w:rsidR="00F455AD">
        <w:rPr>
          <w:rFonts w:ascii="Times New Roman" w:hAnsi="Times New Roman" w:cs="Times New Roman"/>
        </w:rPr>
        <w:t>n</w:t>
      </w:r>
      <w:r w:rsidRPr="003164CB">
        <w:rPr>
          <w:rFonts w:ascii="Times New Roman" w:hAnsi="Times New Roman" w:cs="Times New Roman"/>
        </w:rPr>
        <w:t xml:space="preserve"> en riesgo ante </w:t>
      </w:r>
      <w:r w:rsidR="00A80BD1">
        <w:rPr>
          <w:rFonts w:ascii="Times New Roman" w:hAnsi="Times New Roman" w:cs="Times New Roman"/>
        </w:rPr>
        <w:t xml:space="preserve">las peores formas de explotación y </w:t>
      </w:r>
      <w:r w:rsidRPr="003164CB">
        <w:rPr>
          <w:rFonts w:ascii="Times New Roman" w:hAnsi="Times New Roman" w:cs="Times New Roman"/>
        </w:rPr>
        <w:t xml:space="preserve">trabajo infantil. </w:t>
      </w:r>
    </w:p>
    <w:p w14:paraId="6A6F0EF8" w14:textId="77777777" w:rsidR="00087C98" w:rsidRPr="003164CB" w:rsidRDefault="00087C98" w:rsidP="003164CB">
      <w:pPr>
        <w:spacing w:after="0" w:line="240" w:lineRule="atLeast"/>
        <w:jc w:val="both"/>
        <w:rPr>
          <w:rFonts w:ascii="Times New Roman" w:hAnsi="Times New Roman" w:cs="Times New Roman"/>
        </w:rPr>
      </w:pPr>
    </w:p>
    <w:p w14:paraId="419E25C6" w14:textId="19D6026C" w:rsidR="00087C98" w:rsidRPr="003164CB" w:rsidRDefault="00087C98" w:rsidP="003164CB">
      <w:pPr>
        <w:spacing w:after="0" w:line="240" w:lineRule="atLeast"/>
        <w:jc w:val="both"/>
        <w:rPr>
          <w:rFonts w:ascii="Times New Roman" w:hAnsi="Times New Roman" w:cs="Times New Roman"/>
        </w:rPr>
      </w:pPr>
      <w:r w:rsidRPr="003164CB">
        <w:rPr>
          <w:rFonts w:ascii="Times New Roman" w:hAnsi="Times New Roman" w:cs="Times New Roman"/>
        </w:rPr>
        <w:t xml:space="preserve">Dentro de las medidas adoptadas por el Estado de Guatemala para reducir el impacto económico de la pandemia, está el denominado </w:t>
      </w:r>
      <w:r w:rsidRPr="003164CB">
        <w:rPr>
          <w:rFonts w:ascii="Times New Roman" w:hAnsi="Times New Roman" w:cs="Times New Roman"/>
          <w:i/>
          <w:iCs/>
        </w:rPr>
        <w:t xml:space="preserve">Bono Familia </w:t>
      </w:r>
      <w:r w:rsidRPr="003164CB">
        <w:rPr>
          <w:rFonts w:ascii="Times New Roman" w:hAnsi="Times New Roman" w:cs="Times New Roman"/>
        </w:rPr>
        <w:t xml:space="preserve">-el de mayor magnitud y cobertura, cuyo presupuesto aprobado fue </w:t>
      </w:r>
      <w:r w:rsidR="003053EC">
        <w:rPr>
          <w:rFonts w:ascii="Times New Roman" w:hAnsi="Times New Roman" w:cs="Times New Roman"/>
        </w:rPr>
        <w:t>equivalente a</w:t>
      </w:r>
      <w:r w:rsidRPr="003164CB">
        <w:rPr>
          <w:rFonts w:ascii="Times New Roman" w:hAnsi="Times New Roman" w:cs="Times New Roman"/>
        </w:rPr>
        <w:t xml:space="preserve"> </w:t>
      </w:r>
      <w:r w:rsidR="003053EC">
        <w:rPr>
          <w:rFonts w:ascii="Times New Roman" w:hAnsi="Times New Roman" w:cs="Times New Roman"/>
        </w:rPr>
        <w:t>US$</w:t>
      </w:r>
      <w:r w:rsidRPr="003164CB">
        <w:rPr>
          <w:rFonts w:ascii="Times New Roman" w:hAnsi="Times New Roman" w:cs="Times New Roman"/>
        </w:rPr>
        <w:t xml:space="preserve"> </w:t>
      </w:r>
      <w:r w:rsidR="003053EC">
        <w:rPr>
          <w:rFonts w:ascii="Times New Roman" w:hAnsi="Times New Roman" w:cs="Times New Roman"/>
        </w:rPr>
        <w:t>767.28</w:t>
      </w:r>
      <w:r w:rsidRPr="003164CB">
        <w:rPr>
          <w:rFonts w:ascii="Times New Roman" w:hAnsi="Times New Roman" w:cs="Times New Roman"/>
        </w:rPr>
        <w:t xml:space="preserve"> millones</w:t>
      </w:r>
      <w:r w:rsidR="003053EC">
        <w:rPr>
          <w:rStyle w:val="FootnoteReference"/>
          <w:rFonts w:ascii="Times New Roman" w:hAnsi="Times New Roman" w:cs="Times New Roman"/>
        </w:rPr>
        <w:footnoteReference w:id="2"/>
      </w:r>
      <w:r w:rsidRPr="003164CB">
        <w:rPr>
          <w:rFonts w:ascii="Times New Roman" w:hAnsi="Times New Roman" w:cs="Times New Roman"/>
        </w:rPr>
        <w:t xml:space="preserve"> y </w:t>
      </w:r>
      <w:r w:rsidR="008E72E7">
        <w:rPr>
          <w:rFonts w:ascii="Times New Roman" w:hAnsi="Times New Roman" w:cs="Times New Roman"/>
        </w:rPr>
        <w:t xml:space="preserve">tenía como objetivo </w:t>
      </w:r>
      <w:r w:rsidRPr="003164CB">
        <w:rPr>
          <w:rFonts w:ascii="Times New Roman" w:hAnsi="Times New Roman" w:cs="Times New Roman"/>
        </w:rPr>
        <w:t xml:space="preserve">entregar tres desembolsos mensuales de </w:t>
      </w:r>
      <w:r w:rsidR="003053EC">
        <w:rPr>
          <w:rFonts w:ascii="Times New Roman" w:hAnsi="Times New Roman" w:cs="Times New Roman"/>
        </w:rPr>
        <w:t xml:space="preserve">US$ </w:t>
      </w:r>
      <w:r w:rsidR="003053EC" w:rsidRPr="00247D14">
        <w:rPr>
          <w:rFonts w:ascii="Times New Roman" w:hAnsi="Times New Roman" w:cs="Times New Roman"/>
        </w:rPr>
        <w:t>127.9</w:t>
      </w:r>
      <w:r w:rsidR="003053EC" w:rsidRPr="00247D14">
        <w:rPr>
          <w:rStyle w:val="FootnoteReference"/>
          <w:rFonts w:ascii="Times New Roman" w:hAnsi="Times New Roman" w:cs="Times New Roman"/>
        </w:rPr>
        <w:footnoteReference w:id="3"/>
      </w:r>
      <w:r w:rsidRPr="00247D14">
        <w:rPr>
          <w:rFonts w:ascii="Times New Roman" w:hAnsi="Times New Roman" w:cs="Times New Roman"/>
        </w:rPr>
        <w:t xml:space="preserve"> </w:t>
      </w:r>
      <w:r w:rsidR="008E72E7" w:rsidRPr="00247D14">
        <w:rPr>
          <w:rFonts w:ascii="Times New Roman" w:hAnsi="Times New Roman" w:cs="Times New Roman"/>
        </w:rPr>
        <w:t>a cada núcleo familiar,</w:t>
      </w:r>
      <w:r w:rsidR="00247D14">
        <w:rPr>
          <w:rFonts w:ascii="Times New Roman" w:hAnsi="Times New Roman" w:cs="Times New Roman"/>
        </w:rPr>
        <w:t xml:space="preserve"> con una cobertura de</w:t>
      </w:r>
      <w:r w:rsidRPr="00247D14">
        <w:rPr>
          <w:rFonts w:ascii="Times New Roman" w:hAnsi="Times New Roman" w:cs="Times New Roman"/>
        </w:rPr>
        <w:t xml:space="preserve"> dos millones de familias. En monitoreos y seguimiento</w:t>
      </w:r>
      <w:r w:rsidRPr="003164CB">
        <w:rPr>
          <w:rFonts w:ascii="Times New Roman" w:hAnsi="Times New Roman" w:cs="Times New Roman"/>
        </w:rPr>
        <w:t xml:space="preserve"> realizados por la Procuraduría de los Derechos Humanos (PDH), se determinó que durante su implementación se tuvo las siguientes deficiencias:</w:t>
      </w:r>
    </w:p>
    <w:p w14:paraId="6B1BE30F" w14:textId="77777777" w:rsidR="00087C98" w:rsidRPr="003164CB" w:rsidRDefault="00087C98" w:rsidP="003164CB">
      <w:pPr>
        <w:spacing w:after="0" w:line="240" w:lineRule="atLeast"/>
        <w:jc w:val="both"/>
        <w:rPr>
          <w:rFonts w:ascii="Times New Roman" w:hAnsi="Times New Roman" w:cs="Times New Roman"/>
        </w:rPr>
      </w:pPr>
    </w:p>
    <w:p w14:paraId="27E2B741" w14:textId="2F10878D" w:rsidR="00087C98" w:rsidRPr="003164CB" w:rsidRDefault="00087C98" w:rsidP="003164CB">
      <w:pPr>
        <w:pStyle w:val="ListParagraph"/>
        <w:numPr>
          <w:ilvl w:val="0"/>
          <w:numId w:val="29"/>
        </w:numPr>
        <w:spacing w:after="0" w:line="240" w:lineRule="atLeast"/>
        <w:ind w:left="426"/>
        <w:jc w:val="both"/>
        <w:rPr>
          <w:rFonts w:ascii="Times New Roman" w:hAnsi="Times New Roman" w:cs="Times New Roman"/>
          <w:sz w:val="24"/>
          <w:szCs w:val="24"/>
        </w:rPr>
      </w:pPr>
      <w:r w:rsidRPr="003164CB">
        <w:rPr>
          <w:rFonts w:ascii="Times New Roman" w:hAnsi="Times New Roman" w:cs="Times New Roman"/>
          <w:sz w:val="24"/>
          <w:szCs w:val="24"/>
        </w:rPr>
        <w:t>El aporte mensual cubre solamente una cuarta parte de la canasta básica alimentaria de un hogar</w:t>
      </w:r>
      <w:r w:rsidRPr="003164CB">
        <w:rPr>
          <w:rStyle w:val="FootnoteReference"/>
          <w:rFonts w:ascii="Times New Roman" w:hAnsi="Times New Roman" w:cs="Times New Roman"/>
          <w:sz w:val="24"/>
          <w:szCs w:val="24"/>
        </w:rPr>
        <w:footnoteReference w:id="4"/>
      </w:r>
      <w:r w:rsidRPr="003164CB">
        <w:rPr>
          <w:rFonts w:ascii="Times New Roman" w:hAnsi="Times New Roman" w:cs="Times New Roman"/>
          <w:sz w:val="24"/>
          <w:szCs w:val="24"/>
        </w:rPr>
        <w:t xml:space="preserve">. </w:t>
      </w:r>
    </w:p>
    <w:p w14:paraId="3F9CF561" w14:textId="1C5486D3" w:rsidR="00087C98" w:rsidRPr="003164CB" w:rsidRDefault="00087C98" w:rsidP="003164CB">
      <w:pPr>
        <w:pStyle w:val="ListParagraph"/>
        <w:numPr>
          <w:ilvl w:val="0"/>
          <w:numId w:val="29"/>
        </w:numPr>
        <w:spacing w:after="0" w:line="240" w:lineRule="atLeast"/>
        <w:ind w:left="426"/>
        <w:jc w:val="both"/>
        <w:rPr>
          <w:rFonts w:ascii="Times New Roman" w:hAnsi="Times New Roman" w:cs="Times New Roman"/>
          <w:sz w:val="24"/>
          <w:szCs w:val="24"/>
        </w:rPr>
      </w:pPr>
      <w:r w:rsidRPr="003164CB">
        <w:rPr>
          <w:rFonts w:ascii="Times New Roman" w:hAnsi="Times New Roman" w:cs="Times New Roman"/>
          <w:sz w:val="24"/>
          <w:szCs w:val="24"/>
        </w:rPr>
        <w:t xml:space="preserve">Importantes retrasos en la entrega del programa, la primera se realizó hasta finales de mayo de 2020, cuando ya habían transcurrido más de dos meses desde la implementación de restricciones de movilización; la segunda se realizó a partir de agosto; y la última en noviembre. </w:t>
      </w:r>
    </w:p>
    <w:p w14:paraId="037E6FFF" w14:textId="201FC1F3" w:rsidR="00087C98" w:rsidRPr="0083238C" w:rsidRDefault="009C44B0" w:rsidP="00346F96">
      <w:pPr>
        <w:pStyle w:val="ListParagraph"/>
        <w:numPr>
          <w:ilvl w:val="0"/>
          <w:numId w:val="29"/>
        </w:numPr>
        <w:spacing w:after="0" w:line="240" w:lineRule="atLeast"/>
        <w:ind w:left="426"/>
        <w:jc w:val="both"/>
        <w:rPr>
          <w:rFonts w:ascii="Times New Roman" w:hAnsi="Times New Roman" w:cs="Times New Roman"/>
          <w:sz w:val="24"/>
          <w:szCs w:val="24"/>
        </w:rPr>
      </w:pPr>
      <w:r w:rsidRPr="00346F96">
        <w:rPr>
          <w:rFonts w:ascii="Times New Roman" w:hAnsi="Times New Roman" w:cs="Times New Roman"/>
          <w:sz w:val="24"/>
          <w:szCs w:val="24"/>
        </w:rPr>
        <w:lastRenderedPageBreak/>
        <w:t>El criterio pr</w:t>
      </w:r>
      <w:r w:rsidRPr="00275111">
        <w:rPr>
          <w:rFonts w:ascii="Times New Roman" w:hAnsi="Times New Roman" w:cs="Times New Roman"/>
          <w:sz w:val="24"/>
          <w:szCs w:val="24"/>
        </w:rPr>
        <w:t xml:space="preserve">incipal </w:t>
      </w:r>
      <w:r w:rsidRPr="00346F96">
        <w:rPr>
          <w:rFonts w:ascii="Times New Roman" w:hAnsi="Times New Roman" w:cs="Times New Roman"/>
          <w:sz w:val="24"/>
          <w:szCs w:val="24"/>
        </w:rPr>
        <w:t xml:space="preserve">de </w:t>
      </w:r>
      <w:r w:rsidR="001527F4">
        <w:rPr>
          <w:rFonts w:ascii="Times New Roman" w:hAnsi="Times New Roman" w:cs="Times New Roman"/>
          <w:sz w:val="24"/>
          <w:szCs w:val="24"/>
        </w:rPr>
        <w:t>inclusión</w:t>
      </w:r>
      <w:r w:rsidR="00346F96" w:rsidRPr="00346F96">
        <w:rPr>
          <w:rFonts w:ascii="Times New Roman" w:hAnsi="Times New Roman" w:cs="Times New Roman"/>
          <w:sz w:val="24"/>
          <w:szCs w:val="24"/>
        </w:rPr>
        <w:t xml:space="preserve"> fue el consumo de</w:t>
      </w:r>
      <w:r w:rsidR="001527F4">
        <w:rPr>
          <w:rFonts w:ascii="Times New Roman" w:hAnsi="Times New Roman" w:cs="Times New Roman"/>
          <w:sz w:val="24"/>
          <w:szCs w:val="24"/>
        </w:rPr>
        <w:t xml:space="preserve"> energía</w:t>
      </w:r>
      <w:r w:rsidR="00346F96" w:rsidRPr="00346F96">
        <w:rPr>
          <w:rFonts w:ascii="Times New Roman" w:hAnsi="Times New Roman" w:cs="Times New Roman"/>
          <w:sz w:val="24"/>
          <w:szCs w:val="24"/>
        </w:rPr>
        <w:t xml:space="preserve"> </w:t>
      </w:r>
      <w:r w:rsidR="001527F4">
        <w:rPr>
          <w:rFonts w:ascii="Times New Roman" w:hAnsi="Times New Roman" w:cs="Times New Roman"/>
          <w:sz w:val="24"/>
          <w:szCs w:val="24"/>
        </w:rPr>
        <w:t>menor a</w:t>
      </w:r>
      <w:r w:rsidR="00346F96" w:rsidRPr="00346F96">
        <w:rPr>
          <w:rFonts w:ascii="Times New Roman" w:hAnsi="Times New Roman" w:cs="Times New Roman"/>
          <w:sz w:val="24"/>
          <w:szCs w:val="24"/>
        </w:rPr>
        <w:t xml:space="preserve"> 200 kWh, </w:t>
      </w:r>
      <w:r w:rsidR="001527F4">
        <w:rPr>
          <w:rFonts w:ascii="Times New Roman" w:hAnsi="Times New Roman" w:cs="Times New Roman"/>
          <w:sz w:val="24"/>
          <w:szCs w:val="24"/>
        </w:rPr>
        <w:t xml:space="preserve">dejando fuera </w:t>
      </w:r>
      <w:r w:rsidR="00346F96" w:rsidRPr="00346F96">
        <w:rPr>
          <w:rFonts w:ascii="Times New Roman" w:hAnsi="Times New Roman" w:cs="Times New Roman"/>
          <w:sz w:val="24"/>
          <w:szCs w:val="24"/>
        </w:rPr>
        <w:t>a las</w:t>
      </w:r>
      <w:r w:rsidR="00346F96">
        <w:rPr>
          <w:rFonts w:ascii="Times New Roman" w:hAnsi="Times New Roman" w:cs="Times New Roman"/>
          <w:sz w:val="24"/>
          <w:szCs w:val="24"/>
        </w:rPr>
        <w:t xml:space="preserve"> </w:t>
      </w:r>
      <w:r w:rsidR="00087C98" w:rsidRPr="00346F96">
        <w:rPr>
          <w:rFonts w:ascii="Times New Roman" w:hAnsi="Times New Roman" w:cs="Times New Roman"/>
          <w:sz w:val="24"/>
          <w:szCs w:val="24"/>
        </w:rPr>
        <w:t xml:space="preserve">familias sin acceso a este servicio, las cuales se encuentran en las peores condiciones socioeconómicas. Si bien posteriormente se buscaron mecanismos para incluir a las familias sin acceso a energía eléctrica, los desembolsos </w:t>
      </w:r>
      <w:r w:rsidR="0083238C">
        <w:rPr>
          <w:rFonts w:ascii="Times New Roman" w:hAnsi="Times New Roman" w:cs="Times New Roman"/>
          <w:sz w:val="24"/>
          <w:szCs w:val="24"/>
        </w:rPr>
        <w:t xml:space="preserve">para </w:t>
      </w:r>
      <w:r w:rsidR="00275111">
        <w:rPr>
          <w:rFonts w:ascii="Times New Roman" w:hAnsi="Times New Roman" w:cs="Times New Roman"/>
          <w:sz w:val="24"/>
          <w:szCs w:val="24"/>
        </w:rPr>
        <w:t>estas familias</w:t>
      </w:r>
      <w:r w:rsidR="0083238C">
        <w:rPr>
          <w:rFonts w:ascii="Times New Roman" w:hAnsi="Times New Roman" w:cs="Times New Roman"/>
          <w:sz w:val="24"/>
          <w:szCs w:val="24"/>
        </w:rPr>
        <w:t xml:space="preserve"> </w:t>
      </w:r>
      <w:r w:rsidR="00087C98" w:rsidRPr="0083238C">
        <w:rPr>
          <w:rFonts w:ascii="Times New Roman" w:hAnsi="Times New Roman" w:cs="Times New Roman"/>
          <w:sz w:val="24"/>
          <w:szCs w:val="24"/>
        </w:rPr>
        <w:t>se empezaron a realizar hasta noviembre</w:t>
      </w:r>
    </w:p>
    <w:p w14:paraId="249B3060" w14:textId="433F6AA1" w:rsidR="00087C98" w:rsidRPr="00247D14" w:rsidRDefault="00087C98" w:rsidP="003164CB">
      <w:pPr>
        <w:pStyle w:val="ListParagraph"/>
        <w:numPr>
          <w:ilvl w:val="0"/>
          <w:numId w:val="29"/>
        </w:numPr>
        <w:spacing w:after="0" w:line="240" w:lineRule="atLeast"/>
        <w:ind w:left="426"/>
        <w:jc w:val="both"/>
        <w:rPr>
          <w:rFonts w:ascii="Times New Roman" w:hAnsi="Times New Roman" w:cs="Times New Roman"/>
          <w:sz w:val="24"/>
          <w:szCs w:val="24"/>
        </w:rPr>
      </w:pPr>
      <w:r w:rsidRPr="003164CB">
        <w:rPr>
          <w:rFonts w:ascii="Times New Roman" w:hAnsi="Times New Roman" w:cs="Times New Roman"/>
          <w:sz w:val="24"/>
          <w:szCs w:val="24"/>
        </w:rPr>
        <w:t xml:space="preserve">En octubre, se anunció que el tercer aporte ya no sería de </w:t>
      </w:r>
      <w:r w:rsidR="003053EC">
        <w:rPr>
          <w:rFonts w:ascii="Times New Roman" w:hAnsi="Times New Roman" w:cs="Times New Roman"/>
          <w:sz w:val="24"/>
          <w:szCs w:val="24"/>
        </w:rPr>
        <w:t>US$ 127.9</w:t>
      </w:r>
      <w:r w:rsidRPr="003164CB">
        <w:rPr>
          <w:rFonts w:ascii="Times New Roman" w:hAnsi="Times New Roman" w:cs="Times New Roman"/>
          <w:sz w:val="24"/>
          <w:szCs w:val="24"/>
        </w:rPr>
        <w:t xml:space="preserve">, sino de Q </w:t>
      </w:r>
      <w:r w:rsidR="003053EC">
        <w:rPr>
          <w:rFonts w:ascii="Times New Roman" w:hAnsi="Times New Roman" w:cs="Times New Roman"/>
          <w:sz w:val="24"/>
          <w:szCs w:val="24"/>
        </w:rPr>
        <w:t>US$ 32.0</w:t>
      </w:r>
      <w:r w:rsidRPr="00247D14">
        <w:rPr>
          <w:rFonts w:ascii="Times New Roman" w:hAnsi="Times New Roman" w:cs="Times New Roman"/>
          <w:sz w:val="24"/>
          <w:szCs w:val="24"/>
        </w:rPr>
        <w:t xml:space="preserve">, </w:t>
      </w:r>
      <w:r w:rsidR="008E72E7" w:rsidRPr="00247D14">
        <w:rPr>
          <w:rFonts w:ascii="Times New Roman" w:hAnsi="Times New Roman" w:cs="Times New Roman"/>
          <w:sz w:val="24"/>
          <w:szCs w:val="24"/>
        </w:rPr>
        <w:t xml:space="preserve"> por cada núcleo familiar </w:t>
      </w:r>
      <w:r w:rsidRPr="00247D14">
        <w:rPr>
          <w:rFonts w:ascii="Times New Roman" w:hAnsi="Times New Roman" w:cs="Times New Roman"/>
          <w:sz w:val="24"/>
          <w:szCs w:val="24"/>
        </w:rPr>
        <w:t xml:space="preserve">debido a que se incluyeron más beneficiarios </w:t>
      </w:r>
      <w:r w:rsidR="001527F4" w:rsidRPr="00247D14">
        <w:rPr>
          <w:rFonts w:ascii="Times New Roman" w:hAnsi="Times New Roman" w:cs="Times New Roman"/>
          <w:sz w:val="24"/>
          <w:szCs w:val="24"/>
        </w:rPr>
        <w:t>de los</w:t>
      </w:r>
      <w:r w:rsidRPr="00247D14">
        <w:rPr>
          <w:rFonts w:ascii="Times New Roman" w:hAnsi="Times New Roman" w:cs="Times New Roman"/>
          <w:sz w:val="24"/>
          <w:szCs w:val="24"/>
        </w:rPr>
        <w:t xml:space="preserve"> originalmente contemplados</w:t>
      </w:r>
      <w:r w:rsidRPr="00247D14">
        <w:rPr>
          <w:rStyle w:val="FootnoteReference"/>
          <w:rFonts w:ascii="Times New Roman" w:hAnsi="Times New Roman" w:cs="Times New Roman"/>
          <w:sz w:val="24"/>
          <w:szCs w:val="24"/>
        </w:rPr>
        <w:footnoteReference w:id="5"/>
      </w:r>
      <w:r w:rsidRPr="00247D14">
        <w:rPr>
          <w:rFonts w:ascii="Times New Roman" w:hAnsi="Times New Roman" w:cs="Times New Roman"/>
          <w:sz w:val="24"/>
          <w:szCs w:val="24"/>
        </w:rPr>
        <w:t xml:space="preserve">. </w:t>
      </w:r>
    </w:p>
    <w:p w14:paraId="709BA931" w14:textId="77777777" w:rsidR="00087C98" w:rsidRPr="009449C7" w:rsidRDefault="00087C98" w:rsidP="003164CB">
      <w:pPr>
        <w:spacing w:after="0" w:line="240" w:lineRule="atLeast"/>
        <w:jc w:val="both"/>
        <w:rPr>
          <w:rFonts w:ascii="Times New Roman" w:hAnsi="Times New Roman" w:cs="Times New Roman"/>
          <w:lang w:val="es-GT"/>
        </w:rPr>
      </w:pPr>
    </w:p>
    <w:p w14:paraId="1EB6A03C" w14:textId="7AE65626" w:rsidR="00087C98" w:rsidRPr="003164CB" w:rsidRDefault="00087C98" w:rsidP="003164CB">
      <w:pPr>
        <w:spacing w:after="0" w:line="240" w:lineRule="atLeast"/>
        <w:jc w:val="both"/>
        <w:rPr>
          <w:rFonts w:ascii="Times New Roman" w:hAnsi="Times New Roman" w:cs="Times New Roman"/>
        </w:rPr>
      </w:pPr>
      <w:r w:rsidRPr="003164CB">
        <w:rPr>
          <w:rFonts w:ascii="Times New Roman" w:hAnsi="Times New Roman" w:cs="Times New Roman"/>
        </w:rPr>
        <w:t>Dentro de las acciones realizadas por la PDH</w:t>
      </w:r>
      <w:r w:rsidR="003053EC">
        <w:rPr>
          <w:rFonts w:ascii="Times New Roman" w:hAnsi="Times New Roman" w:cs="Times New Roman"/>
        </w:rPr>
        <w:t>, que</w:t>
      </w:r>
      <w:r w:rsidRPr="003164CB">
        <w:rPr>
          <w:rFonts w:ascii="Times New Roman" w:hAnsi="Times New Roman" w:cs="Times New Roman"/>
        </w:rPr>
        <w:t xml:space="preserve"> </w:t>
      </w:r>
      <w:r w:rsidR="003053EC">
        <w:rPr>
          <w:rFonts w:ascii="Times New Roman" w:hAnsi="Times New Roman" w:cs="Times New Roman"/>
        </w:rPr>
        <w:t xml:space="preserve">incluyen </w:t>
      </w:r>
      <w:r w:rsidRPr="003164CB">
        <w:rPr>
          <w:rFonts w:ascii="Times New Roman" w:hAnsi="Times New Roman" w:cs="Times New Roman"/>
        </w:rPr>
        <w:t>acciones de supervisión a la administración pública</w:t>
      </w:r>
      <w:r w:rsidR="003053EC">
        <w:rPr>
          <w:rFonts w:ascii="Times New Roman" w:hAnsi="Times New Roman" w:cs="Times New Roman"/>
        </w:rPr>
        <w:t xml:space="preserve"> y </w:t>
      </w:r>
      <w:r w:rsidRPr="003164CB">
        <w:rPr>
          <w:rFonts w:ascii="Times New Roman" w:hAnsi="Times New Roman" w:cs="Times New Roman"/>
        </w:rPr>
        <w:t>expedientes de investigación, ambos en materia de derechos humanos</w:t>
      </w:r>
      <w:r w:rsidR="003053EC">
        <w:rPr>
          <w:rFonts w:ascii="Times New Roman" w:hAnsi="Times New Roman" w:cs="Times New Roman"/>
        </w:rPr>
        <w:t>,</w:t>
      </w:r>
      <w:r w:rsidRPr="003164CB">
        <w:rPr>
          <w:rFonts w:ascii="Times New Roman" w:hAnsi="Times New Roman" w:cs="Times New Roman"/>
        </w:rPr>
        <w:t xml:space="preserve"> se emitió un pronunciamiento público en el cual se muestra la preocupación por la cantidad de casos de desnutrición aguda en niñez menor de cinco años, y </w:t>
      </w:r>
      <w:r w:rsidR="48B7AEED" w:rsidRPr="48B7AEED">
        <w:rPr>
          <w:rFonts w:ascii="Times New Roman" w:hAnsi="Times New Roman" w:cs="Times New Roman"/>
        </w:rPr>
        <w:t xml:space="preserve">se </w:t>
      </w:r>
      <w:r w:rsidRPr="003164CB">
        <w:rPr>
          <w:rFonts w:ascii="Times New Roman" w:hAnsi="Times New Roman" w:cs="Times New Roman"/>
        </w:rPr>
        <w:t xml:space="preserve">expresó que la pandemia de COVID-19 ha agudizado esta problemática, </w:t>
      </w:r>
      <w:r w:rsidR="48B7AEED" w:rsidRPr="48B7AEED">
        <w:rPr>
          <w:rFonts w:ascii="Times New Roman" w:hAnsi="Times New Roman" w:cs="Times New Roman"/>
        </w:rPr>
        <w:t xml:space="preserve">se </w:t>
      </w:r>
      <w:r w:rsidRPr="003164CB">
        <w:rPr>
          <w:rFonts w:ascii="Times New Roman" w:hAnsi="Times New Roman" w:cs="Times New Roman"/>
        </w:rPr>
        <w:t>recomendó al</w:t>
      </w:r>
      <w:r w:rsidR="008B7D50">
        <w:rPr>
          <w:rFonts w:ascii="Times New Roman" w:hAnsi="Times New Roman" w:cs="Times New Roman"/>
        </w:rPr>
        <w:t xml:space="preserve"> </w:t>
      </w:r>
      <w:r w:rsidR="008B7D50" w:rsidRPr="003164CB">
        <w:rPr>
          <w:rFonts w:ascii="Times New Roman" w:hAnsi="Times New Roman" w:cs="Times New Roman"/>
          <w:lang w:val="es-MX"/>
        </w:rPr>
        <w:t>Ministerio de Salud Pública y Asistencia Social</w:t>
      </w:r>
      <w:r w:rsidRPr="003164CB">
        <w:rPr>
          <w:rFonts w:ascii="Times New Roman" w:hAnsi="Times New Roman" w:cs="Times New Roman"/>
        </w:rPr>
        <w:t xml:space="preserve"> </w:t>
      </w:r>
      <w:r w:rsidR="008B7D50">
        <w:rPr>
          <w:rFonts w:ascii="Times New Roman" w:hAnsi="Times New Roman" w:cs="Times New Roman"/>
        </w:rPr>
        <w:t>(</w:t>
      </w:r>
      <w:r w:rsidRPr="003164CB">
        <w:rPr>
          <w:rFonts w:ascii="Times New Roman" w:hAnsi="Times New Roman" w:cs="Times New Roman"/>
        </w:rPr>
        <w:t>MSPAS</w:t>
      </w:r>
      <w:r w:rsidR="008B7D50">
        <w:rPr>
          <w:rFonts w:ascii="Times New Roman" w:hAnsi="Times New Roman" w:cs="Times New Roman"/>
        </w:rPr>
        <w:t>)</w:t>
      </w:r>
      <w:r w:rsidRPr="003164CB">
        <w:rPr>
          <w:rFonts w:ascii="Times New Roman" w:hAnsi="Times New Roman" w:cs="Times New Roman"/>
        </w:rPr>
        <w:t xml:space="preserve"> fortalecer la capacidad de detección de casos y continuar con la coordinación interinstitucional para el abordaje de la desnutrición infantil</w:t>
      </w:r>
      <w:r w:rsidRPr="003164CB">
        <w:rPr>
          <w:rStyle w:val="FootnoteReference"/>
          <w:rFonts w:ascii="Times New Roman" w:hAnsi="Times New Roman" w:cs="Times New Roman"/>
        </w:rPr>
        <w:footnoteReference w:id="6"/>
      </w:r>
      <w:r w:rsidRPr="003164CB">
        <w:rPr>
          <w:rFonts w:ascii="Times New Roman" w:hAnsi="Times New Roman" w:cs="Times New Roman"/>
        </w:rPr>
        <w:t xml:space="preserve">. </w:t>
      </w:r>
    </w:p>
    <w:p w14:paraId="5AEAEB38" w14:textId="77777777" w:rsidR="003164CB" w:rsidRPr="003164CB" w:rsidRDefault="003164CB" w:rsidP="003164CB">
      <w:pPr>
        <w:spacing w:after="0" w:line="240" w:lineRule="atLeast"/>
        <w:jc w:val="both"/>
        <w:rPr>
          <w:rFonts w:ascii="Times New Roman" w:hAnsi="Times New Roman" w:cs="Times New Roman"/>
        </w:rPr>
      </w:pPr>
    </w:p>
    <w:p w14:paraId="7BFBB983" w14:textId="1AF8C7E7" w:rsidR="00087C98" w:rsidRPr="003164CB" w:rsidRDefault="00087C98" w:rsidP="003164CB">
      <w:pPr>
        <w:pStyle w:val="Heading1"/>
        <w:spacing w:before="0" w:line="240" w:lineRule="atLeast"/>
        <w:jc w:val="both"/>
        <w:rPr>
          <w:rFonts w:ascii="Times New Roman" w:hAnsi="Times New Roman" w:cs="Times New Roman"/>
          <w:b/>
          <w:bCs/>
          <w:iCs/>
          <w:color w:val="auto"/>
          <w:sz w:val="24"/>
          <w:szCs w:val="24"/>
          <w:lang w:val="es-MX"/>
        </w:rPr>
      </w:pPr>
      <w:r w:rsidRPr="003164CB">
        <w:rPr>
          <w:rFonts w:ascii="Times New Roman" w:hAnsi="Times New Roman" w:cs="Times New Roman"/>
          <w:b/>
          <w:bCs/>
          <w:iCs/>
          <w:color w:val="auto"/>
          <w:sz w:val="24"/>
          <w:szCs w:val="24"/>
          <w:lang w:val="es-MX"/>
        </w:rPr>
        <w:t>2. Objetivo 3: Salud y bienestar</w:t>
      </w:r>
    </w:p>
    <w:p w14:paraId="0308D0A7" w14:textId="77777777" w:rsidR="00087C98" w:rsidRPr="003164CB" w:rsidRDefault="00087C98" w:rsidP="003164CB">
      <w:pPr>
        <w:spacing w:after="0" w:line="240" w:lineRule="atLeast"/>
        <w:jc w:val="both"/>
        <w:rPr>
          <w:rFonts w:ascii="Times New Roman" w:hAnsi="Times New Roman" w:cs="Times New Roman"/>
          <w:lang w:val="es-MX"/>
        </w:rPr>
      </w:pPr>
    </w:p>
    <w:p w14:paraId="629F89F4" w14:textId="6A0377DB" w:rsidR="001527F4" w:rsidRPr="003164CB" w:rsidRDefault="00087C98" w:rsidP="003164CB">
      <w:pPr>
        <w:spacing w:after="0" w:line="240" w:lineRule="atLeast"/>
        <w:jc w:val="both"/>
        <w:rPr>
          <w:rFonts w:ascii="Times New Roman" w:hAnsi="Times New Roman" w:cs="Times New Roman"/>
          <w:lang w:val="es-MX"/>
        </w:rPr>
      </w:pPr>
      <w:r w:rsidRPr="003164CB">
        <w:rPr>
          <w:rFonts w:ascii="Times New Roman" w:hAnsi="Times New Roman" w:cs="Times New Roman"/>
          <w:lang w:val="es-MX"/>
        </w:rPr>
        <w:t>De acuerdo con cifras del MSPAS, al 18 de noviembre de 2020, había 7,192 casos confirmados de NNA con COVID-19, lo cual representaba el 6.1% del total de casos; asimismo, reportó que 42 NNA habían fallecido por esa causa, representando al 1.0% del total de fallecidos</w:t>
      </w:r>
      <w:r w:rsidRPr="003164CB">
        <w:rPr>
          <w:rStyle w:val="FootnoteReference"/>
          <w:rFonts w:ascii="Times New Roman" w:hAnsi="Times New Roman" w:cs="Times New Roman"/>
          <w:lang w:val="es-MX"/>
        </w:rPr>
        <w:footnoteReference w:id="7"/>
      </w:r>
      <w:r w:rsidRPr="003164CB">
        <w:rPr>
          <w:rFonts w:ascii="Times New Roman" w:hAnsi="Times New Roman" w:cs="Times New Roman"/>
          <w:lang w:val="es-MX"/>
        </w:rPr>
        <w:t xml:space="preserve">.  </w:t>
      </w:r>
    </w:p>
    <w:p w14:paraId="5710C7B2" w14:textId="5BC96D46" w:rsidR="00087C98" w:rsidRPr="003164CB" w:rsidRDefault="00087C98" w:rsidP="003164CB">
      <w:pPr>
        <w:spacing w:after="0" w:line="240" w:lineRule="atLeast"/>
        <w:jc w:val="both"/>
        <w:rPr>
          <w:rFonts w:ascii="Times New Roman" w:hAnsi="Times New Roman" w:cs="Times New Roman"/>
          <w:lang w:val="es-MX"/>
        </w:rPr>
      </w:pPr>
    </w:p>
    <w:p w14:paraId="7C35C225" w14:textId="34AB70EF" w:rsidR="00E43BD7" w:rsidRDefault="00E43BD7" w:rsidP="00E43BD7">
      <w:pPr>
        <w:spacing w:after="0" w:line="240" w:lineRule="atLeast"/>
        <w:jc w:val="both"/>
        <w:rPr>
          <w:rFonts w:ascii="Times New Roman" w:hAnsi="Times New Roman" w:cs="Times New Roman"/>
          <w:lang w:val="es-MX"/>
        </w:rPr>
      </w:pPr>
      <w:r>
        <w:rPr>
          <w:rFonts w:ascii="Times New Roman" w:hAnsi="Times New Roman" w:cs="Times New Roman"/>
          <w:lang w:val="es-MX"/>
        </w:rPr>
        <w:t>E</w:t>
      </w:r>
      <w:r w:rsidR="00087C98" w:rsidRPr="003164CB">
        <w:rPr>
          <w:rFonts w:ascii="Times New Roman" w:hAnsi="Times New Roman" w:cs="Times New Roman"/>
          <w:lang w:val="es-MX"/>
        </w:rPr>
        <w:t xml:space="preserve">l comportamiento de la ejecución física del principal programa del país para prevenir la mortalidad en la </w:t>
      </w:r>
      <w:r w:rsidR="00C72C1F" w:rsidRPr="003164CB">
        <w:rPr>
          <w:rFonts w:ascii="Times New Roman" w:hAnsi="Times New Roman" w:cs="Times New Roman"/>
          <w:lang w:val="es-MX"/>
        </w:rPr>
        <w:t>niñez</w:t>
      </w:r>
      <w:r w:rsidR="00087C98" w:rsidRPr="003164CB">
        <w:rPr>
          <w:rFonts w:ascii="Times New Roman" w:hAnsi="Times New Roman" w:cs="Times New Roman"/>
          <w:lang w:val="es-MX"/>
        </w:rPr>
        <w:t xml:space="preserve"> muestra que han existido interrupciones en los servicios de salud; a octubre de 2020, 46 de las 51 acciones que se contemplaron dentro del programa 14 -</w:t>
      </w:r>
      <w:bookmarkStart w:id="1" w:name="_Hlk57037425"/>
      <w:r w:rsidR="00087C98" w:rsidRPr="003164CB">
        <w:rPr>
          <w:rFonts w:ascii="Times New Roman" w:hAnsi="Times New Roman" w:cs="Times New Roman"/>
          <w:lang w:val="es-MX"/>
        </w:rPr>
        <w:t>prevención de la mortalidad de la niñez y la desnutrición crónica- del MSPAS</w:t>
      </w:r>
      <w:bookmarkEnd w:id="1"/>
      <w:r w:rsidR="00087C98" w:rsidRPr="003164CB">
        <w:rPr>
          <w:rFonts w:ascii="Times New Roman" w:hAnsi="Times New Roman" w:cs="Times New Roman"/>
          <w:lang w:val="es-MX"/>
        </w:rPr>
        <w:t>, mostraban una ejecución física menor a lo ejecutado a la misma fecha de 2019.</w:t>
      </w:r>
      <w:r>
        <w:rPr>
          <w:rFonts w:ascii="Times New Roman" w:hAnsi="Times New Roman" w:cs="Times New Roman"/>
          <w:lang w:val="es-MX"/>
        </w:rPr>
        <w:t xml:space="preserve"> </w:t>
      </w:r>
    </w:p>
    <w:p w14:paraId="2A83137E" w14:textId="77777777" w:rsidR="00E43BD7" w:rsidRDefault="00E43BD7" w:rsidP="00E43BD7">
      <w:pPr>
        <w:spacing w:after="0" w:line="240" w:lineRule="atLeast"/>
        <w:jc w:val="both"/>
        <w:rPr>
          <w:rFonts w:ascii="Times New Roman" w:hAnsi="Times New Roman" w:cs="Times New Roman"/>
          <w:lang w:val="es-MX"/>
        </w:rPr>
      </w:pPr>
    </w:p>
    <w:p w14:paraId="2ED7FB2B" w14:textId="32D8014B" w:rsidR="003B09E1" w:rsidRPr="003164CB" w:rsidRDefault="00E43BD7" w:rsidP="003164CB">
      <w:pPr>
        <w:spacing w:after="0" w:line="240" w:lineRule="atLeast"/>
        <w:jc w:val="both"/>
        <w:rPr>
          <w:rFonts w:ascii="Times New Roman" w:hAnsi="Times New Roman" w:cs="Times New Roman"/>
          <w:lang w:val="es-MX"/>
        </w:rPr>
      </w:pPr>
      <w:r>
        <w:rPr>
          <w:rFonts w:ascii="Times New Roman" w:hAnsi="Times New Roman" w:cs="Times New Roman"/>
          <w:lang w:val="es-MX"/>
        </w:rPr>
        <w:t>Aunque diferentes estudios indican</w:t>
      </w:r>
      <w:r w:rsidRPr="003164CB">
        <w:rPr>
          <w:rFonts w:ascii="Times New Roman" w:hAnsi="Times New Roman" w:cs="Times New Roman"/>
          <w:lang w:val="es-MX"/>
        </w:rPr>
        <w:t xml:space="preserve"> que los NNA no se ven particularmente afectados por la pandemia de COVID</w:t>
      </w:r>
      <w:r w:rsidR="008B7D50">
        <w:rPr>
          <w:rFonts w:ascii="Times New Roman" w:hAnsi="Times New Roman" w:cs="Times New Roman"/>
          <w:lang w:val="es-MX"/>
        </w:rPr>
        <w:t>-19</w:t>
      </w:r>
      <w:r>
        <w:rPr>
          <w:rFonts w:ascii="Times New Roman" w:hAnsi="Times New Roman" w:cs="Times New Roman"/>
          <w:lang w:val="es-MX"/>
        </w:rPr>
        <w:t>,</w:t>
      </w:r>
      <w:r w:rsidRPr="003164CB">
        <w:rPr>
          <w:rFonts w:ascii="Times New Roman" w:hAnsi="Times New Roman" w:cs="Times New Roman"/>
          <w:lang w:val="es-MX"/>
        </w:rPr>
        <w:t xml:space="preserve"> las interrupciones en los servicios de salud infantil, a consecuencia de las medidas de contención de dicha enfermedad, </w:t>
      </w:r>
      <w:r>
        <w:rPr>
          <w:rFonts w:ascii="Times New Roman" w:hAnsi="Times New Roman" w:cs="Times New Roman"/>
          <w:lang w:val="es-MX"/>
        </w:rPr>
        <w:t xml:space="preserve">si </w:t>
      </w:r>
      <w:r w:rsidRPr="003164CB">
        <w:rPr>
          <w:rFonts w:ascii="Times New Roman" w:hAnsi="Times New Roman" w:cs="Times New Roman"/>
          <w:lang w:val="es-MX"/>
        </w:rPr>
        <w:t>producirán un aumento en las muertes infantiles</w:t>
      </w:r>
      <w:r w:rsidRPr="003164CB">
        <w:rPr>
          <w:rStyle w:val="FootnoteReference"/>
          <w:rFonts w:ascii="Times New Roman" w:hAnsi="Times New Roman" w:cs="Times New Roman"/>
          <w:lang w:val="es-MX"/>
        </w:rPr>
        <w:footnoteReference w:id="8"/>
      </w:r>
      <w:r>
        <w:rPr>
          <w:rFonts w:ascii="Times New Roman" w:hAnsi="Times New Roman" w:cs="Times New Roman"/>
          <w:lang w:val="es-MX"/>
        </w:rPr>
        <w:t xml:space="preserve"> por lo cual</w:t>
      </w:r>
      <w:r w:rsidRPr="003164CB">
        <w:rPr>
          <w:rFonts w:ascii="Times New Roman" w:hAnsi="Times New Roman" w:cs="Times New Roman"/>
          <w:lang w:val="es-MX"/>
        </w:rPr>
        <w:t xml:space="preserve"> en Guatemala puede haber 2,000 muertes adicionales (34%)</w:t>
      </w:r>
      <w:r w:rsidRPr="003164CB">
        <w:rPr>
          <w:rStyle w:val="FootnoteReference"/>
          <w:rFonts w:ascii="Times New Roman" w:hAnsi="Times New Roman" w:cs="Times New Roman"/>
          <w:lang w:val="es-MX"/>
        </w:rPr>
        <w:footnoteReference w:id="9"/>
      </w:r>
      <w:r w:rsidRPr="003164CB">
        <w:rPr>
          <w:rFonts w:ascii="Times New Roman" w:hAnsi="Times New Roman" w:cs="Times New Roman"/>
          <w:lang w:val="es-MX"/>
        </w:rPr>
        <w:t xml:space="preserve"> por esta causa.</w:t>
      </w:r>
      <w:r w:rsidR="008B7D50">
        <w:rPr>
          <w:rFonts w:ascii="Times New Roman" w:hAnsi="Times New Roman" w:cs="Times New Roman"/>
          <w:lang w:val="es-MX"/>
        </w:rPr>
        <w:t xml:space="preserve"> </w:t>
      </w:r>
      <w:r w:rsidR="00087C98" w:rsidRPr="003164CB">
        <w:rPr>
          <w:rFonts w:ascii="Times New Roman" w:hAnsi="Times New Roman" w:cs="Times New Roman"/>
          <w:lang w:val="es-MX"/>
        </w:rPr>
        <w:t>El PDH recomendó al MSPAS “realizar las acciones necesarias para garantizar el acceso a servicios de salud a la población que incluyen la atención de partos y enfermedades crónicas; vacunación de niñas y niños…”</w:t>
      </w:r>
      <w:r w:rsidR="00087C98" w:rsidRPr="003164CB">
        <w:rPr>
          <w:rStyle w:val="FootnoteReference"/>
          <w:rFonts w:ascii="Times New Roman" w:hAnsi="Times New Roman" w:cs="Times New Roman"/>
          <w:lang w:val="es-MX"/>
        </w:rPr>
        <w:footnoteReference w:id="10"/>
      </w:r>
    </w:p>
    <w:p w14:paraId="34C85BBE" w14:textId="77777777" w:rsidR="003164CB" w:rsidRPr="003164CB" w:rsidRDefault="003164CB" w:rsidP="003164CB">
      <w:pPr>
        <w:spacing w:after="0" w:line="240" w:lineRule="atLeast"/>
        <w:jc w:val="both"/>
        <w:rPr>
          <w:rFonts w:ascii="Times New Roman" w:hAnsi="Times New Roman" w:cs="Times New Roman"/>
          <w:lang w:val="es-MX"/>
        </w:rPr>
      </w:pPr>
    </w:p>
    <w:p w14:paraId="7B2258B0" w14:textId="1F1A4146" w:rsidR="00087C98" w:rsidRPr="003164CB" w:rsidRDefault="00CA508A" w:rsidP="003164CB">
      <w:pPr>
        <w:pStyle w:val="Heading1"/>
        <w:spacing w:before="0" w:line="240" w:lineRule="atLeast"/>
        <w:jc w:val="both"/>
        <w:rPr>
          <w:rFonts w:ascii="Times New Roman" w:hAnsi="Times New Roman" w:cs="Times New Roman"/>
          <w:b/>
          <w:bCs/>
          <w:iCs/>
          <w:color w:val="auto"/>
          <w:sz w:val="24"/>
          <w:szCs w:val="24"/>
          <w:lang w:val="es-MX"/>
        </w:rPr>
      </w:pPr>
      <w:r w:rsidRPr="003164CB">
        <w:rPr>
          <w:rFonts w:ascii="Times New Roman" w:hAnsi="Times New Roman" w:cs="Times New Roman"/>
          <w:b/>
          <w:bCs/>
          <w:iCs/>
          <w:color w:val="auto"/>
          <w:sz w:val="24"/>
          <w:szCs w:val="24"/>
          <w:lang w:val="es-MX"/>
        </w:rPr>
        <w:t xml:space="preserve">3. </w:t>
      </w:r>
      <w:r w:rsidR="003164CB" w:rsidRPr="003164CB">
        <w:rPr>
          <w:rFonts w:ascii="Times New Roman" w:hAnsi="Times New Roman" w:cs="Times New Roman"/>
          <w:b/>
          <w:bCs/>
          <w:iCs/>
          <w:color w:val="auto"/>
          <w:sz w:val="24"/>
          <w:szCs w:val="24"/>
          <w:lang w:val="es-MX"/>
        </w:rPr>
        <w:t>O</w:t>
      </w:r>
      <w:r w:rsidR="00087C98" w:rsidRPr="003164CB">
        <w:rPr>
          <w:rFonts w:ascii="Times New Roman" w:hAnsi="Times New Roman" w:cs="Times New Roman"/>
          <w:b/>
          <w:bCs/>
          <w:iCs/>
          <w:color w:val="auto"/>
          <w:sz w:val="24"/>
          <w:szCs w:val="24"/>
          <w:lang w:val="es-MX"/>
        </w:rPr>
        <w:t>bjetivo 16: Paz, justicia e instituciones sólidas</w:t>
      </w:r>
      <w:r w:rsidR="00087C98" w:rsidRPr="003164CB">
        <w:rPr>
          <w:rFonts w:ascii="Times New Roman" w:hAnsi="Times New Roman" w:cs="Times New Roman"/>
          <w:b/>
          <w:bCs/>
          <w:iCs/>
          <w:color w:val="auto"/>
          <w:sz w:val="24"/>
          <w:szCs w:val="24"/>
          <w:lang w:val="es-MX"/>
        </w:rPr>
        <w:cr/>
      </w:r>
    </w:p>
    <w:p w14:paraId="6FB13F69" w14:textId="2BBC631D" w:rsidR="00087C98" w:rsidRPr="003164CB" w:rsidRDefault="00CA508A" w:rsidP="003164CB">
      <w:pPr>
        <w:spacing w:after="0" w:line="240" w:lineRule="atLeast"/>
        <w:jc w:val="both"/>
        <w:rPr>
          <w:rFonts w:ascii="Times New Roman" w:hAnsi="Times New Roman" w:cs="Times New Roman"/>
          <w:lang w:val="es-MX"/>
        </w:rPr>
      </w:pPr>
      <w:r w:rsidRPr="003164CB">
        <w:rPr>
          <w:rFonts w:ascii="Times New Roman" w:hAnsi="Times New Roman" w:cs="Times New Roman"/>
          <w:lang w:val="es-MX"/>
        </w:rPr>
        <w:t xml:space="preserve">El confinamiento, las restricciones de movilidad, </w:t>
      </w:r>
      <w:r w:rsidR="00E43BD7">
        <w:rPr>
          <w:rFonts w:ascii="Times New Roman" w:hAnsi="Times New Roman" w:cs="Times New Roman"/>
          <w:lang w:val="es-MX"/>
        </w:rPr>
        <w:t>la suspensión de clases presenciales en</w:t>
      </w:r>
      <w:r w:rsidRPr="003164CB">
        <w:rPr>
          <w:rFonts w:ascii="Times New Roman" w:hAnsi="Times New Roman" w:cs="Times New Roman"/>
          <w:lang w:val="es-MX"/>
        </w:rPr>
        <w:t xml:space="preserve"> centros educativos y otras medidas tomadas con relación al COVID-</w:t>
      </w:r>
      <w:r w:rsidR="00E43BD7">
        <w:rPr>
          <w:rFonts w:ascii="Times New Roman" w:hAnsi="Times New Roman" w:cs="Times New Roman"/>
          <w:lang w:val="es-MX"/>
        </w:rPr>
        <w:t>19, g</w:t>
      </w:r>
      <w:r w:rsidR="00087C98" w:rsidRPr="003164CB">
        <w:rPr>
          <w:rFonts w:ascii="Times New Roman" w:hAnsi="Times New Roman" w:cs="Times New Roman"/>
          <w:lang w:val="es-MX"/>
        </w:rPr>
        <w:t xml:space="preserve">eneró situaciones que aumentaron el riesgo para </w:t>
      </w:r>
      <w:r w:rsidR="00E43BD7">
        <w:rPr>
          <w:rFonts w:ascii="Times New Roman" w:hAnsi="Times New Roman" w:cs="Times New Roman"/>
          <w:lang w:val="es-MX"/>
        </w:rPr>
        <w:t xml:space="preserve">la </w:t>
      </w:r>
      <w:r w:rsidR="00087C98" w:rsidRPr="003164CB">
        <w:rPr>
          <w:rFonts w:ascii="Times New Roman" w:hAnsi="Times New Roman" w:cs="Times New Roman"/>
          <w:lang w:val="es-MX"/>
        </w:rPr>
        <w:t>violencia, el abuso y la negligencia contra los NNA</w:t>
      </w:r>
      <w:r w:rsidR="00087C98" w:rsidRPr="003164CB">
        <w:rPr>
          <w:rStyle w:val="FootnoteReference"/>
          <w:rFonts w:ascii="Times New Roman" w:hAnsi="Times New Roman" w:cs="Times New Roman"/>
          <w:lang w:val="es-MX"/>
        </w:rPr>
        <w:footnoteReference w:id="11"/>
      </w:r>
      <w:r w:rsidR="00087C98" w:rsidRPr="003164CB">
        <w:rPr>
          <w:rFonts w:ascii="Times New Roman" w:hAnsi="Times New Roman" w:cs="Times New Roman"/>
          <w:lang w:val="es-MX"/>
        </w:rPr>
        <w:t xml:space="preserve">. </w:t>
      </w:r>
    </w:p>
    <w:p w14:paraId="7DDA9980" w14:textId="77777777" w:rsidR="00087C98" w:rsidRPr="003164CB" w:rsidRDefault="00087C98" w:rsidP="003164CB">
      <w:pPr>
        <w:spacing w:after="0" w:line="240" w:lineRule="atLeast"/>
        <w:jc w:val="both"/>
        <w:rPr>
          <w:rFonts w:ascii="Times New Roman" w:hAnsi="Times New Roman" w:cs="Times New Roman"/>
          <w:lang w:val="es-MX"/>
        </w:rPr>
      </w:pPr>
    </w:p>
    <w:p w14:paraId="463FB52B" w14:textId="585A1E50" w:rsidR="00087C98" w:rsidRDefault="00E43BD7" w:rsidP="003164CB">
      <w:pPr>
        <w:spacing w:after="0" w:line="240" w:lineRule="atLeast"/>
        <w:jc w:val="both"/>
        <w:rPr>
          <w:rFonts w:ascii="Times New Roman" w:hAnsi="Times New Roman" w:cs="Times New Roman"/>
          <w:lang w:val="es-MX"/>
        </w:rPr>
      </w:pPr>
      <w:r>
        <w:rPr>
          <w:rFonts w:ascii="Times New Roman" w:hAnsi="Times New Roman" w:cs="Times New Roman"/>
          <w:lang w:val="es-MX"/>
        </w:rPr>
        <w:t>En</w:t>
      </w:r>
      <w:r w:rsidR="00087C98" w:rsidRPr="003164CB">
        <w:rPr>
          <w:rFonts w:ascii="Times New Roman" w:hAnsi="Times New Roman" w:cs="Times New Roman"/>
          <w:lang w:val="es-MX"/>
        </w:rPr>
        <w:t xml:space="preserve"> Guatemala, </w:t>
      </w:r>
      <w:r>
        <w:rPr>
          <w:rFonts w:ascii="Times New Roman" w:hAnsi="Times New Roman" w:cs="Times New Roman"/>
          <w:lang w:val="es-MX"/>
        </w:rPr>
        <w:t>l</w:t>
      </w:r>
      <w:r w:rsidR="00087C98" w:rsidRPr="003164CB">
        <w:rPr>
          <w:rFonts w:ascii="Times New Roman" w:hAnsi="Times New Roman" w:cs="Times New Roman"/>
          <w:lang w:val="es-MX"/>
        </w:rPr>
        <w:t>a mayoría de las estadísticas oficiales</w:t>
      </w:r>
      <w:r>
        <w:rPr>
          <w:rFonts w:ascii="Times New Roman" w:hAnsi="Times New Roman" w:cs="Times New Roman"/>
          <w:lang w:val="es-MX"/>
        </w:rPr>
        <w:t xml:space="preserve"> reflejan</w:t>
      </w:r>
      <w:r w:rsidR="00087C98" w:rsidRPr="003164CB">
        <w:rPr>
          <w:rFonts w:ascii="Times New Roman" w:hAnsi="Times New Roman" w:cs="Times New Roman"/>
          <w:lang w:val="es-MX"/>
        </w:rPr>
        <w:t xml:space="preserve"> una reducción en las denuncias de violencia sexual y maltrato, tal como se muestra en la siguiente tabla</w:t>
      </w:r>
      <w:r w:rsidR="003164CB" w:rsidRPr="003164CB">
        <w:rPr>
          <w:rFonts w:ascii="Times New Roman" w:hAnsi="Times New Roman" w:cs="Times New Roman"/>
          <w:lang w:val="es-MX"/>
        </w:rPr>
        <w:t xml:space="preserve">, esto podría no representar una disminución de </w:t>
      </w:r>
      <w:r>
        <w:rPr>
          <w:rFonts w:ascii="Times New Roman" w:hAnsi="Times New Roman" w:cs="Times New Roman"/>
          <w:lang w:val="es-MX"/>
        </w:rPr>
        <w:t xml:space="preserve">los </w:t>
      </w:r>
      <w:r w:rsidR="003164CB" w:rsidRPr="003164CB">
        <w:rPr>
          <w:rFonts w:ascii="Times New Roman" w:hAnsi="Times New Roman" w:cs="Times New Roman"/>
          <w:lang w:val="es-MX"/>
        </w:rPr>
        <w:t xml:space="preserve">hechos, sino una consecuencia de la interrupción de las redes y servicios sociales de apoyo (escuela, servicios de salud, etc.), mayor dificultad de las víctimas </w:t>
      </w:r>
      <w:r>
        <w:rPr>
          <w:rFonts w:ascii="Times New Roman" w:hAnsi="Times New Roman" w:cs="Times New Roman"/>
          <w:lang w:val="es-MX"/>
        </w:rPr>
        <w:t>para</w:t>
      </w:r>
      <w:r w:rsidR="003164CB" w:rsidRPr="003164CB">
        <w:rPr>
          <w:rFonts w:ascii="Times New Roman" w:hAnsi="Times New Roman" w:cs="Times New Roman"/>
          <w:lang w:val="es-MX"/>
        </w:rPr>
        <w:t xml:space="preserve"> acceder a mecanismos de denuncia (falta de transporte público y restricciones de movilidad), </w:t>
      </w:r>
      <w:r w:rsidR="009449C7">
        <w:rPr>
          <w:rFonts w:ascii="Times New Roman" w:hAnsi="Times New Roman" w:cs="Times New Roman"/>
          <w:lang w:val="es-MX"/>
        </w:rPr>
        <w:t>el funcionamiento irregular</w:t>
      </w:r>
      <w:r w:rsidR="009449C7" w:rsidRPr="003164CB">
        <w:rPr>
          <w:rFonts w:ascii="Times New Roman" w:hAnsi="Times New Roman" w:cs="Times New Roman"/>
          <w:lang w:val="es-MX"/>
        </w:rPr>
        <w:t xml:space="preserve"> </w:t>
      </w:r>
      <w:r w:rsidR="003164CB" w:rsidRPr="003164CB">
        <w:rPr>
          <w:rFonts w:ascii="Times New Roman" w:hAnsi="Times New Roman" w:cs="Times New Roman"/>
          <w:lang w:val="es-MX"/>
        </w:rPr>
        <w:t>de los servicios formales de protección a la niñez</w:t>
      </w:r>
      <w:r w:rsidR="001E6F9A">
        <w:rPr>
          <w:rFonts w:ascii="Times New Roman" w:hAnsi="Times New Roman" w:cs="Times New Roman"/>
          <w:lang w:val="es-MX"/>
        </w:rPr>
        <w:t>, entre otros.</w:t>
      </w:r>
      <w:r w:rsidR="003164CB" w:rsidRPr="003164CB">
        <w:rPr>
          <w:rFonts w:ascii="Times New Roman" w:hAnsi="Times New Roman" w:cs="Times New Roman"/>
          <w:lang w:val="es-MX"/>
        </w:rPr>
        <w:t xml:space="preserve"> Además, se debe tener en cuenta que las medidas de control y </w:t>
      </w:r>
      <w:r w:rsidR="00EA5A59">
        <w:rPr>
          <w:rFonts w:ascii="Times New Roman" w:hAnsi="Times New Roman" w:cs="Times New Roman"/>
          <w:lang w:val="es-MX"/>
        </w:rPr>
        <w:t xml:space="preserve">mayor </w:t>
      </w:r>
      <w:r w:rsidR="003164CB" w:rsidRPr="003164CB">
        <w:rPr>
          <w:rFonts w:ascii="Times New Roman" w:hAnsi="Times New Roman" w:cs="Times New Roman"/>
          <w:lang w:val="es-MX"/>
        </w:rPr>
        <w:t xml:space="preserve"> presencia policial en las calles, debido a COVID-19</w:t>
      </w:r>
      <w:r w:rsidR="003164CB" w:rsidRPr="00C72C1F">
        <w:rPr>
          <w:rFonts w:ascii="Times New Roman" w:hAnsi="Times New Roman" w:cs="Times New Roman"/>
          <w:lang w:val="es-MX"/>
        </w:rPr>
        <w:t xml:space="preserve">, parecen disuadir la delincuencia, sin embargo, también contribuyen a que </w:t>
      </w:r>
      <w:r w:rsidR="00EA5A59">
        <w:rPr>
          <w:rFonts w:ascii="Times New Roman" w:hAnsi="Times New Roman" w:cs="Times New Roman"/>
          <w:lang w:val="es-MX"/>
        </w:rPr>
        <w:t xml:space="preserve"> aumenten lo</w:t>
      </w:r>
      <w:r w:rsidR="00247D14">
        <w:rPr>
          <w:rFonts w:ascii="Times New Roman" w:hAnsi="Times New Roman" w:cs="Times New Roman"/>
          <w:lang w:val="es-MX"/>
        </w:rPr>
        <w:t>s casos en  la  clandestinidad</w:t>
      </w:r>
      <w:r w:rsidR="003164CB" w:rsidRPr="00C72C1F">
        <w:rPr>
          <w:rStyle w:val="FootnoteReference"/>
          <w:rFonts w:ascii="Times New Roman" w:hAnsi="Times New Roman" w:cs="Times New Roman"/>
          <w:lang w:val="es-MX"/>
        </w:rPr>
        <w:footnoteReference w:id="12"/>
      </w:r>
      <w:r w:rsidR="003164CB" w:rsidRPr="00C72C1F">
        <w:rPr>
          <w:rFonts w:ascii="Times New Roman" w:hAnsi="Times New Roman" w:cs="Times New Roman"/>
          <w:lang w:val="es-MX"/>
        </w:rPr>
        <w:t>.</w:t>
      </w:r>
    </w:p>
    <w:p w14:paraId="71FA75F8" w14:textId="77777777" w:rsidR="001E6F9A" w:rsidRDefault="001E6F9A" w:rsidP="003164CB">
      <w:pPr>
        <w:spacing w:after="0" w:line="240" w:lineRule="atLeast"/>
        <w:jc w:val="both"/>
        <w:rPr>
          <w:rFonts w:ascii="Times New Roman" w:hAnsi="Times New Roman" w:cs="Times New Roman"/>
          <w:lang w:val="es-MX"/>
        </w:rPr>
      </w:pPr>
    </w:p>
    <w:p w14:paraId="0753BA4A" w14:textId="77777777" w:rsidR="00087C98" w:rsidRPr="003164CB" w:rsidRDefault="00087C98" w:rsidP="00693F7B">
      <w:pPr>
        <w:spacing w:after="0" w:line="240" w:lineRule="atLeast"/>
        <w:jc w:val="center"/>
        <w:rPr>
          <w:rFonts w:ascii="Times New Roman" w:hAnsi="Times New Roman" w:cs="Times New Roman"/>
          <w:i/>
          <w:iCs/>
          <w:lang w:val="es-MX"/>
        </w:rPr>
      </w:pPr>
      <w:r w:rsidRPr="003164CB">
        <w:rPr>
          <w:rFonts w:ascii="Times New Roman" w:hAnsi="Times New Roman" w:cs="Times New Roman"/>
          <w:i/>
          <w:iCs/>
          <w:lang w:val="es-MX"/>
        </w:rPr>
        <w:t>Tabla 1. Principales cifras de violencia contra la niñez en Guatemala, 2019-2020</w:t>
      </w:r>
    </w:p>
    <w:p w14:paraId="321E50AC" w14:textId="77777777" w:rsidR="00087C98" w:rsidRPr="003164CB" w:rsidRDefault="00087C98" w:rsidP="003164CB">
      <w:pPr>
        <w:spacing w:after="0" w:line="240" w:lineRule="atLeast"/>
        <w:jc w:val="both"/>
        <w:rPr>
          <w:rFonts w:ascii="Times New Roman" w:hAnsi="Times New Roman" w:cs="Times New Roman"/>
          <w:lang w:val="es-MX"/>
        </w:rPr>
      </w:pPr>
    </w:p>
    <w:tbl>
      <w:tblPr>
        <w:tblW w:w="7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1085"/>
        <w:gridCol w:w="1085"/>
        <w:gridCol w:w="1283"/>
      </w:tblGrid>
      <w:tr w:rsidR="00087C98" w:rsidRPr="003164CB" w14:paraId="11C37C3F" w14:textId="77777777" w:rsidTr="00693F7B">
        <w:trPr>
          <w:trHeight w:val="164"/>
          <w:jc w:val="center"/>
        </w:trPr>
        <w:tc>
          <w:tcPr>
            <w:tcW w:w="4235" w:type="dxa"/>
            <w:vMerge w:val="restart"/>
            <w:shd w:val="clear" w:color="auto" w:fill="BFBFBF" w:themeFill="background1" w:themeFillShade="BF"/>
          </w:tcPr>
          <w:p w14:paraId="50099B45" w14:textId="77777777" w:rsidR="00087C98" w:rsidRPr="003164CB" w:rsidRDefault="00087C98" w:rsidP="003164CB">
            <w:pPr>
              <w:spacing w:after="0" w:line="240" w:lineRule="atLeast"/>
              <w:jc w:val="both"/>
              <w:rPr>
                <w:rFonts w:ascii="Times New Roman" w:eastAsia="Times New Roman" w:hAnsi="Times New Roman" w:cs="Times New Roman"/>
                <w:b/>
                <w:bCs/>
                <w:color w:val="000000"/>
              </w:rPr>
            </w:pPr>
            <w:r w:rsidRPr="003164CB">
              <w:rPr>
                <w:rFonts w:ascii="Times New Roman" w:eastAsia="Times New Roman" w:hAnsi="Times New Roman" w:cs="Times New Roman"/>
                <w:b/>
                <w:bCs/>
                <w:color w:val="000000"/>
              </w:rPr>
              <w:t>Vulneración</w:t>
            </w:r>
          </w:p>
        </w:tc>
        <w:tc>
          <w:tcPr>
            <w:tcW w:w="2170" w:type="dxa"/>
            <w:gridSpan w:val="2"/>
            <w:shd w:val="clear" w:color="auto" w:fill="BFBFBF" w:themeFill="background1" w:themeFillShade="BF"/>
          </w:tcPr>
          <w:p w14:paraId="1B96762B" w14:textId="77777777" w:rsidR="00087C98" w:rsidRPr="003164CB" w:rsidRDefault="00087C98" w:rsidP="008B7D50">
            <w:pPr>
              <w:spacing w:after="0" w:line="240" w:lineRule="atLeast"/>
              <w:jc w:val="center"/>
              <w:rPr>
                <w:rFonts w:ascii="Times New Roman" w:eastAsia="Times New Roman" w:hAnsi="Times New Roman" w:cs="Times New Roman"/>
                <w:b/>
                <w:bCs/>
                <w:color w:val="000000"/>
              </w:rPr>
            </w:pPr>
            <w:r w:rsidRPr="003164CB">
              <w:rPr>
                <w:rFonts w:ascii="Times New Roman" w:eastAsia="Times New Roman" w:hAnsi="Times New Roman" w:cs="Times New Roman"/>
                <w:b/>
                <w:bCs/>
                <w:color w:val="000000"/>
              </w:rPr>
              <w:t>Año</w:t>
            </w:r>
          </w:p>
        </w:tc>
        <w:tc>
          <w:tcPr>
            <w:tcW w:w="1277" w:type="dxa"/>
            <w:vMerge w:val="restart"/>
            <w:shd w:val="clear" w:color="auto" w:fill="BFBFBF" w:themeFill="background1" w:themeFillShade="BF"/>
          </w:tcPr>
          <w:p w14:paraId="764009C3" w14:textId="77777777" w:rsidR="00087C98" w:rsidRPr="003164CB" w:rsidRDefault="00087C98" w:rsidP="003164CB">
            <w:pPr>
              <w:spacing w:after="0" w:line="240" w:lineRule="atLeast"/>
              <w:jc w:val="both"/>
              <w:rPr>
                <w:rFonts w:ascii="Times New Roman" w:eastAsia="Times New Roman" w:hAnsi="Times New Roman" w:cs="Times New Roman"/>
                <w:b/>
                <w:bCs/>
                <w:color w:val="000000"/>
              </w:rPr>
            </w:pPr>
            <w:r w:rsidRPr="003164CB">
              <w:rPr>
                <w:rFonts w:ascii="Times New Roman" w:eastAsia="Times New Roman" w:hAnsi="Times New Roman" w:cs="Times New Roman"/>
                <w:b/>
                <w:bCs/>
                <w:color w:val="000000"/>
              </w:rPr>
              <w:t>Variación interanual</w:t>
            </w:r>
          </w:p>
        </w:tc>
      </w:tr>
      <w:tr w:rsidR="00087C98" w:rsidRPr="003164CB" w14:paraId="136C4ACE" w14:textId="77777777" w:rsidTr="00693F7B">
        <w:trPr>
          <w:trHeight w:val="164"/>
          <w:jc w:val="center"/>
        </w:trPr>
        <w:tc>
          <w:tcPr>
            <w:tcW w:w="4235" w:type="dxa"/>
            <w:vMerge/>
            <w:shd w:val="clear" w:color="auto" w:fill="BFBFBF" w:themeFill="background1" w:themeFillShade="BF"/>
          </w:tcPr>
          <w:p w14:paraId="138240DA" w14:textId="77777777" w:rsidR="00087C98" w:rsidRPr="003164CB" w:rsidRDefault="00087C98" w:rsidP="003164CB">
            <w:pPr>
              <w:spacing w:after="0" w:line="240" w:lineRule="atLeast"/>
              <w:jc w:val="both"/>
              <w:rPr>
                <w:rFonts w:ascii="Times New Roman" w:eastAsia="Times New Roman" w:hAnsi="Times New Roman" w:cs="Times New Roman"/>
                <w:b/>
                <w:bCs/>
                <w:color w:val="000000"/>
              </w:rPr>
            </w:pPr>
          </w:p>
        </w:tc>
        <w:tc>
          <w:tcPr>
            <w:tcW w:w="1085" w:type="dxa"/>
            <w:shd w:val="clear" w:color="auto" w:fill="BFBFBF" w:themeFill="background1" w:themeFillShade="BF"/>
          </w:tcPr>
          <w:p w14:paraId="06FE9502" w14:textId="77777777" w:rsidR="00087C98" w:rsidRPr="003164CB" w:rsidRDefault="00087C98" w:rsidP="003164CB">
            <w:pPr>
              <w:spacing w:after="0" w:line="240" w:lineRule="atLeast"/>
              <w:jc w:val="both"/>
              <w:rPr>
                <w:rFonts w:ascii="Times New Roman" w:eastAsia="Times New Roman" w:hAnsi="Times New Roman" w:cs="Times New Roman"/>
                <w:b/>
                <w:bCs/>
                <w:color w:val="000000"/>
              </w:rPr>
            </w:pPr>
            <w:r w:rsidRPr="003164CB">
              <w:rPr>
                <w:rFonts w:ascii="Times New Roman" w:eastAsia="Times New Roman" w:hAnsi="Times New Roman" w:cs="Times New Roman"/>
                <w:b/>
                <w:bCs/>
                <w:color w:val="000000"/>
              </w:rPr>
              <w:t>2019</w:t>
            </w:r>
          </w:p>
        </w:tc>
        <w:tc>
          <w:tcPr>
            <w:tcW w:w="1085" w:type="dxa"/>
            <w:shd w:val="clear" w:color="auto" w:fill="BFBFBF" w:themeFill="background1" w:themeFillShade="BF"/>
          </w:tcPr>
          <w:p w14:paraId="6FA72ED6" w14:textId="77777777" w:rsidR="00087C98" w:rsidRPr="003164CB" w:rsidRDefault="00087C98" w:rsidP="003164CB">
            <w:pPr>
              <w:spacing w:after="0" w:line="240" w:lineRule="atLeast"/>
              <w:jc w:val="both"/>
              <w:rPr>
                <w:rFonts w:ascii="Times New Roman" w:eastAsia="Times New Roman" w:hAnsi="Times New Roman" w:cs="Times New Roman"/>
                <w:b/>
                <w:bCs/>
                <w:color w:val="000000"/>
              </w:rPr>
            </w:pPr>
            <w:r w:rsidRPr="003164CB">
              <w:rPr>
                <w:rFonts w:ascii="Times New Roman" w:eastAsia="Times New Roman" w:hAnsi="Times New Roman" w:cs="Times New Roman"/>
                <w:b/>
                <w:bCs/>
                <w:color w:val="000000"/>
              </w:rPr>
              <w:t>2020</w:t>
            </w:r>
          </w:p>
        </w:tc>
        <w:tc>
          <w:tcPr>
            <w:tcW w:w="1277" w:type="dxa"/>
            <w:vMerge/>
            <w:shd w:val="clear" w:color="auto" w:fill="BFBFBF" w:themeFill="background1" w:themeFillShade="BF"/>
          </w:tcPr>
          <w:p w14:paraId="7BBCC206" w14:textId="77777777" w:rsidR="00087C98" w:rsidRPr="003164CB" w:rsidRDefault="00087C98" w:rsidP="003164CB">
            <w:pPr>
              <w:spacing w:after="0" w:line="240" w:lineRule="atLeast"/>
              <w:jc w:val="both"/>
              <w:rPr>
                <w:rFonts w:ascii="Times New Roman" w:eastAsia="Times New Roman" w:hAnsi="Times New Roman" w:cs="Times New Roman"/>
                <w:b/>
                <w:bCs/>
                <w:color w:val="000000"/>
              </w:rPr>
            </w:pPr>
          </w:p>
        </w:tc>
      </w:tr>
      <w:tr w:rsidR="00087C98" w:rsidRPr="003164CB" w14:paraId="67AABA0B" w14:textId="77777777" w:rsidTr="00693F7B">
        <w:trPr>
          <w:trHeight w:val="164"/>
          <w:jc w:val="center"/>
        </w:trPr>
        <w:tc>
          <w:tcPr>
            <w:tcW w:w="4235" w:type="dxa"/>
            <w:shd w:val="clear" w:color="auto" w:fill="auto"/>
            <w:hideMark/>
          </w:tcPr>
          <w:p w14:paraId="3C7E8698" w14:textId="77777777" w:rsidR="00087C98" w:rsidRPr="003164CB" w:rsidRDefault="00087C98" w:rsidP="003164CB">
            <w:pPr>
              <w:spacing w:after="0" w:line="240" w:lineRule="atLeast"/>
              <w:jc w:val="both"/>
              <w:rPr>
                <w:rFonts w:ascii="Times New Roman" w:eastAsia="Times New Roman" w:hAnsi="Times New Roman" w:cs="Times New Roman"/>
                <w:color w:val="000000"/>
                <w:vertAlign w:val="superscript"/>
              </w:rPr>
            </w:pPr>
            <w:r w:rsidRPr="003164CB">
              <w:rPr>
                <w:rFonts w:ascii="Times New Roman" w:eastAsia="Times New Roman" w:hAnsi="Times New Roman" w:cs="Times New Roman"/>
                <w:color w:val="000000"/>
              </w:rPr>
              <w:t xml:space="preserve">Muertes asociadas a hechos criminales </w:t>
            </w:r>
            <w:r w:rsidRPr="003164CB">
              <w:rPr>
                <w:rFonts w:ascii="Times New Roman" w:eastAsia="Times New Roman" w:hAnsi="Times New Roman" w:cs="Times New Roman"/>
                <w:color w:val="000000"/>
                <w:vertAlign w:val="superscript"/>
              </w:rPr>
              <w:t>a)</w:t>
            </w:r>
          </w:p>
        </w:tc>
        <w:tc>
          <w:tcPr>
            <w:tcW w:w="1085" w:type="dxa"/>
            <w:shd w:val="clear" w:color="auto" w:fill="auto"/>
            <w:hideMark/>
          </w:tcPr>
          <w:p w14:paraId="5CFE532D" w14:textId="77777777" w:rsidR="00087C98" w:rsidRPr="003164CB" w:rsidRDefault="00087C98" w:rsidP="003164CB">
            <w:pPr>
              <w:spacing w:after="0" w:line="240" w:lineRule="atLeast"/>
              <w:jc w:val="both"/>
              <w:rPr>
                <w:rFonts w:ascii="Times New Roman" w:eastAsia="Times New Roman" w:hAnsi="Times New Roman" w:cs="Times New Roman"/>
                <w:color w:val="000000"/>
              </w:rPr>
            </w:pPr>
            <w:r w:rsidRPr="003164CB">
              <w:rPr>
                <w:rFonts w:ascii="Times New Roman" w:eastAsia="Times New Roman" w:hAnsi="Times New Roman" w:cs="Times New Roman"/>
                <w:color w:val="000000"/>
              </w:rPr>
              <w:t>401</w:t>
            </w:r>
          </w:p>
        </w:tc>
        <w:tc>
          <w:tcPr>
            <w:tcW w:w="1085" w:type="dxa"/>
            <w:shd w:val="clear" w:color="auto" w:fill="auto"/>
            <w:hideMark/>
          </w:tcPr>
          <w:p w14:paraId="23C9DD03" w14:textId="77777777" w:rsidR="00087C98" w:rsidRPr="003164CB" w:rsidRDefault="00087C98" w:rsidP="003164CB">
            <w:pPr>
              <w:spacing w:after="0" w:line="240" w:lineRule="atLeast"/>
              <w:jc w:val="both"/>
              <w:rPr>
                <w:rFonts w:ascii="Times New Roman" w:eastAsia="Times New Roman" w:hAnsi="Times New Roman" w:cs="Times New Roman"/>
                <w:color w:val="000000"/>
              </w:rPr>
            </w:pPr>
            <w:r w:rsidRPr="003164CB">
              <w:rPr>
                <w:rFonts w:ascii="Times New Roman" w:eastAsia="Times New Roman" w:hAnsi="Times New Roman" w:cs="Times New Roman"/>
                <w:color w:val="000000"/>
              </w:rPr>
              <w:t>240</w:t>
            </w:r>
          </w:p>
        </w:tc>
        <w:tc>
          <w:tcPr>
            <w:tcW w:w="1277" w:type="dxa"/>
          </w:tcPr>
          <w:p w14:paraId="123072A4" w14:textId="77777777" w:rsidR="00087C98" w:rsidRPr="003164CB" w:rsidRDefault="00087C98" w:rsidP="003164CB">
            <w:pPr>
              <w:spacing w:after="0" w:line="240" w:lineRule="atLeast"/>
              <w:jc w:val="both"/>
              <w:rPr>
                <w:rFonts w:ascii="Times New Roman" w:eastAsia="Times New Roman" w:hAnsi="Times New Roman" w:cs="Times New Roman"/>
                <w:color w:val="000000"/>
              </w:rPr>
            </w:pPr>
            <w:r w:rsidRPr="003164CB">
              <w:rPr>
                <w:rFonts w:ascii="Times New Roman" w:eastAsia="Times New Roman" w:hAnsi="Times New Roman" w:cs="Times New Roman"/>
                <w:color w:val="000000"/>
              </w:rPr>
              <w:t>-40.1%</w:t>
            </w:r>
          </w:p>
        </w:tc>
      </w:tr>
      <w:tr w:rsidR="00087C98" w:rsidRPr="003164CB" w14:paraId="05DB83BE" w14:textId="77777777" w:rsidTr="00693F7B">
        <w:trPr>
          <w:trHeight w:val="149"/>
          <w:jc w:val="center"/>
        </w:trPr>
        <w:tc>
          <w:tcPr>
            <w:tcW w:w="4235" w:type="dxa"/>
            <w:shd w:val="clear" w:color="auto" w:fill="auto"/>
            <w:hideMark/>
          </w:tcPr>
          <w:p w14:paraId="1BB0283E" w14:textId="77777777" w:rsidR="00087C98" w:rsidRPr="003164CB" w:rsidRDefault="00087C98" w:rsidP="003164CB">
            <w:pPr>
              <w:spacing w:after="0" w:line="240" w:lineRule="atLeast"/>
              <w:jc w:val="both"/>
              <w:rPr>
                <w:rFonts w:ascii="Times New Roman" w:eastAsia="Times New Roman" w:hAnsi="Times New Roman" w:cs="Times New Roman"/>
                <w:color w:val="000000"/>
              </w:rPr>
            </w:pPr>
            <w:r w:rsidRPr="003164CB">
              <w:rPr>
                <w:rFonts w:ascii="Times New Roman" w:eastAsia="Times New Roman" w:hAnsi="Times New Roman" w:cs="Times New Roman"/>
                <w:color w:val="000000"/>
              </w:rPr>
              <w:t xml:space="preserve">Delitos sexuales contra NNA </w:t>
            </w:r>
            <w:r w:rsidRPr="003164CB">
              <w:rPr>
                <w:rFonts w:ascii="Times New Roman" w:eastAsia="Times New Roman" w:hAnsi="Times New Roman" w:cs="Times New Roman"/>
                <w:color w:val="000000"/>
                <w:vertAlign w:val="superscript"/>
              </w:rPr>
              <w:t>a)</w:t>
            </w:r>
          </w:p>
        </w:tc>
        <w:tc>
          <w:tcPr>
            <w:tcW w:w="1085" w:type="dxa"/>
            <w:shd w:val="clear" w:color="auto" w:fill="auto"/>
            <w:hideMark/>
          </w:tcPr>
          <w:p w14:paraId="500489BF" w14:textId="77777777" w:rsidR="00087C98" w:rsidRPr="003164CB" w:rsidRDefault="00087C98" w:rsidP="003164CB">
            <w:pPr>
              <w:spacing w:after="0" w:line="240" w:lineRule="atLeast"/>
              <w:jc w:val="both"/>
              <w:rPr>
                <w:rFonts w:ascii="Times New Roman" w:eastAsia="Times New Roman" w:hAnsi="Times New Roman" w:cs="Times New Roman"/>
                <w:color w:val="000000"/>
              </w:rPr>
            </w:pPr>
            <w:r w:rsidRPr="003164CB">
              <w:rPr>
                <w:rFonts w:ascii="Times New Roman" w:eastAsia="Times New Roman" w:hAnsi="Times New Roman" w:cs="Times New Roman"/>
                <w:color w:val="000000"/>
              </w:rPr>
              <w:t>4,811</w:t>
            </w:r>
          </w:p>
        </w:tc>
        <w:tc>
          <w:tcPr>
            <w:tcW w:w="1085" w:type="dxa"/>
            <w:shd w:val="clear" w:color="auto" w:fill="auto"/>
            <w:hideMark/>
          </w:tcPr>
          <w:p w14:paraId="59253934" w14:textId="77777777" w:rsidR="00087C98" w:rsidRPr="003164CB" w:rsidRDefault="00087C98" w:rsidP="003164CB">
            <w:pPr>
              <w:spacing w:after="0" w:line="240" w:lineRule="atLeast"/>
              <w:jc w:val="both"/>
              <w:rPr>
                <w:rFonts w:ascii="Times New Roman" w:eastAsia="Times New Roman" w:hAnsi="Times New Roman" w:cs="Times New Roman"/>
                <w:color w:val="000000"/>
              </w:rPr>
            </w:pPr>
            <w:r w:rsidRPr="003164CB">
              <w:rPr>
                <w:rFonts w:ascii="Times New Roman" w:eastAsia="Times New Roman" w:hAnsi="Times New Roman" w:cs="Times New Roman"/>
                <w:color w:val="000000"/>
              </w:rPr>
              <w:t>3,859</w:t>
            </w:r>
          </w:p>
        </w:tc>
        <w:tc>
          <w:tcPr>
            <w:tcW w:w="1277" w:type="dxa"/>
          </w:tcPr>
          <w:p w14:paraId="04107169" w14:textId="77777777" w:rsidR="00087C98" w:rsidRPr="003164CB" w:rsidRDefault="00087C98" w:rsidP="003164CB">
            <w:pPr>
              <w:spacing w:after="0" w:line="240" w:lineRule="atLeast"/>
              <w:jc w:val="both"/>
              <w:rPr>
                <w:rFonts w:ascii="Times New Roman" w:eastAsia="Times New Roman" w:hAnsi="Times New Roman" w:cs="Times New Roman"/>
                <w:color w:val="000000"/>
              </w:rPr>
            </w:pPr>
            <w:r w:rsidRPr="003164CB">
              <w:rPr>
                <w:rFonts w:ascii="Times New Roman" w:eastAsia="Times New Roman" w:hAnsi="Times New Roman" w:cs="Times New Roman"/>
                <w:color w:val="000000"/>
              </w:rPr>
              <w:t>-19.8%</w:t>
            </w:r>
          </w:p>
        </w:tc>
      </w:tr>
      <w:tr w:rsidR="00087C98" w:rsidRPr="003164CB" w14:paraId="6A1ACC2F" w14:textId="77777777" w:rsidTr="00693F7B">
        <w:trPr>
          <w:trHeight w:val="80"/>
          <w:jc w:val="center"/>
        </w:trPr>
        <w:tc>
          <w:tcPr>
            <w:tcW w:w="4235" w:type="dxa"/>
            <w:shd w:val="clear" w:color="auto" w:fill="auto"/>
            <w:hideMark/>
          </w:tcPr>
          <w:p w14:paraId="5159C526" w14:textId="77777777" w:rsidR="00087C98" w:rsidRPr="003164CB" w:rsidRDefault="00087C98" w:rsidP="003164CB">
            <w:pPr>
              <w:spacing w:after="0" w:line="240" w:lineRule="atLeast"/>
              <w:jc w:val="both"/>
              <w:rPr>
                <w:rFonts w:ascii="Times New Roman" w:eastAsia="Times New Roman" w:hAnsi="Times New Roman" w:cs="Times New Roman"/>
                <w:color w:val="000000"/>
                <w:vertAlign w:val="superscript"/>
              </w:rPr>
            </w:pPr>
            <w:r w:rsidRPr="003164CB">
              <w:rPr>
                <w:rFonts w:ascii="Times New Roman" w:eastAsia="Times New Roman" w:hAnsi="Times New Roman" w:cs="Times New Roman"/>
                <w:color w:val="000000"/>
              </w:rPr>
              <w:t xml:space="preserve">Casos de maltrato contra NNA </w:t>
            </w:r>
            <w:r w:rsidRPr="003164CB">
              <w:rPr>
                <w:rFonts w:ascii="Times New Roman" w:eastAsia="Times New Roman" w:hAnsi="Times New Roman" w:cs="Times New Roman"/>
                <w:color w:val="000000"/>
                <w:vertAlign w:val="superscript"/>
              </w:rPr>
              <w:t>b)</w:t>
            </w:r>
          </w:p>
        </w:tc>
        <w:tc>
          <w:tcPr>
            <w:tcW w:w="1085" w:type="dxa"/>
            <w:shd w:val="clear" w:color="auto" w:fill="auto"/>
            <w:hideMark/>
          </w:tcPr>
          <w:p w14:paraId="7BED1453" w14:textId="77777777" w:rsidR="00087C98" w:rsidRPr="003164CB" w:rsidRDefault="00087C98" w:rsidP="003164CB">
            <w:pPr>
              <w:spacing w:after="0" w:line="240" w:lineRule="atLeast"/>
              <w:jc w:val="both"/>
              <w:rPr>
                <w:rFonts w:ascii="Times New Roman" w:eastAsia="Times New Roman" w:hAnsi="Times New Roman" w:cs="Times New Roman"/>
                <w:color w:val="000000"/>
              </w:rPr>
            </w:pPr>
            <w:r w:rsidRPr="003164CB">
              <w:rPr>
                <w:rFonts w:ascii="Times New Roman" w:eastAsia="Times New Roman" w:hAnsi="Times New Roman" w:cs="Times New Roman"/>
                <w:color w:val="000000"/>
              </w:rPr>
              <w:t>8,669</w:t>
            </w:r>
          </w:p>
        </w:tc>
        <w:tc>
          <w:tcPr>
            <w:tcW w:w="1085" w:type="dxa"/>
            <w:shd w:val="clear" w:color="auto" w:fill="auto"/>
            <w:hideMark/>
          </w:tcPr>
          <w:p w14:paraId="5131A5F8" w14:textId="77777777" w:rsidR="00087C98" w:rsidRPr="003164CB" w:rsidRDefault="00087C98" w:rsidP="003164CB">
            <w:pPr>
              <w:spacing w:after="0" w:line="240" w:lineRule="atLeast"/>
              <w:jc w:val="both"/>
              <w:rPr>
                <w:rFonts w:ascii="Times New Roman" w:eastAsia="Times New Roman" w:hAnsi="Times New Roman" w:cs="Times New Roman"/>
                <w:color w:val="000000"/>
              </w:rPr>
            </w:pPr>
            <w:r w:rsidRPr="003164CB">
              <w:rPr>
                <w:rFonts w:ascii="Times New Roman" w:eastAsia="Times New Roman" w:hAnsi="Times New Roman" w:cs="Times New Roman"/>
                <w:color w:val="000000"/>
              </w:rPr>
              <w:t>6,650</w:t>
            </w:r>
          </w:p>
        </w:tc>
        <w:tc>
          <w:tcPr>
            <w:tcW w:w="1277" w:type="dxa"/>
          </w:tcPr>
          <w:p w14:paraId="78B8F1A2" w14:textId="77777777" w:rsidR="00087C98" w:rsidRPr="003164CB" w:rsidRDefault="00087C98" w:rsidP="003164CB">
            <w:pPr>
              <w:spacing w:after="0" w:line="240" w:lineRule="atLeast"/>
              <w:jc w:val="both"/>
              <w:rPr>
                <w:rFonts w:ascii="Times New Roman" w:eastAsia="Times New Roman" w:hAnsi="Times New Roman" w:cs="Times New Roman"/>
                <w:color w:val="000000"/>
              </w:rPr>
            </w:pPr>
            <w:r w:rsidRPr="003164CB">
              <w:rPr>
                <w:rFonts w:ascii="Times New Roman" w:eastAsia="Times New Roman" w:hAnsi="Times New Roman" w:cs="Times New Roman"/>
                <w:color w:val="000000"/>
              </w:rPr>
              <w:t>-23.3%</w:t>
            </w:r>
          </w:p>
        </w:tc>
      </w:tr>
      <w:tr w:rsidR="00087C98" w:rsidRPr="003164CB" w14:paraId="56C0CB87" w14:textId="77777777" w:rsidTr="00693F7B">
        <w:trPr>
          <w:trHeight w:val="80"/>
          <w:jc w:val="center"/>
        </w:trPr>
        <w:tc>
          <w:tcPr>
            <w:tcW w:w="4235" w:type="dxa"/>
            <w:shd w:val="clear" w:color="auto" w:fill="auto"/>
            <w:hideMark/>
          </w:tcPr>
          <w:p w14:paraId="21181C7D" w14:textId="77777777" w:rsidR="00087C98" w:rsidRPr="003164CB" w:rsidRDefault="00087C98" w:rsidP="003164CB">
            <w:pPr>
              <w:spacing w:after="0" w:line="240" w:lineRule="atLeast"/>
              <w:jc w:val="both"/>
              <w:rPr>
                <w:rFonts w:ascii="Times New Roman" w:eastAsia="Times New Roman" w:hAnsi="Times New Roman" w:cs="Times New Roman"/>
                <w:color w:val="000000"/>
                <w:vertAlign w:val="superscript"/>
              </w:rPr>
            </w:pPr>
            <w:r w:rsidRPr="003164CB">
              <w:rPr>
                <w:rFonts w:ascii="Times New Roman" w:eastAsia="Times New Roman" w:hAnsi="Times New Roman" w:cs="Times New Roman"/>
                <w:color w:val="000000"/>
              </w:rPr>
              <w:t xml:space="preserve">Embarazos en NNA (10-17 años) </w:t>
            </w:r>
            <w:r w:rsidRPr="003164CB">
              <w:rPr>
                <w:rFonts w:ascii="Times New Roman" w:eastAsia="Times New Roman" w:hAnsi="Times New Roman" w:cs="Times New Roman"/>
                <w:color w:val="000000"/>
                <w:vertAlign w:val="superscript"/>
              </w:rPr>
              <w:t>c)</w:t>
            </w:r>
          </w:p>
        </w:tc>
        <w:tc>
          <w:tcPr>
            <w:tcW w:w="1085" w:type="dxa"/>
            <w:shd w:val="clear" w:color="auto" w:fill="auto"/>
            <w:noWrap/>
            <w:hideMark/>
          </w:tcPr>
          <w:p w14:paraId="3509B317" w14:textId="77777777" w:rsidR="00087C98" w:rsidRPr="003164CB" w:rsidRDefault="00087C98" w:rsidP="003164CB">
            <w:pPr>
              <w:spacing w:after="0" w:line="240" w:lineRule="atLeast"/>
              <w:jc w:val="both"/>
              <w:rPr>
                <w:rFonts w:ascii="Times New Roman" w:eastAsia="Times New Roman" w:hAnsi="Times New Roman" w:cs="Times New Roman"/>
                <w:color w:val="000000"/>
              </w:rPr>
            </w:pPr>
            <w:r w:rsidRPr="003164CB">
              <w:rPr>
                <w:rFonts w:ascii="Times New Roman" w:eastAsia="Times New Roman" w:hAnsi="Times New Roman" w:cs="Times New Roman"/>
                <w:color w:val="000000"/>
              </w:rPr>
              <w:t>55,647</w:t>
            </w:r>
          </w:p>
        </w:tc>
        <w:tc>
          <w:tcPr>
            <w:tcW w:w="1085" w:type="dxa"/>
            <w:shd w:val="clear" w:color="auto" w:fill="auto"/>
            <w:noWrap/>
            <w:hideMark/>
          </w:tcPr>
          <w:p w14:paraId="50283E5D" w14:textId="77777777" w:rsidR="00087C98" w:rsidRPr="003164CB" w:rsidRDefault="00087C98" w:rsidP="003164CB">
            <w:pPr>
              <w:spacing w:after="0" w:line="240" w:lineRule="atLeast"/>
              <w:jc w:val="both"/>
              <w:rPr>
                <w:rFonts w:ascii="Times New Roman" w:eastAsia="Times New Roman" w:hAnsi="Times New Roman" w:cs="Times New Roman"/>
                <w:color w:val="000000"/>
              </w:rPr>
            </w:pPr>
            <w:r w:rsidRPr="003164CB">
              <w:rPr>
                <w:rFonts w:ascii="Times New Roman" w:eastAsia="Times New Roman" w:hAnsi="Times New Roman" w:cs="Times New Roman"/>
                <w:color w:val="000000"/>
              </w:rPr>
              <w:t>52,418</w:t>
            </w:r>
          </w:p>
        </w:tc>
        <w:tc>
          <w:tcPr>
            <w:tcW w:w="1277" w:type="dxa"/>
          </w:tcPr>
          <w:p w14:paraId="32ED5ACA" w14:textId="77777777" w:rsidR="00087C98" w:rsidRPr="003164CB" w:rsidRDefault="00087C98" w:rsidP="003164CB">
            <w:pPr>
              <w:spacing w:after="0" w:line="240" w:lineRule="atLeast"/>
              <w:jc w:val="both"/>
              <w:rPr>
                <w:rFonts w:ascii="Times New Roman" w:eastAsia="Times New Roman" w:hAnsi="Times New Roman" w:cs="Times New Roman"/>
                <w:color w:val="000000"/>
              </w:rPr>
            </w:pPr>
            <w:r w:rsidRPr="003164CB">
              <w:rPr>
                <w:rFonts w:ascii="Times New Roman" w:eastAsia="Times New Roman" w:hAnsi="Times New Roman" w:cs="Times New Roman"/>
                <w:color w:val="000000"/>
              </w:rPr>
              <w:t>-5.8%</w:t>
            </w:r>
          </w:p>
        </w:tc>
      </w:tr>
      <w:tr w:rsidR="00087C98" w:rsidRPr="003164CB" w14:paraId="76E5A5E2" w14:textId="77777777" w:rsidTr="00693F7B">
        <w:trPr>
          <w:trHeight w:val="80"/>
          <w:jc w:val="center"/>
        </w:trPr>
        <w:tc>
          <w:tcPr>
            <w:tcW w:w="4235" w:type="dxa"/>
            <w:shd w:val="clear" w:color="auto" w:fill="auto"/>
            <w:hideMark/>
          </w:tcPr>
          <w:p w14:paraId="3D4CD335" w14:textId="77777777" w:rsidR="00087C98" w:rsidRPr="003164CB" w:rsidRDefault="00087C98" w:rsidP="003164CB">
            <w:pPr>
              <w:spacing w:after="0" w:line="240" w:lineRule="atLeast"/>
              <w:jc w:val="both"/>
              <w:rPr>
                <w:rFonts w:ascii="Times New Roman" w:eastAsia="Times New Roman" w:hAnsi="Times New Roman" w:cs="Times New Roman"/>
                <w:color w:val="000000"/>
              </w:rPr>
            </w:pPr>
            <w:r w:rsidRPr="003164CB">
              <w:rPr>
                <w:rFonts w:ascii="Times New Roman" w:eastAsia="Times New Roman" w:hAnsi="Times New Roman" w:cs="Times New Roman"/>
                <w:color w:val="000000"/>
              </w:rPr>
              <w:t xml:space="preserve">Casos de niñez desaparecida </w:t>
            </w:r>
            <w:r w:rsidRPr="003164CB">
              <w:rPr>
                <w:rFonts w:ascii="Times New Roman" w:eastAsia="Times New Roman" w:hAnsi="Times New Roman" w:cs="Times New Roman"/>
                <w:color w:val="000000"/>
                <w:vertAlign w:val="superscript"/>
              </w:rPr>
              <w:t>d)</w:t>
            </w:r>
          </w:p>
        </w:tc>
        <w:tc>
          <w:tcPr>
            <w:tcW w:w="1085" w:type="dxa"/>
            <w:shd w:val="clear" w:color="auto" w:fill="auto"/>
            <w:noWrap/>
          </w:tcPr>
          <w:p w14:paraId="474F77F0" w14:textId="77777777" w:rsidR="00087C98" w:rsidRPr="003164CB" w:rsidRDefault="00087C98" w:rsidP="003164CB">
            <w:pPr>
              <w:spacing w:after="0" w:line="240" w:lineRule="atLeast"/>
              <w:jc w:val="both"/>
              <w:rPr>
                <w:rFonts w:ascii="Times New Roman" w:eastAsia="Times New Roman" w:hAnsi="Times New Roman" w:cs="Times New Roman"/>
                <w:color w:val="000000"/>
              </w:rPr>
            </w:pPr>
            <w:r w:rsidRPr="003164CB">
              <w:rPr>
                <w:rFonts w:ascii="Times New Roman" w:eastAsia="Times New Roman" w:hAnsi="Times New Roman" w:cs="Times New Roman"/>
                <w:color w:val="000000"/>
              </w:rPr>
              <w:t>6,005</w:t>
            </w:r>
          </w:p>
        </w:tc>
        <w:tc>
          <w:tcPr>
            <w:tcW w:w="1085" w:type="dxa"/>
            <w:shd w:val="clear" w:color="auto" w:fill="auto"/>
            <w:noWrap/>
          </w:tcPr>
          <w:p w14:paraId="4EB90A4D" w14:textId="77777777" w:rsidR="00087C98" w:rsidRPr="003164CB" w:rsidRDefault="00087C98" w:rsidP="003164CB">
            <w:pPr>
              <w:spacing w:after="0" w:line="240" w:lineRule="atLeast"/>
              <w:jc w:val="both"/>
              <w:rPr>
                <w:rFonts w:ascii="Times New Roman" w:eastAsia="Times New Roman" w:hAnsi="Times New Roman" w:cs="Times New Roman"/>
                <w:color w:val="000000"/>
              </w:rPr>
            </w:pPr>
            <w:r w:rsidRPr="003164CB">
              <w:rPr>
                <w:rFonts w:ascii="Times New Roman" w:eastAsia="Times New Roman" w:hAnsi="Times New Roman" w:cs="Times New Roman"/>
                <w:color w:val="000000"/>
              </w:rPr>
              <w:t>3,311</w:t>
            </w:r>
          </w:p>
        </w:tc>
        <w:tc>
          <w:tcPr>
            <w:tcW w:w="1277" w:type="dxa"/>
          </w:tcPr>
          <w:p w14:paraId="2BCD1D31" w14:textId="77777777" w:rsidR="00087C98" w:rsidRPr="003164CB" w:rsidRDefault="00087C98" w:rsidP="003164CB">
            <w:pPr>
              <w:spacing w:after="0" w:line="240" w:lineRule="atLeast"/>
              <w:jc w:val="both"/>
              <w:rPr>
                <w:rFonts w:ascii="Times New Roman" w:eastAsia="Times New Roman" w:hAnsi="Times New Roman" w:cs="Times New Roman"/>
                <w:color w:val="000000"/>
              </w:rPr>
            </w:pPr>
            <w:r w:rsidRPr="003164CB">
              <w:rPr>
                <w:rFonts w:ascii="Times New Roman" w:eastAsia="Times New Roman" w:hAnsi="Times New Roman" w:cs="Times New Roman"/>
                <w:color w:val="000000"/>
              </w:rPr>
              <w:t>-44.9%</w:t>
            </w:r>
          </w:p>
        </w:tc>
      </w:tr>
    </w:tbl>
    <w:p w14:paraId="6319BB12" w14:textId="12F63C78" w:rsidR="00087C98" w:rsidRPr="003164CB" w:rsidRDefault="00087C98" w:rsidP="008B7D50">
      <w:pPr>
        <w:spacing w:after="0" w:line="240" w:lineRule="atLeast"/>
        <w:ind w:left="993" w:right="959"/>
        <w:jc w:val="center"/>
        <w:rPr>
          <w:rFonts w:ascii="Times New Roman" w:hAnsi="Times New Roman" w:cs="Times New Roman"/>
          <w:sz w:val="16"/>
          <w:szCs w:val="16"/>
          <w:lang w:val="es-MX"/>
        </w:rPr>
      </w:pPr>
      <w:r w:rsidRPr="003164CB">
        <w:rPr>
          <w:rFonts w:ascii="Times New Roman" w:hAnsi="Times New Roman" w:cs="Times New Roman"/>
          <w:sz w:val="16"/>
          <w:szCs w:val="16"/>
          <w:lang w:val="es-MX"/>
        </w:rPr>
        <w:t xml:space="preserve">PDH/DIDH con datos de: a) Instituto Nacional de Ciencias Forenses, ambos años a octubre; b) Ministerio Público, ambos años a octubre; c) Observatorio de Salud Sexual y Reproductiva, ambos años a diciembre, 2020 proyectado de acuerdo </w:t>
      </w:r>
      <w:r w:rsidR="00CA508A" w:rsidRPr="003164CB">
        <w:rPr>
          <w:rFonts w:ascii="Times New Roman" w:hAnsi="Times New Roman" w:cs="Times New Roman"/>
          <w:sz w:val="16"/>
          <w:szCs w:val="16"/>
          <w:lang w:val="es-MX"/>
        </w:rPr>
        <w:t xml:space="preserve">con el </w:t>
      </w:r>
      <w:r w:rsidRPr="003164CB">
        <w:rPr>
          <w:rFonts w:ascii="Times New Roman" w:hAnsi="Times New Roman" w:cs="Times New Roman"/>
          <w:sz w:val="16"/>
          <w:szCs w:val="16"/>
          <w:lang w:val="es-MX"/>
        </w:rPr>
        <w:t>promedio diario de casos; y, d) PGN, ambos años a septiembre</w:t>
      </w:r>
      <w:r w:rsidR="00CA508A" w:rsidRPr="003164CB">
        <w:rPr>
          <w:rFonts w:ascii="Times New Roman" w:hAnsi="Times New Roman" w:cs="Times New Roman"/>
          <w:sz w:val="16"/>
          <w:szCs w:val="16"/>
          <w:lang w:val="es-MX"/>
        </w:rPr>
        <w:t>.</w:t>
      </w:r>
    </w:p>
    <w:p w14:paraId="584EA434" w14:textId="77777777" w:rsidR="00CA508A" w:rsidRPr="003164CB" w:rsidRDefault="00CA508A" w:rsidP="003164CB">
      <w:pPr>
        <w:spacing w:after="0" w:line="240" w:lineRule="atLeast"/>
        <w:ind w:right="616"/>
        <w:jc w:val="both"/>
        <w:rPr>
          <w:rFonts w:ascii="Times New Roman" w:hAnsi="Times New Roman" w:cs="Times New Roman"/>
          <w:sz w:val="16"/>
          <w:szCs w:val="16"/>
          <w:lang w:val="es-MX"/>
        </w:rPr>
      </w:pPr>
    </w:p>
    <w:p w14:paraId="513819F3" w14:textId="2420EEE0" w:rsidR="00087C98" w:rsidRPr="003164CB" w:rsidRDefault="001E6F9A" w:rsidP="003164CB">
      <w:pPr>
        <w:spacing w:after="0" w:line="240" w:lineRule="atLeast"/>
        <w:jc w:val="both"/>
        <w:rPr>
          <w:rFonts w:ascii="Times New Roman" w:hAnsi="Times New Roman" w:cs="Times New Roman"/>
          <w:lang w:val="es-MX"/>
        </w:rPr>
      </w:pPr>
      <w:r>
        <w:rPr>
          <w:rFonts w:ascii="Times New Roman" w:hAnsi="Times New Roman" w:cs="Times New Roman"/>
          <w:lang w:val="es-MX"/>
        </w:rPr>
        <w:t>D</w:t>
      </w:r>
      <w:r w:rsidR="00CA508A" w:rsidRPr="003164CB">
        <w:rPr>
          <w:rFonts w:ascii="Times New Roman" w:hAnsi="Times New Roman" w:cs="Times New Roman"/>
          <w:lang w:val="es-MX"/>
        </w:rPr>
        <w:t>erivado del COVID-19</w:t>
      </w:r>
      <w:r w:rsidR="00087C98" w:rsidRPr="003164CB">
        <w:rPr>
          <w:rFonts w:ascii="Times New Roman" w:hAnsi="Times New Roman" w:cs="Times New Roman"/>
          <w:lang w:val="es-MX"/>
        </w:rPr>
        <w:t xml:space="preserve">, </w:t>
      </w:r>
      <w:r>
        <w:rPr>
          <w:rFonts w:ascii="Times New Roman" w:hAnsi="Times New Roman" w:cs="Times New Roman"/>
          <w:lang w:val="es-MX"/>
        </w:rPr>
        <w:t xml:space="preserve">también </w:t>
      </w:r>
      <w:r w:rsidR="00087C98" w:rsidRPr="003164CB">
        <w:rPr>
          <w:rFonts w:ascii="Times New Roman" w:hAnsi="Times New Roman" w:cs="Times New Roman"/>
          <w:lang w:val="es-MX"/>
        </w:rPr>
        <w:t>se observó una ralentización en la respuesta del sistema de protección a la niñez. A partir de cifras proporcionadas por la Procuraduría General de la Nación (PGN)</w:t>
      </w:r>
      <w:r w:rsidR="00087C98" w:rsidRPr="003164CB">
        <w:rPr>
          <w:rStyle w:val="FootnoteReference"/>
          <w:rFonts w:ascii="Times New Roman" w:hAnsi="Times New Roman" w:cs="Times New Roman"/>
          <w:lang w:val="es-MX"/>
        </w:rPr>
        <w:footnoteReference w:id="13"/>
      </w:r>
      <w:r w:rsidR="00087C98" w:rsidRPr="003164CB">
        <w:rPr>
          <w:rFonts w:ascii="Times New Roman" w:hAnsi="Times New Roman" w:cs="Times New Roman"/>
          <w:lang w:val="es-MX"/>
        </w:rPr>
        <w:t>, se estableció que, respecto a 2019, el promedio diario de rescates disminuyó en un 37.1%, mientras que el de las denuncias lo hizo solamente en un 20.2%</w:t>
      </w:r>
      <w:r w:rsidR="00087C98" w:rsidRPr="003164CB">
        <w:rPr>
          <w:rStyle w:val="FootnoteReference"/>
          <w:rFonts w:ascii="Times New Roman" w:hAnsi="Times New Roman" w:cs="Times New Roman"/>
          <w:lang w:val="es-MX"/>
        </w:rPr>
        <w:footnoteReference w:id="14"/>
      </w:r>
      <w:r w:rsidR="00087C98" w:rsidRPr="003164CB">
        <w:rPr>
          <w:rFonts w:ascii="Times New Roman" w:hAnsi="Times New Roman" w:cs="Times New Roman"/>
          <w:lang w:val="es-MX"/>
        </w:rPr>
        <w:t xml:space="preserve">.  </w:t>
      </w:r>
      <w:r w:rsidR="008B7D50">
        <w:rPr>
          <w:rFonts w:ascii="Times New Roman" w:hAnsi="Times New Roman" w:cs="Times New Roman"/>
          <w:lang w:val="es-MX"/>
        </w:rPr>
        <w:t xml:space="preserve">Asimismo, </w:t>
      </w:r>
      <w:r>
        <w:rPr>
          <w:rFonts w:ascii="Times New Roman" w:hAnsi="Times New Roman" w:cs="Times New Roman"/>
          <w:lang w:val="es-MX"/>
        </w:rPr>
        <w:t xml:space="preserve">El </w:t>
      </w:r>
      <w:r w:rsidR="00087C98" w:rsidRPr="003164CB">
        <w:rPr>
          <w:rFonts w:ascii="Times New Roman" w:hAnsi="Times New Roman" w:cs="Times New Roman"/>
          <w:lang w:val="es-MX"/>
        </w:rPr>
        <w:t>Organismo Judicial (OJ)</w:t>
      </w:r>
      <w:r w:rsidR="00087C98" w:rsidRPr="003164CB">
        <w:rPr>
          <w:rStyle w:val="FootnoteReference"/>
          <w:rFonts w:ascii="Times New Roman" w:hAnsi="Times New Roman" w:cs="Times New Roman"/>
          <w:lang w:val="es-MX"/>
        </w:rPr>
        <w:t xml:space="preserve"> </w:t>
      </w:r>
      <w:r w:rsidR="00087C98" w:rsidRPr="003164CB">
        <w:rPr>
          <w:rStyle w:val="FootnoteReference"/>
          <w:rFonts w:ascii="Times New Roman" w:hAnsi="Times New Roman" w:cs="Times New Roman"/>
          <w:lang w:val="es-MX"/>
        </w:rPr>
        <w:footnoteReference w:id="15"/>
      </w:r>
      <w:r w:rsidR="00087C98" w:rsidRPr="003164CB">
        <w:rPr>
          <w:rFonts w:ascii="Times New Roman" w:hAnsi="Times New Roman" w:cs="Times New Roman"/>
          <w:lang w:val="es-MX"/>
        </w:rPr>
        <w:t xml:space="preserve">, entre 2019 y 2020, </w:t>
      </w:r>
      <w:r>
        <w:rPr>
          <w:rFonts w:ascii="Times New Roman" w:hAnsi="Times New Roman" w:cs="Times New Roman"/>
          <w:lang w:val="es-MX"/>
        </w:rPr>
        <w:t xml:space="preserve">reportó que </w:t>
      </w:r>
      <w:r w:rsidR="00087C98" w:rsidRPr="003164CB">
        <w:rPr>
          <w:rFonts w:ascii="Times New Roman" w:hAnsi="Times New Roman" w:cs="Times New Roman"/>
          <w:lang w:val="es-MX"/>
        </w:rPr>
        <w:t>los casos de NNA amenazados en sus derechos disminuyeron en un 27%, aunque en algunos departamentos disminuyó hasta un 40%,</w:t>
      </w:r>
      <w:r>
        <w:rPr>
          <w:rFonts w:ascii="Times New Roman" w:hAnsi="Times New Roman" w:cs="Times New Roman"/>
          <w:lang w:val="es-MX"/>
        </w:rPr>
        <w:t xml:space="preserve"> no obstante,</w:t>
      </w:r>
      <w:r w:rsidR="00087C98" w:rsidRPr="003164CB">
        <w:rPr>
          <w:rFonts w:ascii="Times New Roman" w:hAnsi="Times New Roman" w:cs="Times New Roman"/>
          <w:lang w:val="es-MX"/>
        </w:rPr>
        <w:t xml:space="preserve"> </w:t>
      </w:r>
      <w:r>
        <w:rPr>
          <w:rFonts w:ascii="Times New Roman" w:hAnsi="Times New Roman" w:cs="Times New Roman"/>
          <w:lang w:val="es-MX"/>
        </w:rPr>
        <w:t>durante el</w:t>
      </w:r>
      <w:r w:rsidR="00087C98" w:rsidRPr="003164CB">
        <w:rPr>
          <w:rFonts w:ascii="Times New Roman" w:hAnsi="Times New Roman" w:cs="Times New Roman"/>
          <w:lang w:val="es-MX"/>
        </w:rPr>
        <w:t xml:space="preserve"> 2020, en comparación a 2019, hubo un aumento en la suspensión de audiencias en procesos de niñez y adolescencia amenazada en sus derechos: 69.9% en las audiencias de conocimientos de hechos y 92.9% en las audiencias definitivas. </w:t>
      </w:r>
    </w:p>
    <w:p w14:paraId="470868A9" w14:textId="77777777" w:rsidR="00C81A1A" w:rsidRPr="003164CB" w:rsidRDefault="00C81A1A" w:rsidP="003164CB">
      <w:pPr>
        <w:spacing w:after="0" w:line="240" w:lineRule="atLeast"/>
        <w:jc w:val="both"/>
        <w:rPr>
          <w:rFonts w:ascii="Times New Roman" w:hAnsi="Times New Roman" w:cs="Times New Roman"/>
          <w:lang w:val="es-MX"/>
        </w:rPr>
      </w:pPr>
    </w:p>
    <w:p w14:paraId="1725CC6F" w14:textId="7729F746" w:rsidR="00AB4E11" w:rsidRPr="003164CB" w:rsidRDefault="00087C98" w:rsidP="003164CB">
      <w:pPr>
        <w:spacing w:after="0" w:line="240" w:lineRule="atLeast"/>
        <w:jc w:val="both"/>
        <w:rPr>
          <w:rFonts w:ascii="Times New Roman" w:hAnsi="Times New Roman" w:cs="Times New Roman"/>
          <w:lang w:val="es-MX"/>
        </w:rPr>
      </w:pPr>
      <w:r w:rsidRPr="003164CB">
        <w:rPr>
          <w:rFonts w:ascii="Times New Roman" w:hAnsi="Times New Roman" w:cs="Times New Roman"/>
          <w:lang w:val="es-MX"/>
        </w:rPr>
        <w:t xml:space="preserve">En el contexto de la pandemia de COVID-19, la PDH realizó recomendaciones por distintas vías a las entidades que integran el sistema de protección de la niñez y adolescencia </w:t>
      </w:r>
      <w:r w:rsidR="001E6F9A">
        <w:rPr>
          <w:rFonts w:ascii="Times New Roman" w:hAnsi="Times New Roman" w:cs="Times New Roman"/>
          <w:lang w:val="es-MX"/>
        </w:rPr>
        <w:t xml:space="preserve">con el objeto de promover </w:t>
      </w:r>
      <w:r w:rsidRPr="003164CB">
        <w:rPr>
          <w:rFonts w:ascii="Times New Roman" w:hAnsi="Times New Roman" w:cs="Times New Roman"/>
          <w:lang w:val="es-MX"/>
        </w:rPr>
        <w:t>las medidas necesarias para garantizar el interés superior del niño</w:t>
      </w:r>
      <w:r w:rsidRPr="003164CB">
        <w:rPr>
          <w:rStyle w:val="FootnoteReference"/>
          <w:rFonts w:ascii="Times New Roman" w:hAnsi="Times New Roman" w:cs="Times New Roman"/>
          <w:lang w:val="es-MX"/>
        </w:rPr>
        <w:footnoteReference w:id="16"/>
      </w:r>
      <w:r w:rsidRPr="003164CB">
        <w:rPr>
          <w:rFonts w:ascii="Times New Roman" w:hAnsi="Times New Roman" w:cs="Times New Roman"/>
          <w:lang w:val="es-MX"/>
        </w:rPr>
        <w:t xml:space="preserve">. </w:t>
      </w:r>
    </w:p>
    <w:p w14:paraId="1EF9F327" w14:textId="75F1E260" w:rsidR="003164CB" w:rsidRPr="003164CB" w:rsidRDefault="003164CB" w:rsidP="003164CB">
      <w:pPr>
        <w:spacing w:after="0" w:line="240" w:lineRule="atLeast"/>
        <w:jc w:val="both"/>
        <w:rPr>
          <w:rFonts w:ascii="Times New Roman" w:hAnsi="Times New Roman" w:cs="Times New Roman"/>
          <w:lang w:val="es-MX"/>
        </w:rPr>
      </w:pPr>
    </w:p>
    <w:p w14:paraId="489359FA" w14:textId="77777777" w:rsidR="003164CB" w:rsidRPr="003164CB" w:rsidRDefault="003164CB" w:rsidP="003164CB">
      <w:pPr>
        <w:spacing w:after="0" w:line="240" w:lineRule="atLeast"/>
        <w:jc w:val="both"/>
        <w:rPr>
          <w:rFonts w:ascii="Times New Roman" w:hAnsi="Times New Roman" w:cs="Times New Roman"/>
          <w:i/>
          <w:lang w:val="es-MX"/>
        </w:rPr>
      </w:pPr>
      <w:r w:rsidRPr="003164CB">
        <w:rPr>
          <w:rFonts w:ascii="Times New Roman" w:hAnsi="Times New Roman" w:cs="Times New Roman"/>
          <w:i/>
          <w:lang w:val="es-MX"/>
        </w:rPr>
        <w:t>En la niñez y adolescencia institucionalizada</w:t>
      </w:r>
    </w:p>
    <w:p w14:paraId="57EFAD00" w14:textId="77777777" w:rsidR="003164CB" w:rsidRPr="003164CB" w:rsidRDefault="003164CB" w:rsidP="003164CB">
      <w:pPr>
        <w:spacing w:after="0" w:line="240" w:lineRule="atLeast"/>
        <w:jc w:val="both"/>
        <w:rPr>
          <w:rFonts w:ascii="Times New Roman" w:hAnsi="Times New Roman" w:cs="Times New Roman"/>
          <w:lang w:val="es-MX"/>
        </w:rPr>
      </w:pPr>
    </w:p>
    <w:p w14:paraId="20CCC965" w14:textId="5A80B4D0" w:rsidR="003164CB" w:rsidRPr="003164CB" w:rsidRDefault="003164CB" w:rsidP="003164CB">
      <w:pPr>
        <w:spacing w:after="0" w:line="240" w:lineRule="atLeast"/>
        <w:jc w:val="both"/>
        <w:rPr>
          <w:rFonts w:ascii="Times New Roman" w:hAnsi="Times New Roman" w:cs="Times New Roman"/>
          <w:lang w:val="es-MX"/>
        </w:rPr>
      </w:pPr>
      <w:r w:rsidRPr="003164CB">
        <w:rPr>
          <w:rFonts w:ascii="Times New Roman" w:hAnsi="Times New Roman" w:cs="Times New Roman"/>
          <w:lang w:val="es-MX"/>
        </w:rPr>
        <w:t>En Guatemala, a agosto de 2020, había 3,923 NNA institucionalizados</w:t>
      </w:r>
      <w:r w:rsidRPr="003164CB">
        <w:rPr>
          <w:rStyle w:val="FootnoteReference"/>
          <w:rFonts w:ascii="Times New Roman" w:hAnsi="Times New Roman" w:cs="Times New Roman"/>
          <w:lang w:val="es-MX"/>
        </w:rPr>
        <w:footnoteReference w:id="17"/>
      </w:r>
      <w:r w:rsidRPr="003164CB">
        <w:rPr>
          <w:rFonts w:ascii="Times New Roman" w:hAnsi="Times New Roman" w:cs="Times New Roman"/>
          <w:lang w:val="es-MX"/>
        </w:rPr>
        <w:t>, de los cuales aproximadamente el 15% se encuentran en hogares de protección y abrigo públicos -a cargo de la Secretaría de Bienestar Social (SBS). De acuerdo con datos de la SBS, al 14 de octubre de 2020, 39 NNA institucionalizados habían resultado contagiados por COVID-19, no reportaron ningún fallecido</w:t>
      </w:r>
      <w:r w:rsidRPr="003164CB">
        <w:rPr>
          <w:rStyle w:val="FootnoteReference"/>
          <w:rFonts w:ascii="Times New Roman" w:hAnsi="Times New Roman" w:cs="Times New Roman"/>
          <w:lang w:val="es-MX"/>
        </w:rPr>
        <w:footnoteReference w:id="18"/>
      </w:r>
      <w:r w:rsidRPr="003164CB">
        <w:rPr>
          <w:rFonts w:ascii="Times New Roman" w:hAnsi="Times New Roman" w:cs="Times New Roman"/>
          <w:lang w:val="es-MX"/>
        </w:rPr>
        <w:t xml:space="preserve">. </w:t>
      </w:r>
    </w:p>
    <w:p w14:paraId="6B56ECD9" w14:textId="77777777" w:rsidR="003164CB" w:rsidRPr="003164CB" w:rsidRDefault="003164CB" w:rsidP="003164CB">
      <w:pPr>
        <w:spacing w:after="0" w:line="240" w:lineRule="atLeast"/>
        <w:jc w:val="both"/>
        <w:rPr>
          <w:rFonts w:ascii="Times New Roman" w:hAnsi="Times New Roman" w:cs="Times New Roman"/>
          <w:lang w:val="es-MX"/>
        </w:rPr>
      </w:pPr>
    </w:p>
    <w:p w14:paraId="00C933C7" w14:textId="4AF67423" w:rsidR="003164CB" w:rsidRPr="003164CB" w:rsidRDefault="003164CB" w:rsidP="003164CB">
      <w:pPr>
        <w:spacing w:after="0" w:line="240" w:lineRule="atLeast"/>
        <w:jc w:val="both"/>
        <w:rPr>
          <w:rFonts w:ascii="Times New Roman" w:hAnsi="Times New Roman" w:cs="Times New Roman"/>
          <w:lang w:val="es-MX"/>
        </w:rPr>
      </w:pPr>
      <w:r w:rsidRPr="003164CB">
        <w:rPr>
          <w:rFonts w:ascii="Times New Roman" w:hAnsi="Times New Roman" w:cs="Times New Roman"/>
          <w:lang w:val="es-MX"/>
        </w:rPr>
        <w:t xml:space="preserve">En este contexto, en abril de 2020, </w:t>
      </w:r>
      <w:r w:rsidR="00913F91">
        <w:rPr>
          <w:rFonts w:ascii="Times New Roman" w:hAnsi="Times New Roman" w:cs="Times New Roman"/>
          <w:lang w:val="es-MX"/>
        </w:rPr>
        <w:t>la</w:t>
      </w:r>
      <w:r w:rsidRPr="003164CB">
        <w:rPr>
          <w:rFonts w:ascii="Times New Roman" w:hAnsi="Times New Roman" w:cs="Times New Roman"/>
          <w:lang w:val="es-MX"/>
        </w:rPr>
        <w:t xml:space="preserve"> PDH recomendó a la SBS garantizar las medidas de higiene, cordón sanitario, medidas preventivas, de seguridad y distanciamiento social, y establecer vías de atención efectivas a</w:t>
      </w:r>
      <w:r w:rsidR="00151B33">
        <w:rPr>
          <w:rFonts w:ascii="Times New Roman" w:hAnsi="Times New Roman" w:cs="Times New Roman"/>
          <w:lang w:val="es-MX"/>
        </w:rPr>
        <w:t xml:space="preserve"> posibles</w:t>
      </w:r>
      <w:r w:rsidRPr="003164CB">
        <w:rPr>
          <w:rFonts w:ascii="Times New Roman" w:hAnsi="Times New Roman" w:cs="Times New Roman"/>
          <w:lang w:val="es-MX"/>
        </w:rPr>
        <w:t xml:space="preserve"> denuncias por </w:t>
      </w:r>
      <w:r w:rsidRPr="0097484F">
        <w:rPr>
          <w:rFonts w:ascii="Times New Roman" w:hAnsi="Times New Roman" w:cs="Times New Roman"/>
          <w:lang w:val="es-MX"/>
        </w:rPr>
        <w:t>situaciones</w:t>
      </w:r>
      <w:r w:rsidRPr="003164CB">
        <w:rPr>
          <w:rFonts w:ascii="Times New Roman" w:hAnsi="Times New Roman" w:cs="Times New Roman"/>
          <w:lang w:val="es-MX"/>
        </w:rPr>
        <w:t xml:space="preserve"> </w:t>
      </w:r>
      <w:r w:rsidR="00151B33">
        <w:rPr>
          <w:rFonts w:ascii="Times New Roman" w:hAnsi="Times New Roman" w:cs="Times New Roman"/>
          <w:lang w:val="es-MX"/>
        </w:rPr>
        <w:t xml:space="preserve">que puedan darse </w:t>
      </w:r>
      <w:r w:rsidRPr="003164CB">
        <w:rPr>
          <w:rFonts w:ascii="Times New Roman" w:hAnsi="Times New Roman" w:cs="Times New Roman"/>
          <w:lang w:val="es-MX"/>
        </w:rPr>
        <w:t>dentro de las residencias</w:t>
      </w:r>
      <w:r w:rsidR="00913F91">
        <w:rPr>
          <w:rFonts w:ascii="Times New Roman" w:hAnsi="Times New Roman" w:cs="Times New Roman"/>
          <w:lang w:val="es-MX"/>
        </w:rPr>
        <w:t>;</w:t>
      </w:r>
      <w:r w:rsidRPr="003164CB">
        <w:rPr>
          <w:rFonts w:ascii="Times New Roman" w:hAnsi="Times New Roman" w:cs="Times New Roman"/>
          <w:lang w:val="es-MX"/>
        </w:rPr>
        <w:t xml:space="preserve"> además, garantizar la vinculación socio afectiva de l</w:t>
      </w:r>
      <w:r w:rsidR="00913F91">
        <w:rPr>
          <w:rFonts w:ascii="Times New Roman" w:hAnsi="Times New Roman" w:cs="Times New Roman"/>
          <w:lang w:val="es-MX"/>
        </w:rPr>
        <w:t>os</w:t>
      </w:r>
      <w:r w:rsidRPr="003164CB">
        <w:rPr>
          <w:rFonts w:ascii="Times New Roman" w:hAnsi="Times New Roman" w:cs="Times New Roman"/>
          <w:lang w:val="es-MX"/>
        </w:rPr>
        <w:t xml:space="preserve"> NNA con su familia a través de mecanismos virtuales, así como coordinar con el MSPAS el protocolo a aplicarse a NNA en caso de identificar c</w:t>
      </w:r>
      <w:r w:rsidR="008B7D50">
        <w:rPr>
          <w:rFonts w:ascii="Times New Roman" w:hAnsi="Times New Roman" w:cs="Times New Roman"/>
          <w:lang w:val="es-MX"/>
        </w:rPr>
        <w:t>asos</w:t>
      </w:r>
      <w:r w:rsidRPr="003164CB">
        <w:rPr>
          <w:rFonts w:ascii="Times New Roman" w:hAnsi="Times New Roman" w:cs="Times New Roman"/>
          <w:lang w:val="es-MX"/>
        </w:rPr>
        <w:t xml:space="preserve"> de COVID-19</w:t>
      </w:r>
      <w:r w:rsidRPr="003164CB">
        <w:rPr>
          <w:rStyle w:val="FootnoteReference"/>
          <w:rFonts w:ascii="Times New Roman" w:hAnsi="Times New Roman" w:cs="Times New Roman"/>
          <w:lang w:val="es-MX"/>
        </w:rPr>
        <w:footnoteReference w:id="19"/>
      </w:r>
      <w:r w:rsidRPr="003164CB">
        <w:rPr>
          <w:rFonts w:ascii="Times New Roman" w:hAnsi="Times New Roman" w:cs="Times New Roman"/>
          <w:lang w:val="es-MX"/>
        </w:rPr>
        <w:t xml:space="preserve">. </w:t>
      </w:r>
    </w:p>
    <w:p w14:paraId="41D3FEFB" w14:textId="77777777" w:rsidR="003164CB" w:rsidRPr="003164CB" w:rsidRDefault="003164CB" w:rsidP="003164CB">
      <w:pPr>
        <w:spacing w:after="0" w:line="240" w:lineRule="atLeast"/>
        <w:jc w:val="both"/>
        <w:rPr>
          <w:rFonts w:ascii="Times New Roman" w:hAnsi="Times New Roman" w:cs="Times New Roman"/>
          <w:lang w:val="es-MX"/>
        </w:rPr>
      </w:pPr>
    </w:p>
    <w:p w14:paraId="0A6D6084" w14:textId="7BDEAAF1" w:rsidR="007C7002" w:rsidRPr="003164CB" w:rsidRDefault="003164CB" w:rsidP="003164CB">
      <w:pPr>
        <w:spacing w:after="0" w:line="240" w:lineRule="atLeast"/>
        <w:jc w:val="both"/>
        <w:rPr>
          <w:rFonts w:ascii="Times New Roman" w:hAnsi="Times New Roman" w:cs="Times New Roman"/>
          <w:lang w:val="es-MX"/>
        </w:rPr>
      </w:pPr>
      <w:r w:rsidRPr="003164CB">
        <w:rPr>
          <w:rFonts w:ascii="Times New Roman" w:hAnsi="Times New Roman" w:cs="Times New Roman"/>
          <w:lang w:val="es-MX"/>
        </w:rPr>
        <w:t>De acuerdo con diferentes monitoreos realizados por la PDH a hogares de protección y abrigo de la SBS, la mayoría de los hogares contaban y aplicaban protocolos para prevención y atención de casos de COVID-19, y contaban con insumos de protección</w:t>
      </w:r>
      <w:r w:rsidR="00913F91">
        <w:rPr>
          <w:rFonts w:ascii="Times New Roman" w:hAnsi="Times New Roman" w:cs="Times New Roman"/>
          <w:lang w:val="es-MX"/>
        </w:rPr>
        <w:t xml:space="preserve">, sin embargo, </w:t>
      </w:r>
      <w:r w:rsidRPr="003164CB">
        <w:rPr>
          <w:rFonts w:ascii="Times New Roman" w:hAnsi="Times New Roman" w:cs="Times New Roman"/>
          <w:lang w:val="es-MX"/>
        </w:rPr>
        <w:t>la sobrepoblación de algunos hogares</w:t>
      </w:r>
      <w:r w:rsidR="00913F91">
        <w:rPr>
          <w:rFonts w:ascii="Times New Roman" w:hAnsi="Times New Roman" w:cs="Times New Roman"/>
          <w:lang w:val="es-MX"/>
        </w:rPr>
        <w:t xml:space="preserve"> y</w:t>
      </w:r>
      <w:r w:rsidRPr="003164CB">
        <w:rPr>
          <w:rFonts w:ascii="Times New Roman" w:hAnsi="Times New Roman" w:cs="Times New Roman"/>
          <w:lang w:val="es-MX"/>
        </w:rPr>
        <w:t xml:space="preserve"> </w:t>
      </w:r>
      <w:r w:rsidR="00913F91" w:rsidRPr="003164CB">
        <w:rPr>
          <w:rFonts w:ascii="Times New Roman" w:hAnsi="Times New Roman" w:cs="Times New Roman"/>
          <w:lang w:val="es-MX"/>
        </w:rPr>
        <w:t xml:space="preserve">la necesidad de que el recurso humano laborará por turnos </w:t>
      </w:r>
      <w:r w:rsidRPr="003164CB">
        <w:rPr>
          <w:rFonts w:ascii="Times New Roman" w:hAnsi="Times New Roman" w:cs="Times New Roman"/>
          <w:lang w:val="es-MX"/>
        </w:rPr>
        <w:t xml:space="preserve">dificultó el cumplimiento de </w:t>
      </w:r>
      <w:r w:rsidR="009449C7">
        <w:rPr>
          <w:rFonts w:ascii="Times New Roman" w:hAnsi="Times New Roman" w:cs="Times New Roman"/>
          <w:lang w:val="es-MX"/>
        </w:rPr>
        <w:t>las actividades regulares de las residencias</w:t>
      </w:r>
      <w:r w:rsidRPr="003164CB">
        <w:rPr>
          <w:rFonts w:ascii="Times New Roman" w:hAnsi="Times New Roman" w:cs="Times New Roman"/>
          <w:lang w:val="es-MX"/>
        </w:rPr>
        <w:t xml:space="preserve"> </w:t>
      </w:r>
      <w:r w:rsidR="007C7002">
        <w:rPr>
          <w:rFonts w:ascii="Times New Roman" w:hAnsi="Times New Roman" w:cs="Times New Roman"/>
          <w:lang w:val="es-MX"/>
        </w:rPr>
        <w:t>evidenciand</w:t>
      </w:r>
      <w:r w:rsidR="008B7D50">
        <w:rPr>
          <w:rFonts w:ascii="Times New Roman" w:hAnsi="Times New Roman" w:cs="Times New Roman"/>
          <w:lang w:val="es-MX"/>
        </w:rPr>
        <w:t>o</w:t>
      </w:r>
      <w:r w:rsidR="007C7002">
        <w:rPr>
          <w:rFonts w:ascii="Times New Roman" w:hAnsi="Times New Roman" w:cs="Times New Roman"/>
          <w:lang w:val="es-MX"/>
        </w:rPr>
        <w:t xml:space="preserve"> </w:t>
      </w:r>
      <w:r w:rsidRPr="003164CB">
        <w:rPr>
          <w:rFonts w:ascii="Times New Roman" w:hAnsi="Times New Roman" w:cs="Times New Roman"/>
          <w:lang w:val="es-MX"/>
        </w:rPr>
        <w:t xml:space="preserve">la necesidad de más personal. </w:t>
      </w:r>
      <w:r w:rsidR="00DE0B6F">
        <w:rPr>
          <w:rFonts w:ascii="Times New Roman" w:hAnsi="Times New Roman" w:cs="Times New Roman"/>
          <w:lang w:val="es-MX"/>
        </w:rPr>
        <w:t xml:space="preserve">También se determinó que dentro </w:t>
      </w:r>
      <w:r w:rsidR="0097484F">
        <w:rPr>
          <w:rFonts w:ascii="Times New Roman" w:hAnsi="Times New Roman" w:cs="Times New Roman"/>
          <w:lang w:val="es-MX"/>
        </w:rPr>
        <w:t>de los protocolos para prevención de COVID-19 en residencias de protección, estuvo la suspensión de visitas, l</w:t>
      </w:r>
      <w:r w:rsidR="00B32FC9">
        <w:rPr>
          <w:rFonts w:ascii="Times New Roman" w:hAnsi="Times New Roman" w:cs="Times New Roman"/>
          <w:lang w:val="es-MX"/>
        </w:rPr>
        <w:t>o cual provoc</w:t>
      </w:r>
      <w:r w:rsidR="0097484F">
        <w:rPr>
          <w:rFonts w:ascii="Times New Roman" w:hAnsi="Times New Roman" w:cs="Times New Roman"/>
          <w:lang w:val="es-MX"/>
        </w:rPr>
        <w:t>ó</w:t>
      </w:r>
      <w:r w:rsidR="00B32FC9">
        <w:rPr>
          <w:rFonts w:ascii="Times New Roman" w:hAnsi="Times New Roman" w:cs="Times New Roman"/>
          <w:lang w:val="es-MX"/>
        </w:rPr>
        <w:t xml:space="preserve"> ansiedad en los NNA, </w:t>
      </w:r>
      <w:r w:rsidR="008B7D50">
        <w:rPr>
          <w:rFonts w:ascii="Times New Roman" w:hAnsi="Times New Roman" w:cs="Times New Roman"/>
          <w:lang w:val="es-MX"/>
        </w:rPr>
        <w:t xml:space="preserve">por lo cual, </w:t>
      </w:r>
      <w:r w:rsidR="00B32FC9">
        <w:rPr>
          <w:rFonts w:ascii="Times New Roman" w:hAnsi="Times New Roman" w:cs="Times New Roman"/>
          <w:lang w:val="es-MX"/>
        </w:rPr>
        <w:t xml:space="preserve">como medida para garantizar la relación </w:t>
      </w:r>
      <w:r w:rsidR="008B7D50">
        <w:rPr>
          <w:rFonts w:ascii="Times New Roman" w:hAnsi="Times New Roman" w:cs="Times New Roman"/>
          <w:lang w:val="es-MX"/>
        </w:rPr>
        <w:t xml:space="preserve">de los NNA con sus </w:t>
      </w:r>
      <w:r w:rsidR="00B32FC9">
        <w:rPr>
          <w:rFonts w:ascii="Times New Roman" w:hAnsi="Times New Roman" w:cs="Times New Roman"/>
          <w:lang w:val="es-MX"/>
        </w:rPr>
        <w:t>familias y los NNA, se realizaban llamadas y videollamadas de manera regular.</w:t>
      </w:r>
    </w:p>
    <w:p w14:paraId="301EF422" w14:textId="4DA3930E" w:rsidR="003164CB" w:rsidRDefault="003164CB" w:rsidP="003164CB">
      <w:pPr>
        <w:spacing w:after="0" w:line="240" w:lineRule="atLeast"/>
        <w:jc w:val="both"/>
        <w:rPr>
          <w:rFonts w:ascii="Times New Roman" w:hAnsi="Times New Roman" w:cs="Times New Roman"/>
          <w:lang w:val="es-MX"/>
        </w:rPr>
      </w:pPr>
    </w:p>
    <w:p w14:paraId="2E888A81" w14:textId="77777777" w:rsidR="003164CB" w:rsidRPr="003164CB" w:rsidRDefault="003164CB" w:rsidP="003164CB">
      <w:pPr>
        <w:spacing w:after="0" w:line="240" w:lineRule="atLeast"/>
        <w:jc w:val="both"/>
        <w:rPr>
          <w:rFonts w:ascii="Times New Roman" w:hAnsi="Times New Roman" w:cs="Times New Roman"/>
          <w:lang w:val="es-MX"/>
        </w:rPr>
      </w:pPr>
      <w:r w:rsidRPr="003164CB">
        <w:rPr>
          <w:rFonts w:ascii="Times New Roman" w:hAnsi="Times New Roman" w:cs="Times New Roman"/>
          <w:lang w:val="es-MX"/>
        </w:rPr>
        <w:t>Además de lo anterior, de acuerdo con información proporcionada por la SBS, los principales problemas en hogares de protección y abrigo a su cargo fueron</w:t>
      </w:r>
      <w:r w:rsidRPr="003164CB">
        <w:rPr>
          <w:rStyle w:val="FootnoteReference"/>
          <w:rFonts w:ascii="Times New Roman" w:hAnsi="Times New Roman" w:cs="Times New Roman"/>
          <w:lang w:val="es-MX"/>
        </w:rPr>
        <w:footnoteReference w:id="20"/>
      </w:r>
      <w:r w:rsidRPr="003164CB">
        <w:rPr>
          <w:rFonts w:ascii="Times New Roman" w:hAnsi="Times New Roman" w:cs="Times New Roman"/>
          <w:lang w:val="es-MX"/>
        </w:rPr>
        <w:t xml:space="preserve">: </w:t>
      </w:r>
    </w:p>
    <w:p w14:paraId="47363BA6" w14:textId="77777777" w:rsidR="003164CB" w:rsidRPr="003164CB" w:rsidRDefault="003164CB" w:rsidP="003164CB">
      <w:pPr>
        <w:pStyle w:val="ListParagraph"/>
        <w:numPr>
          <w:ilvl w:val="0"/>
          <w:numId w:val="29"/>
        </w:numPr>
        <w:spacing w:after="0" w:line="240" w:lineRule="atLeast"/>
        <w:jc w:val="both"/>
        <w:rPr>
          <w:rFonts w:ascii="Times New Roman" w:hAnsi="Times New Roman" w:cs="Times New Roman"/>
          <w:sz w:val="24"/>
          <w:szCs w:val="24"/>
          <w:lang w:val="es-MX"/>
        </w:rPr>
      </w:pPr>
      <w:r w:rsidRPr="003164CB">
        <w:rPr>
          <w:rFonts w:ascii="Times New Roman" w:hAnsi="Times New Roman" w:cs="Times New Roman"/>
          <w:sz w:val="24"/>
          <w:szCs w:val="24"/>
          <w:lang w:val="es-MX"/>
        </w:rPr>
        <w:t>Cierre de hogares privados, aumentando los ingresos en hogares de la SBS.</w:t>
      </w:r>
    </w:p>
    <w:p w14:paraId="069B1F68" w14:textId="77777777" w:rsidR="003164CB" w:rsidRPr="003164CB" w:rsidRDefault="003164CB" w:rsidP="003164CB">
      <w:pPr>
        <w:pStyle w:val="ListParagraph"/>
        <w:numPr>
          <w:ilvl w:val="0"/>
          <w:numId w:val="29"/>
        </w:numPr>
        <w:spacing w:after="0" w:line="240" w:lineRule="atLeast"/>
        <w:jc w:val="both"/>
        <w:rPr>
          <w:rFonts w:ascii="Times New Roman" w:hAnsi="Times New Roman" w:cs="Times New Roman"/>
          <w:sz w:val="24"/>
          <w:szCs w:val="24"/>
          <w:lang w:val="es-MX"/>
        </w:rPr>
      </w:pPr>
      <w:r w:rsidRPr="003164CB">
        <w:rPr>
          <w:rFonts w:ascii="Times New Roman" w:hAnsi="Times New Roman" w:cs="Times New Roman"/>
          <w:sz w:val="24"/>
          <w:szCs w:val="24"/>
          <w:lang w:val="es-MX"/>
        </w:rPr>
        <w:t>Cancelación de audiencias en los primeros meses de pandemia.</w:t>
      </w:r>
    </w:p>
    <w:p w14:paraId="081092EE" w14:textId="3E5BAFF6" w:rsidR="003164CB" w:rsidRPr="003164CB" w:rsidRDefault="007C7002" w:rsidP="003164CB">
      <w:pPr>
        <w:pStyle w:val="ListParagraph"/>
        <w:numPr>
          <w:ilvl w:val="0"/>
          <w:numId w:val="29"/>
        </w:numPr>
        <w:spacing w:after="0" w:line="240" w:lineRule="atLeast"/>
        <w:jc w:val="both"/>
        <w:rPr>
          <w:rFonts w:ascii="Times New Roman" w:hAnsi="Times New Roman" w:cs="Times New Roman"/>
          <w:sz w:val="24"/>
          <w:szCs w:val="24"/>
          <w:lang w:val="es-MX"/>
        </w:rPr>
      </w:pPr>
      <w:r>
        <w:rPr>
          <w:rFonts w:ascii="Times New Roman" w:hAnsi="Times New Roman" w:cs="Times New Roman"/>
          <w:sz w:val="24"/>
          <w:szCs w:val="24"/>
          <w:lang w:val="es-MX"/>
        </w:rPr>
        <w:t>Dificultades para</w:t>
      </w:r>
      <w:r w:rsidR="003164CB" w:rsidRPr="003164CB">
        <w:rPr>
          <w:rFonts w:ascii="Times New Roman" w:hAnsi="Times New Roman" w:cs="Times New Roman"/>
          <w:sz w:val="24"/>
          <w:szCs w:val="24"/>
          <w:lang w:val="es-MX"/>
        </w:rPr>
        <w:t xml:space="preserve"> la reintegración de NNA, por estigmatización del COVID-19 en las comunidades.</w:t>
      </w:r>
    </w:p>
    <w:p w14:paraId="7EE16623" w14:textId="77777777" w:rsidR="003164CB" w:rsidRPr="003164CB" w:rsidRDefault="003164CB" w:rsidP="003164CB">
      <w:pPr>
        <w:pStyle w:val="ListParagraph"/>
        <w:numPr>
          <w:ilvl w:val="0"/>
          <w:numId w:val="29"/>
        </w:numPr>
        <w:spacing w:after="0" w:line="240" w:lineRule="atLeast"/>
        <w:jc w:val="both"/>
        <w:rPr>
          <w:rFonts w:ascii="Times New Roman" w:hAnsi="Times New Roman" w:cs="Times New Roman"/>
          <w:sz w:val="24"/>
          <w:szCs w:val="24"/>
          <w:lang w:val="es-MX"/>
        </w:rPr>
      </w:pPr>
      <w:r w:rsidRPr="003164CB">
        <w:rPr>
          <w:rFonts w:ascii="Times New Roman" w:hAnsi="Times New Roman" w:cs="Times New Roman"/>
          <w:sz w:val="24"/>
          <w:szCs w:val="24"/>
          <w:lang w:val="es-MX"/>
        </w:rPr>
        <w:t>Dificultades para realizar estudios sociofamiliares a familias de los NNA, por limitaciones de movilización y transporte.</w:t>
      </w:r>
    </w:p>
    <w:p w14:paraId="281836F7" w14:textId="0E7F538F" w:rsidR="003164CB" w:rsidRPr="003164CB" w:rsidRDefault="003164CB" w:rsidP="003164CB">
      <w:pPr>
        <w:pStyle w:val="ListParagraph"/>
        <w:numPr>
          <w:ilvl w:val="0"/>
          <w:numId w:val="29"/>
        </w:numPr>
        <w:spacing w:after="0" w:line="240" w:lineRule="atLeast"/>
        <w:jc w:val="both"/>
        <w:rPr>
          <w:rFonts w:ascii="Times New Roman" w:hAnsi="Times New Roman" w:cs="Times New Roman"/>
          <w:sz w:val="24"/>
          <w:szCs w:val="24"/>
          <w:lang w:val="es-MX"/>
        </w:rPr>
      </w:pPr>
      <w:r w:rsidRPr="003164CB">
        <w:rPr>
          <w:rFonts w:ascii="Times New Roman" w:hAnsi="Times New Roman" w:cs="Times New Roman"/>
          <w:sz w:val="24"/>
          <w:szCs w:val="24"/>
          <w:lang w:val="es-MX"/>
        </w:rPr>
        <w:t xml:space="preserve">Mayoría de nuevos ingresos de NNA fueron sin coordinación previa </w:t>
      </w:r>
      <w:r w:rsidR="007C7002">
        <w:rPr>
          <w:rFonts w:ascii="Times New Roman" w:hAnsi="Times New Roman" w:cs="Times New Roman"/>
          <w:sz w:val="24"/>
          <w:szCs w:val="24"/>
          <w:lang w:val="es-MX"/>
        </w:rPr>
        <w:t xml:space="preserve">con </w:t>
      </w:r>
      <w:r w:rsidRPr="003164CB">
        <w:rPr>
          <w:rFonts w:ascii="Times New Roman" w:hAnsi="Times New Roman" w:cs="Times New Roman"/>
          <w:sz w:val="24"/>
          <w:szCs w:val="24"/>
          <w:lang w:val="es-MX"/>
        </w:rPr>
        <w:t xml:space="preserve">la PGN. </w:t>
      </w:r>
    </w:p>
    <w:p w14:paraId="44016B16" w14:textId="40209E0A" w:rsidR="003164CB" w:rsidRPr="003164CB" w:rsidRDefault="003164CB" w:rsidP="003164CB">
      <w:pPr>
        <w:pStyle w:val="ListParagraph"/>
        <w:numPr>
          <w:ilvl w:val="0"/>
          <w:numId w:val="29"/>
        </w:numPr>
        <w:spacing w:after="0" w:line="240" w:lineRule="atLeast"/>
        <w:jc w:val="both"/>
        <w:rPr>
          <w:rFonts w:ascii="Times New Roman" w:hAnsi="Times New Roman" w:cs="Times New Roman"/>
          <w:sz w:val="24"/>
          <w:szCs w:val="24"/>
          <w:lang w:val="es-MX"/>
        </w:rPr>
      </w:pPr>
      <w:r w:rsidRPr="003164CB">
        <w:rPr>
          <w:rFonts w:ascii="Times New Roman" w:hAnsi="Times New Roman" w:cs="Times New Roman"/>
          <w:sz w:val="24"/>
          <w:szCs w:val="24"/>
          <w:lang w:val="es-MX"/>
        </w:rPr>
        <w:t xml:space="preserve">Casi todos los nuevos ingresos de NNA sin prueba </w:t>
      </w:r>
      <w:r w:rsidR="007C7002">
        <w:rPr>
          <w:rFonts w:ascii="Times New Roman" w:hAnsi="Times New Roman" w:cs="Times New Roman"/>
          <w:sz w:val="24"/>
          <w:szCs w:val="24"/>
          <w:lang w:val="es-MX"/>
        </w:rPr>
        <w:t xml:space="preserve">previa </w:t>
      </w:r>
      <w:r w:rsidRPr="003164CB">
        <w:rPr>
          <w:rFonts w:ascii="Times New Roman" w:hAnsi="Times New Roman" w:cs="Times New Roman"/>
          <w:sz w:val="24"/>
          <w:szCs w:val="24"/>
          <w:lang w:val="es-MX"/>
        </w:rPr>
        <w:t xml:space="preserve">de COVID-19; </w:t>
      </w:r>
    </w:p>
    <w:p w14:paraId="0575FE2B" w14:textId="256F07F9" w:rsidR="003164CB" w:rsidRPr="003164CB" w:rsidRDefault="003164CB" w:rsidP="003164CB">
      <w:pPr>
        <w:pStyle w:val="ListParagraph"/>
        <w:numPr>
          <w:ilvl w:val="0"/>
          <w:numId w:val="29"/>
        </w:numPr>
        <w:spacing w:after="0" w:line="240" w:lineRule="atLeast"/>
        <w:jc w:val="both"/>
        <w:rPr>
          <w:rFonts w:ascii="Times New Roman" w:hAnsi="Times New Roman" w:cs="Times New Roman"/>
          <w:sz w:val="24"/>
          <w:szCs w:val="24"/>
          <w:lang w:val="es-MX"/>
        </w:rPr>
      </w:pPr>
      <w:r w:rsidRPr="003164CB">
        <w:rPr>
          <w:rFonts w:ascii="Times New Roman" w:hAnsi="Times New Roman" w:cs="Times New Roman"/>
          <w:sz w:val="24"/>
          <w:szCs w:val="24"/>
          <w:lang w:val="es-MX"/>
        </w:rPr>
        <w:t>Lentitud o falta de respuesta por parte del MSPAS</w:t>
      </w:r>
      <w:r w:rsidR="007C7002">
        <w:rPr>
          <w:rFonts w:ascii="Times New Roman" w:hAnsi="Times New Roman" w:cs="Times New Roman"/>
          <w:sz w:val="24"/>
          <w:szCs w:val="24"/>
          <w:lang w:val="es-MX"/>
        </w:rPr>
        <w:t xml:space="preserve"> para realización de las pruebas de COVID19.</w:t>
      </w:r>
    </w:p>
    <w:p w14:paraId="1AA45C90" w14:textId="77777777" w:rsidR="003164CB" w:rsidRPr="003164CB" w:rsidRDefault="003164CB" w:rsidP="003164CB">
      <w:pPr>
        <w:spacing w:after="0" w:line="240" w:lineRule="atLeast"/>
        <w:jc w:val="both"/>
        <w:rPr>
          <w:rFonts w:ascii="Times New Roman" w:hAnsi="Times New Roman" w:cs="Times New Roman"/>
          <w:lang w:val="es-MX"/>
        </w:rPr>
      </w:pPr>
    </w:p>
    <w:p w14:paraId="2E7FC8D8" w14:textId="2156D7CB" w:rsidR="003164CB" w:rsidRPr="003164CB" w:rsidRDefault="003164CB" w:rsidP="003164CB">
      <w:pPr>
        <w:spacing w:after="0" w:line="240" w:lineRule="atLeast"/>
        <w:jc w:val="both"/>
        <w:rPr>
          <w:rFonts w:ascii="Times New Roman" w:hAnsi="Times New Roman" w:cs="Times New Roman"/>
          <w:lang w:val="es-MX"/>
        </w:rPr>
      </w:pPr>
      <w:r w:rsidRPr="003164CB">
        <w:rPr>
          <w:rFonts w:ascii="Times New Roman" w:hAnsi="Times New Roman" w:cs="Times New Roman"/>
          <w:lang w:val="es-MX"/>
        </w:rPr>
        <w:t xml:space="preserve">En los monitoreos realizados por PDH, se recibió información sobre muchos NNA que mostraron signos de frustración y ansiedad </w:t>
      </w:r>
      <w:r w:rsidR="00B32FC9">
        <w:rPr>
          <w:rFonts w:ascii="Times New Roman" w:hAnsi="Times New Roman" w:cs="Times New Roman"/>
          <w:lang w:val="es-MX"/>
        </w:rPr>
        <w:t xml:space="preserve">por </w:t>
      </w:r>
      <w:r w:rsidRPr="003164CB">
        <w:rPr>
          <w:rFonts w:ascii="Times New Roman" w:hAnsi="Times New Roman" w:cs="Times New Roman"/>
          <w:lang w:val="es-MX"/>
        </w:rPr>
        <w:t>la suspensión de audiencias en juzgados competentes,</w:t>
      </w:r>
      <w:r w:rsidR="008B7D50">
        <w:rPr>
          <w:rFonts w:ascii="Times New Roman" w:hAnsi="Times New Roman" w:cs="Times New Roman"/>
          <w:lang w:val="es-MX"/>
        </w:rPr>
        <w:t xml:space="preserve"> lo cual,</w:t>
      </w:r>
      <w:r w:rsidRPr="003164CB">
        <w:rPr>
          <w:rFonts w:ascii="Times New Roman" w:hAnsi="Times New Roman" w:cs="Times New Roman"/>
          <w:lang w:val="es-MX"/>
        </w:rPr>
        <w:t xml:space="preserve"> </w:t>
      </w:r>
      <w:r w:rsidR="008B7D50">
        <w:rPr>
          <w:rFonts w:ascii="Times New Roman" w:hAnsi="Times New Roman" w:cs="Times New Roman"/>
          <w:lang w:val="es-MX"/>
        </w:rPr>
        <w:t xml:space="preserve">como </w:t>
      </w:r>
      <w:r w:rsidR="00913F91">
        <w:rPr>
          <w:rFonts w:ascii="Times New Roman" w:hAnsi="Times New Roman" w:cs="Times New Roman"/>
          <w:lang w:val="es-MX"/>
        </w:rPr>
        <w:t>se describ</w:t>
      </w:r>
      <w:r w:rsidR="008B7D50">
        <w:rPr>
          <w:rFonts w:ascii="Times New Roman" w:hAnsi="Times New Roman" w:cs="Times New Roman"/>
          <w:lang w:val="es-MX"/>
        </w:rPr>
        <w:t>ió</w:t>
      </w:r>
      <w:r w:rsidR="00913F91">
        <w:rPr>
          <w:rFonts w:ascii="Times New Roman" w:hAnsi="Times New Roman" w:cs="Times New Roman"/>
          <w:lang w:val="es-MX"/>
        </w:rPr>
        <w:t xml:space="preserve"> </w:t>
      </w:r>
      <w:r w:rsidRPr="003164CB">
        <w:rPr>
          <w:rFonts w:ascii="Times New Roman" w:hAnsi="Times New Roman" w:cs="Times New Roman"/>
          <w:lang w:val="es-MX"/>
        </w:rPr>
        <w:t>anteriormente, aumentó</w:t>
      </w:r>
      <w:r w:rsidR="00913F91">
        <w:rPr>
          <w:rFonts w:ascii="Times New Roman" w:hAnsi="Times New Roman" w:cs="Times New Roman"/>
          <w:lang w:val="es-MX"/>
        </w:rPr>
        <w:t xml:space="preserve"> de forma significativa</w:t>
      </w:r>
      <w:r w:rsidRPr="003164CB">
        <w:rPr>
          <w:rFonts w:ascii="Times New Roman" w:hAnsi="Times New Roman" w:cs="Times New Roman"/>
          <w:lang w:val="es-MX"/>
        </w:rPr>
        <w:t xml:space="preserve"> en </w:t>
      </w:r>
      <w:r w:rsidR="00913F91">
        <w:rPr>
          <w:rFonts w:ascii="Times New Roman" w:hAnsi="Times New Roman" w:cs="Times New Roman"/>
          <w:lang w:val="es-MX"/>
        </w:rPr>
        <w:t xml:space="preserve">el </w:t>
      </w:r>
      <w:r w:rsidRPr="003164CB">
        <w:rPr>
          <w:rFonts w:ascii="Times New Roman" w:hAnsi="Times New Roman" w:cs="Times New Roman"/>
          <w:lang w:val="es-MX"/>
        </w:rPr>
        <w:t xml:space="preserve">2020. </w:t>
      </w:r>
      <w:r w:rsidR="00913F91">
        <w:rPr>
          <w:rFonts w:ascii="Times New Roman" w:hAnsi="Times New Roman" w:cs="Times New Roman"/>
          <w:lang w:val="es-MX"/>
        </w:rPr>
        <w:t>La permanencia prolongada</w:t>
      </w:r>
      <w:r w:rsidRPr="003164CB">
        <w:rPr>
          <w:rFonts w:ascii="Times New Roman" w:hAnsi="Times New Roman" w:cs="Times New Roman"/>
          <w:lang w:val="es-MX"/>
        </w:rPr>
        <w:t xml:space="preserve"> en hogares de protección y abrigo, como lo muestran diversos estudios</w:t>
      </w:r>
      <w:r w:rsidRPr="003164CB">
        <w:rPr>
          <w:rStyle w:val="FootnoteReference"/>
          <w:rFonts w:ascii="Times New Roman" w:hAnsi="Times New Roman" w:cs="Times New Roman"/>
          <w:lang w:val="es-MX"/>
        </w:rPr>
        <w:footnoteReference w:id="21"/>
      </w:r>
      <w:r w:rsidRPr="003164CB">
        <w:rPr>
          <w:rFonts w:ascii="Times New Roman" w:hAnsi="Times New Roman" w:cs="Times New Roman"/>
          <w:lang w:val="es-MX"/>
        </w:rPr>
        <w:t xml:space="preserve">, </w:t>
      </w:r>
      <w:r w:rsidR="00A368C2">
        <w:rPr>
          <w:rFonts w:ascii="Times New Roman" w:hAnsi="Times New Roman" w:cs="Times New Roman"/>
          <w:lang w:val="es-MX"/>
        </w:rPr>
        <w:t>impactará negativamente en</w:t>
      </w:r>
      <w:r w:rsidRPr="003164CB">
        <w:rPr>
          <w:rFonts w:ascii="Times New Roman" w:hAnsi="Times New Roman" w:cs="Times New Roman"/>
          <w:lang w:val="es-MX"/>
        </w:rPr>
        <w:t xml:space="preserve"> el desarrollo de la niñez y adolescencia institucionalizada</w:t>
      </w:r>
      <w:r w:rsidR="00A368C2">
        <w:rPr>
          <w:rFonts w:ascii="Times New Roman" w:hAnsi="Times New Roman" w:cs="Times New Roman"/>
          <w:lang w:val="es-MX"/>
        </w:rPr>
        <w:t xml:space="preserve"> a mediano y largo plazo</w:t>
      </w:r>
      <w:r w:rsidRPr="003164CB">
        <w:rPr>
          <w:rFonts w:ascii="Times New Roman" w:hAnsi="Times New Roman" w:cs="Times New Roman"/>
          <w:lang w:val="es-MX"/>
        </w:rPr>
        <w:t xml:space="preserve">. </w:t>
      </w:r>
    </w:p>
    <w:p w14:paraId="77EF1051" w14:textId="77777777" w:rsidR="00A368C2" w:rsidRDefault="00A368C2" w:rsidP="003164CB">
      <w:pPr>
        <w:spacing w:after="0" w:line="240" w:lineRule="atLeast"/>
        <w:jc w:val="both"/>
        <w:rPr>
          <w:rFonts w:ascii="Times New Roman" w:hAnsi="Times New Roman" w:cs="Times New Roman"/>
          <w:i/>
          <w:lang w:val="es-MX"/>
        </w:rPr>
      </w:pPr>
    </w:p>
    <w:p w14:paraId="40D513C1" w14:textId="40E6F919" w:rsidR="003164CB" w:rsidRPr="003164CB" w:rsidRDefault="003164CB" w:rsidP="003164CB">
      <w:pPr>
        <w:spacing w:after="0" w:line="240" w:lineRule="atLeast"/>
        <w:jc w:val="both"/>
        <w:rPr>
          <w:rFonts w:ascii="Times New Roman" w:hAnsi="Times New Roman" w:cs="Times New Roman"/>
          <w:i/>
          <w:lang w:val="es-MX"/>
        </w:rPr>
      </w:pPr>
      <w:r w:rsidRPr="003164CB">
        <w:rPr>
          <w:rFonts w:ascii="Times New Roman" w:hAnsi="Times New Roman" w:cs="Times New Roman"/>
          <w:i/>
          <w:lang w:val="es-MX"/>
        </w:rPr>
        <w:t>En adolescentes en conflicto con la ley penal (ACLP)</w:t>
      </w:r>
    </w:p>
    <w:p w14:paraId="496397AC" w14:textId="77777777" w:rsidR="003164CB" w:rsidRPr="003164CB" w:rsidRDefault="003164CB" w:rsidP="003164CB">
      <w:pPr>
        <w:spacing w:after="0" w:line="240" w:lineRule="atLeast"/>
        <w:jc w:val="both"/>
        <w:rPr>
          <w:rFonts w:ascii="Times New Roman" w:hAnsi="Times New Roman" w:cs="Times New Roman"/>
          <w:lang w:val="es-MX"/>
        </w:rPr>
      </w:pPr>
    </w:p>
    <w:p w14:paraId="0CBE830B" w14:textId="78BB508B" w:rsidR="003164CB" w:rsidRPr="003164CB" w:rsidRDefault="003164CB" w:rsidP="003164CB">
      <w:pPr>
        <w:spacing w:after="0" w:line="240" w:lineRule="atLeast"/>
        <w:jc w:val="both"/>
        <w:rPr>
          <w:rFonts w:ascii="Times New Roman" w:hAnsi="Times New Roman" w:cs="Times New Roman"/>
          <w:lang w:val="es-MX"/>
        </w:rPr>
      </w:pPr>
      <w:r w:rsidRPr="003164CB">
        <w:rPr>
          <w:rFonts w:ascii="Times New Roman" w:hAnsi="Times New Roman" w:cs="Times New Roman"/>
          <w:lang w:val="es-MX"/>
        </w:rPr>
        <w:t xml:space="preserve">De acuerdo con datos de la SBS, </w:t>
      </w:r>
      <w:r w:rsidRPr="00B32FC9">
        <w:rPr>
          <w:rFonts w:ascii="Times New Roman" w:hAnsi="Times New Roman" w:cs="Times New Roman"/>
          <w:lang w:val="es-MX"/>
        </w:rPr>
        <w:t>al 12 de octubre de 2020, había 639 adolescentes en cinco centros juveniles de privación de libertad, y no sé había detectado ningún caso de COVID-19</w:t>
      </w:r>
      <w:r w:rsidRPr="003164CB">
        <w:rPr>
          <w:rStyle w:val="FootnoteReference"/>
          <w:rFonts w:ascii="Times New Roman" w:hAnsi="Times New Roman" w:cs="Times New Roman"/>
          <w:lang w:val="es-MX"/>
        </w:rPr>
        <w:footnoteReference w:id="22"/>
      </w:r>
      <w:r w:rsidRPr="003164CB">
        <w:rPr>
          <w:rFonts w:ascii="Times New Roman" w:hAnsi="Times New Roman" w:cs="Times New Roman"/>
          <w:lang w:val="es-MX"/>
        </w:rPr>
        <w:t>. En abril, el PDH recomendó a la SBS: garantizar que los centros de detención donde se encuentran ACLP cuenten con medidas preventivas y de seguridad ante el COVID-19 y mantener acciones para garantizar la comunicación de los ACLP y sus familias</w:t>
      </w:r>
      <w:r w:rsidRPr="003164CB">
        <w:rPr>
          <w:rStyle w:val="FootnoteReference"/>
          <w:rFonts w:ascii="Times New Roman" w:hAnsi="Times New Roman" w:cs="Times New Roman"/>
          <w:lang w:val="es-MX"/>
        </w:rPr>
        <w:footnoteReference w:id="23"/>
      </w:r>
      <w:r w:rsidRPr="003164CB">
        <w:rPr>
          <w:rFonts w:ascii="Times New Roman" w:hAnsi="Times New Roman" w:cs="Times New Roman"/>
          <w:lang w:val="es-MX"/>
        </w:rPr>
        <w:t>.</w:t>
      </w:r>
    </w:p>
    <w:p w14:paraId="03B60382" w14:textId="77777777" w:rsidR="003164CB" w:rsidRPr="003164CB" w:rsidRDefault="003164CB" w:rsidP="003164CB">
      <w:pPr>
        <w:spacing w:after="0" w:line="240" w:lineRule="atLeast"/>
        <w:jc w:val="both"/>
        <w:rPr>
          <w:rFonts w:ascii="Times New Roman" w:hAnsi="Times New Roman" w:cs="Times New Roman"/>
          <w:lang w:val="es-MX"/>
        </w:rPr>
      </w:pPr>
    </w:p>
    <w:p w14:paraId="78B142C7" w14:textId="4AB4DE01" w:rsidR="003164CB" w:rsidRPr="003164CB" w:rsidRDefault="00A368C2" w:rsidP="003164CB">
      <w:pPr>
        <w:spacing w:after="0" w:line="240" w:lineRule="atLeast"/>
        <w:jc w:val="both"/>
        <w:rPr>
          <w:rFonts w:ascii="Times New Roman" w:hAnsi="Times New Roman" w:cs="Times New Roman"/>
          <w:lang w:val="es-MX"/>
        </w:rPr>
      </w:pPr>
      <w:r>
        <w:rPr>
          <w:rFonts w:ascii="Times New Roman" w:hAnsi="Times New Roman" w:cs="Times New Roman"/>
          <w:lang w:val="es-MX"/>
        </w:rPr>
        <w:t xml:space="preserve">En </w:t>
      </w:r>
      <w:r w:rsidR="003164CB" w:rsidRPr="003164CB">
        <w:rPr>
          <w:rFonts w:ascii="Times New Roman" w:hAnsi="Times New Roman" w:cs="Times New Roman"/>
          <w:lang w:val="es-MX"/>
        </w:rPr>
        <w:t>agosto</w:t>
      </w:r>
      <w:r>
        <w:rPr>
          <w:rFonts w:ascii="Times New Roman" w:hAnsi="Times New Roman" w:cs="Times New Roman"/>
          <w:lang w:val="es-MX"/>
        </w:rPr>
        <w:t xml:space="preserve"> 2020</w:t>
      </w:r>
      <w:r w:rsidR="003164CB" w:rsidRPr="003164CB">
        <w:rPr>
          <w:rFonts w:ascii="Times New Roman" w:hAnsi="Times New Roman" w:cs="Times New Roman"/>
          <w:lang w:val="es-MX"/>
        </w:rPr>
        <w:t xml:space="preserve">, la PDH realizó una supervisión en los cinco centros juveniles de privación de libertad, dentro de los hallazgos se determinó que: </w:t>
      </w:r>
      <w:bookmarkStart w:id="2" w:name="_Hlk57144553"/>
      <w:r>
        <w:rPr>
          <w:rFonts w:ascii="Times New Roman" w:hAnsi="Times New Roman" w:cs="Times New Roman"/>
          <w:lang w:val="es-MX"/>
        </w:rPr>
        <w:t>los</w:t>
      </w:r>
      <w:r w:rsidR="003164CB" w:rsidRPr="003164CB">
        <w:rPr>
          <w:rFonts w:ascii="Times New Roman" w:hAnsi="Times New Roman" w:cs="Times New Roman"/>
          <w:lang w:val="es-MX"/>
        </w:rPr>
        <w:t xml:space="preserve"> centros </w:t>
      </w:r>
      <w:r>
        <w:rPr>
          <w:rFonts w:ascii="Times New Roman" w:hAnsi="Times New Roman" w:cs="Times New Roman"/>
          <w:lang w:val="es-MX"/>
        </w:rPr>
        <w:t xml:space="preserve">de cumplimiento de sanción, en el área de dormitorios se encuentran hacinados, así mismo, algunos centros </w:t>
      </w:r>
      <w:r w:rsidR="003164CB" w:rsidRPr="003164CB">
        <w:rPr>
          <w:rFonts w:ascii="Times New Roman" w:hAnsi="Times New Roman" w:cs="Times New Roman"/>
          <w:lang w:val="es-MX"/>
        </w:rPr>
        <w:t>no cuentan con infraestructura adecuada, especialmente dormitorios y sanitarios</w:t>
      </w:r>
      <w:bookmarkEnd w:id="2"/>
      <w:r>
        <w:rPr>
          <w:rFonts w:ascii="Times New Roman" w:hAnsi="Times New Roman" w:cs="Times New Roman"/>
          <w:lang w:val="es-MX"/>
        </w:rPr>
        <w:t xml:space="preserve">. Los </w:t>
      </w:r>
      <w:r w:rsidR="003164CB" w:rsidRPr="003164CB">
        <w:rPr>
          <w:rFonts w:ascii="Times New Roman" w:hAnsi="Times New Roman" w:cs="Times New Roman"/>
          <w:lang w:val="es-MX"/>
        </w:rPr>
        <w:t xml:space="preserve">adolescentes desconocen el estado de sus procesos, ni el personal de la SBS ni de la Defensa Pública Penal han realizado acciones para la revisión y discusión de los casos con los jóvenes y adolescentes; y, se han suspendido audiencias, </w:t>
      </w:r>
      <w:r w:rsidR="00FD0B32">
        <w:rPr>
          <w:rFonts w:ascii="Times New Roman" w:hAnsi="Times New Roman" w:cs="Times New Roman"/>
          <w:lang w:val="es-MX"/>
        </w:rPr>
        <w:t xml:space="preserve">identificando que </w:t>
      </w:r>
      <w:r w:rsidR="003164CB" w:rsidRPr="003164CB">
        <w:rPr>
          <w:rFonts w:ascii="Times New Roman" w:hAnsi="Times New Roman" w:cs="Times New Roman"/>
          <w:lang w:val="es-MX"/>
        </w:rPr>
        <w:t>varios llevan más de seis meses privados de libertad sin sanción.</w:t>
      </w:r>
    </w:p>
    <w:p w14:paraId="435BC11B" w14:textId="77777777" w:rsidR="003164CB" w:rsidRPr="003164CB" w:rsidRDefault="003164CB" w:rsidP="003164CB">
      <w:pPr>
        <w:spacing w:after="0" w:line="240" w:lineRule="atLeast"/>
        <w:jc w:val="both"/>
        <w:rPr>
          <w:rFonts w:ascii="Times New Roman" w:hAnsi="Times New Roman" w:cs="Times New Roman"/>
          <w:lang w:val="es-MX"/>
        </w:rPr>
      </w:pPr>
    </w:p>
    <w:p w14:paraId="13C29B5A" w14:textId="6F632CA6" w:rsidR="003B09E1" w:rsidRPr="003164CB" w:rsidRDefault="003164CB" w:rsidP="003164CB">
      <w:pPr>
        <w:spacing w:after="0" w:line="240" w:lineRule="atLeast"/>
        <w:jc w:val="both"/>
        <w:rPr>
          <w:rFonts w:ascii="Times New Roman" w:hAnsi="Times New Roman" w:cs="Times New Roman"/>
          <w:lang w:val="es-MX"/>
        </w:rPr>
      </w:pPr>
      <w:r w:rsidRPr="003164CB">
        <w:rPr>
          <w:rFonts w:ascii="Times New Roman" w:hAnsi="Times New Roman" w:cs="Times New Roman"/>
          <w:lang w:val="es-MX"/>
        </w:rPr>
        <w:t>Además de lo anterior, la SBS indicó que dentro de las principales dificultades agudizadas por la pandemia de COVID-19, se encuentran: poco personal operativo para cubrir todas las áreas de los centros, en especial ante la suspensión de trabajadores por dar positivo a COVID-19; no se cuenta con equipo tecnológico ni espacios para desarrollar actividades de docencia a distancia; y, equipo de bioseguridad limitado</w:t>
      </w:r>
      <w:r w:rsidRPr="003164CB">
        <w:rPr>
          <w:rStyle w:val="FootnoteReference"/>
          <w:rFonts w:ascii="Times New Roman" w:hAnsi="Times New Roman" w:cs="Times New Roman"/>
          <w:lang w:val="es-MX"/>
        </w:rPr>
        <w:footnoteReference w:id="24"/>
      </w:r>
      <w:r w:rsidRPr="003164CB">
        <w:rPr>
          <w:rFonts w:ascii="Times New Roman" w:hAnsi="Times New Roman" w:cs="Times New Roman"/>
          <w:lang w:val="es-MX"/>
        </w:rPr>
        <w:t>.</w:t>
      </w:r>
    </w:p>
    <w:sectPr w:rsidR="003B09E1" w:rsidRPr="003164CB" w:rsidSect="007A4A66">
      <w:headerReference w:type="default" r:id="rId8"/>
      <w:footerReference w:type="default" r:id="rId9"/>
      <w:headerReference w:type="first" r:id="rId10"/>
      <w:pgSz w:w="12242" w:h="15842" w:code="1"/>
      <w:pgMar w:top="1418" w:right="1247" w:bottom="1418" w:left="124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DEEDB" w14:textId="77777777" w:rsidR="008B4118" w:rsidRDefault="008B4118" w:rsidP="00A844A3">
      <w:pPr>
        <w:spacing w:after="0"/>
      </w:pPr>
      <w:r>
        <w:separator/>
      </w:r>
    </w:p>
  </w:endnote>
  <w:endnote w:type="continuationSeparator" w:id="0">
    <w:p w14:paraId="12214973" w14:textId="77777777" w:rsidR="008B4118" w:rsidRDefault="008B4118" w:rsidP="00A844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4959E" w14:textId="690F4D37" w:rsidR="00275979" w:rsidRDefault="00275979">
    <w:pPr>
      <w:tabs>
        <w:tab w:val="center" w:pos="4550"/>
        <w:tab w:val="left" w:pos="5818"/>
      </w:tabs>
      <w:ind w:right="260"/>
      <w:jc w:val="right"/>
      <w:rPr>
        <w:color w:val="323E4F" w:themeColor="text2" w:themeShade="BF"/>
      </w:rPr>
    </w:pPr>
    <w:r>
      <w:rPr>
        <w:noProof/>
        <w:color w:val="222A35" w:themeColor="text2" w:themeShade="80"/>
        <w:lang w:val="en-GB" w:eastAsia="en-GB"/>
      </w:rPr>
      <w:drawing>
        <wp:anchor distT="0" distB="0" distL="114300" distR="114300" simplePos="0" relativeHeight="251661312" behindDoc="0" locked="0" layoutInCell="1" allowOverlap="1" wp14:anchorId="254B7CE8" wp14:editId="5C0395E3">
          <wp:simplePos x="0" y="0"/>
          <wp:positionH relativeFrom="margin">
            <wp:posOffset>-1052195</wp:posOffset>
          </wp:positionH>
          <wp:positionV relativeFrom="paragraph">
            <wp:posOffset>295910</wp:posOffset>
          </wp:positionV>
          <wp:extent cx="7648575" cy="274320"/>
          <wp:effectExtent l="0" t="0" r="9525" b="0"/>
          <wp:wrapThrough wrapText="bothSides">
            <wp:wrapPolygon edited="0">
              <wp:start x="0" y="0"/>
              <wp:lineTo x="0" y="19500"/>
              <wp:lineTo x="21573" y="19500"/>
              <wp:lineTo x="21573"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png"/>
                  <pic:cNvPicPr/>
                </pic:nvPicPr>
                <pic:blipFill>
                  <a:blip r:embed="rId1">
                    <a:extLst>
                      <a:ext uri="{28A0092B-C50C-407E-A947-70E740481C1C}">
                        <a14:useLocalDpi xmlns:a14="http://schemas.microsoft.com/office/drawing/2010/main" val="0"/>
                      </a:ext>
                    </a:extLst>
                  </a:blip>
                  <a:stretch>
                    <a:fillRect/>
                  </a:stretch>
                </pic:blipFill>
                <pic:spPr>
                  <a:xfrm>
                    <a:off x="0" y="0"/>
                    <a:ext cx="7648575" cy="274320"/>
                  </a:xfrm>
                  <a:prstGeom prst="rect">
                    <a:avLst/>
                  </a:prstGeom>
                </pic:spPr>
              </pic:pic>
            </a:graphicData>
          </a:graphic>
          <wp14:sizeRelH relativeFrom="page">
            <wp14:pctWidth>0</wp14:pctWidth>
          </wp14:sizeRelH>
          <wp14:sizeRelV relativeFrom="page">
            <wp14:pctHeight>0</wp14:pctHeight>
          </wp14:sizeRelV>
        </wp:anchor>
      </w:drawing>
    </w: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5B68FC" w:rsidRPr="005B68FC">
      <w:rPr>
        <w:noProof/>
        <w:color w:val="323E4F" w:themeColor="text2" w:themeShade="BF"/>
        <w:sz w:val="22"/>
        <w:szCs w:val="22"/>
        <w:lang w:val="es-ES"/>
      </w:rPr>
      <w:t>2</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5B68FC" w:rsidRPr="005B68FC">
      <w:rPr>
        <w:noProof/>
        <w:color w:val="323E4F" w:themeColor="text2" w:themeShade="BF"/>
        <w:sz w:val="22"/>
        <w:szCs w:val="22"/>
        <w:lang w:val="es-ES"/>
      </w:rPr>
      <w:t>2</w:t>
    </w:r>
    <w:r>
      <w:rPr>
        <w:color w:val="323E4F" w:themeColor="text2" w:themeShade="BF"/>
      </w:rPr>
      <w:fldChar w:fldCharType="end"/>
    </w:r>
  </w:p>
  <w:p w14:paraId="57ECC070" w14:textId="77777777" w:rsidR="00275979" w:rsidRDefault="00275979" w:rsidP="006E5BD8">
    <w:pPr>
      <w:tabs>
        <w:tab w:val="left" w:pos="3090"/>
        <w:tab w:val="center" w:pos="4550"/>
        <w:tab w:val="left" w:pos="5818"/>
      </w:tabs>
      <w:ind w:right="260"/>
      <w:rPr>
        <w:color w:val="222A35" w:themeColor="text2" w:themeShade="80"/>
      </w:rPr>
    </w:pPr>
    <w:r>
      <w:rPr>
        <w:color w:val="222A35" w:themeColor="text2" w:themeShade="80"/>
      </w:rPr>
      <w:tab/>
    </w:r>
    <w:r>
      <w:rPr>
        <w:color w:val="222A35" w:themeColor="text2" w:themeShade="80"/>
      </w:rPr>
      <w:tab/>
    </w:r>
    <w:r>
      <w:rPr>
        <w:color w:val="222A35" w:themeColor="text2" w:themeShade="80"/>
      </w:rPr>
      <w:tab/>
    </w:r>
  </w:p>
  <w:p w14:paraId="309F7436" w14:textId="77777777" w:rsidR="00275979" w:rsidRDefault="00275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85D7F" w14:textId="77777777" w:rsidR="008B4118" w:rsidRDefault="008B4118" w:rsidP="00A844A3">
      <w:pPr>
        <w:spacing w:after="0"/>
      </w:pPr>
      <w:r>
        <w:separator/>
      </w:r>
    </w:p>
  </w:footnote>
  <w:footnote w:type="continuationSeparator" w:id="0">
    <w:p w14:paraId="758CC414" w14:textId="77777777" w:rsidR="008B4118" w:rsidRDefault="008B4118" w:rsidP="00A844A3">
      <w:pPr>
        <w:spacing w:after="0"/>
      </w:pPr>
      <w:r>
        <w:continuationSeparator/>
      </w:r>
    </w:p>
  </w:footnote>
  <w:footnote w:id="1">
    <w:p w14:paraId="7CE2CCE3" w14:textId="77777777" w:rsidR="00087C98" w:rsidRPr="003053EC" w:rsidRDefault="00087C98"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CEPAL. Informe Especial COVID-19, Enfrentar los efectos cada vez mayores del COVID-19 para una reactivación con igualdad: nuevas proyecciones, 15 de julio de 2020. </w:t>
      </w:r>
    </w:p>
  </w:footnote>
  <w:footnote w:id="2">
    <w:p w14:paraId="5F9F334D" w14:textId="3E5BD562" w:rsidR="003053EC" w:rsidRPr="003053EC" w:rsidRDefault="003053EC"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De acuerdo con el tipo de cambio de referencia del Banco de Guatemala: Q 7.81985 por US$1. </w:t>
      </w:r>
    </w:p>
  </w:footnote>
  <w:footnote w:id="3">
    <w:p w14:paraId="463B7282" w14:textId="005ADB0B" w:rsidR="003053EC" w:rsidRPr="003053EC" w:rsidRDefault="003053EC"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Idem. </w:t>
      </w:r>
    </w:p>
  </w:footnote>
  <w:footnote w:id="4">
    <w:p w14:paraId="23DB1AFA" w14:textId="35AA13E8" w:rsidR="00087C98" w:rsidRPr="003053EC" w:rsidRDefault="00087C98"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Según el Instituto Nacional de Estadística, el costo de la canasta básica alimentaria por hogar a septiembre de 2020 es de </w:t>
      </w:r>
      <w:r w:rsidR="003053EC">
        <w:rPr>
          <w:rFonts w:ascii="Times New Roman" w:hAnsi="Times New Roman" w:cs="Times New Roman"/>
          <w:sz w:val="16"/>
          <w:szCs w:val="16"/>
        </w:rPr>
        <w:t>USS461.9 (</w:t>
      </w:r>
      <w:r w:rsidRPr="003053EC">
        <w:rPr>
          <w:rFonts w:ascii="Times New Roman" w:hAnsi="Times New Roman" w:cs="Times New Roman"/>
          <w:sz w:val="16"/>
          <w:szCs w:val="16"/>
        </w:rPr>
        <w:t>Q 3,611.92</w:t>
      </w:r>
      <w:r w:rsidR="003053EC">
        <w:rPr>
          <w:rFonts w:ascii="Times New Roman" w:hAnsi="Times New Roman" w:cs="Times New Roman"/>
          <w:sz w:val="16"/>
          <w:szCs w:val="16"/>
        </w:rPr>
        <w:t>)</w:t>
      </w:r>
      <w:r w:rsidRPr="003053EC">
        <w:rPr>
          <w:rFonts w:ascii="Times New Roman" w:hAnsi="Times New Roman" w:cs="Times New Roman"/>
          <w:sz w:val="16"/>
          <w:szCs w:val="16"/>
        </w:rPr>
        <w:t xml:space="preserve">. </w:t>
      </w:r>
    </w:p>
  </w:footnote>
  <w:footnote w:id="5">
    <w:p w14:paraId="27A69BB3" w14:textId="77777777" w:rsidR="00087C98" w:rsidRPr="003053EC" w:rsidRDefault="00087C98"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Agencia Guatemalteca de Noticias (AGN), en: </w:t>
      </w:r>
      <w:hyperlink r:id="rId1" w:history="1">
        <w:r w:rsidRPr="003053EC">
          <w:rPr>
            <w:rStyle w:val="Hyperlink"/>
            <w:rFonts w:ascii="Times New Roman" w:hAnsi="Times New Roman" w:cs="Times New Roman"/>
            <w:sz w:val="16"/>
            <w:szCs w:val="16"/>
          </w:rPr>
          <w:t>https://agn.gt/tercer-pago-bono-familia/</w:t>
        </w:r>
      </w:hyperlink>
      <w:r w:rsidRPr="003053EC">
        <w:rPr>
          <w:rFonts w:ascii="Times New Roman" w:hAnsi="Times New Roman" w:cs="Times New Roman"/>
          <w:sz w:val="16"/>
          <w:szCs w:val="16"/>
        </w:rPr>
        <w:t xml:space="preserve">, consultado el 25 de noviembre de 2020. </w:t>
      </w:r>
    </w:p>
  </w:footnote>
  <w:footnote w:id="6">
    <w:p w14:paraId="3DAFE251" w14:textId="77777777" w:rsidR="00087C98" w:rsidRPr="003053EC" w:rsidRDefault="00087C98"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PDH Guatemala (@PDHgt). El PDH Jordán Rodas, alerta sobre el incremento de casos de desnutrición aguda y recomienda al MinSaludGuate garantizar el tratamiento para la recuperación de l@s niñ@s afectad@s. Twitter. </w:t>
      </w:r>
      <w:hyperlink r:id="rId2" w:history="1">
        <w:r w:rsidRPr="003053EC">
          <w:rPr>
            <w:rStyle w:val="Hyperlink"/>
            <w:rFonts w:ascii="Times New Roman" w:hAnsi="Times New Roman" w:cs="Times New Roman"/>
            <w:sz w:val="16"/>
            <w:szCs w:val="16"/>
          </w:rPr>
          <w:t>https://twitter.com/PDHgt/status/1308208500527509505</w:t>
        </w:r>
      </w:hyperlink>
      <w:r w:rsidRPr="003053EC">
        <w:rPr>
          <w:rFonts w:ascii="Times New Roman" w:hAnsi="Times New Roman" w:cs="Times New Roman"/>
          <w:sz w:val="16"/>
          <w:szCs w:val="16"/>
        </w:rPr>
        <w:t xml:space="preserve">. </w:t>
      </w:r>
    </w:p>
  </w:footnote>
  <w:footnote w:id="7">
    <w:p w14:paraId="1F8A116C" w14:textId="77777777" w:rsidR="00087C98" w:rsidRPr="003053EC" w:rsidRDefault="00087C98"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MSPAS. Tablero COVID-19, 18 de noviembre de 2020.</w:t>
      </w:r>
    </w:p>
  </w:footnote>
  <w:footnote w:id="8">
    <w:p w14:paraId="63AC7CD0" w14:textId="77777777" w:rsidR="00E43BD7" w:rsidRPr="003053EC" w:rsidRDefault="00E43BD7"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lang w:val="en-US"/>
        </w:rPr>
        <w:t xml:space="preserve"> Roberton T, Carter ED, Chou VB, et al. Early estimates of the indirect effects of the COVID-19 pandemic on maternal and child mortality in low-income and middle-income countries: a modelling study. </w:t>
      </w:r>
      <w:r w:rsidRPr="003053EC">
        <w:rPr>
          <w:rFonts w:ascii="Times New Roman" w:hAnsi="Times New Roman" w:cs="Times New Roman"/>
          <w:sz w:val="16"/>
          <w:szCs w:val="16"/>
        </w:rPr>
        <w:t>Lancet Global Health 2020.</w:t>
      </w:r>
    </w:p>
  </w:footnote>
  <w:footnote w:id="9">
    <w:p w14:paraId="6B3D1778" w14:textId="77777777" w:rsidR="00E43BD7" w:rsidRPr="003053EC" w:rsidRDefault="00E43BD7"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Organización de Naciones Unidas. Análisis de los efectos e impactos socioeconómicos COVID-19 en Guatemala, 2020.</w:t>
      </w:r>
    </w:p>
  </w:footnote>
  <w:footnote w:id="10">
    <w:p w14:paraId="31D8601D" w14:textId="77777777" w:rsidR="00087C98" w:rsidRPr="003053EC" w:rsidRDefault="00087C98"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PDH Guatemala (@PDHgt). El PDH Jordán Rodas recomienda a MinSaludGuate realizar acciones necesarias para garantizar el acceso a servicios de salud a población de Puerto Barrios, Izabal que incluyen atención de partos, enfermedades crónicas, vacunación de niñ@s y emergencias médicas. Twitter. </w:t>
      </w:r>
      <w:hyperlink r:id="rId3" w:history="1">
        <w:r w:rsidRPr="003053EC">
          <w:rPr>
            <w:rStyle w:val="Hyperlink"/>
            <w:rFonts w:ascii="Times New Roman" w:hAnsi="Times New Roman" w:cs="Times New Roman"/>
            <w:sz w:val="16"/>
            <w:szCs w:val="16"/>
          </w:rPr>
          <w:t>https://twitter.com/PDHgt/status/1247903203498135553</w:t>
        </w:r>
      </w:hyperlink>
      <w:r w:rsidRPr="003053EC">
        <w:rPr>
          <w:rFonts w:ascii="Times New Roman" w:hAnsi="Times New Roman" w:cs="Times New Roman"/>
          <w:sz w:val="16"/>
          <w:szCs w:val="16"/>
        </w:rPr>
        <w:t xml:space="preserve">. </w:t>
      </w:r>
    </w:p>
  </w:footnote>
  <w:footnote w:id="11">
    <w:p w14:paraId="54EC0A6E" w14:textId="6D5B831B" w:rsidR="00087C98" w:rsidRPr="003053EC" w:rsidRDefault="00087C98"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Según el Fondo de las Naciones Unidas para la Infancia (UNICEF), dentro de estas se encuentran</w:t>
      </w:r>
      <w:r w:rsidR="00362345" w:rsidRPr="003053EC">
        <w:rPr>
          <w:rFonts w:ascii="Times New Roman" w:hAnsi="Times New Roman" w:cs="Times New Roman"/>
          <w:sz w:val="16"/>
          <w:szCs w:val="16"/>
        </w:rPr>
        <w:t>: sobrecarga</w:t>
      </w:r>
      <w:r w:rsidRPr="003053EC">
        <w:rPr>
          <w:rFonts w:ascii="Times New Roman" w:hAnsi="Times New Roman" w:cs="Times New Roman"/>
          <w:sz w:val="16"/>
          <w:szCs w:val="16"/>
        </w:rPr>
        <w:t xml:space="preserve"> de los cuidadores y cuidadoras, que, además de manejar responsabilidades de trabajo y cuidado, tuvieron que manejar la escolarización de hijas e hijos; incremento de la pobreza e inseguridad alimentaria; mayor exposición a riesgos digitales; interrupción de redes y de servicios sociales de apoyo; interrupción de los sistemas de protección formal e informal; etc.</w:t>
      </w:r>
    </w:p>
  </w:footnote>
  <w:footnote w:id="12">
    <w:p w14:paraId="0A0FD97C" w14:textId="77777777" w:rsidR="003164CB" w:rsidRPr="003053EC" w:rsidRDefault="003164CB"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Oficina de las Naciones Unidas contra la Droga y el Delito (UNODC). </w:t>
      </w:r>
      <w:r w:rsidRPr="008B7D50">
        <w:rPr>
          <w:rFonts w:ascii="Times New Roman" w:hAnsi="Times New Roman" w:cs="Times New Roman"/>
          <w:i/>
          <w:iCs/>
          <w:sz w:val="16"/>
          <w:szCs w:val="16"/>
        </w:rPr>
        <w:t>Impacto de la Pandemia COVID-19 en la trata de personas</w:t>
      </w:r>
      <w:r w:rsidRPr="003053EC">
        <w:rPr>
          <w:rFonts w:ascii="Times New Roman" w:hAnsi="Times New Roman" w:cs="Times New Roman"/>
          <w:sz w:val="16"/>
          <w:szCs w:val="16"/>
        </w:rPr>
        <w:t>, 2020.</w:t>
      </w:r>
    </w:p>
  </w:footnote>
  <w:footnote w:id="13">
    <w:p w14:paraId="393801D7" w14:textId="77777777" w:rsidR="00087C98" w:rsidRPr="003053EC" w:rsidRDefault="00087C98"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De acuerdo con el Decreto 27-2003, Ley de Protección Integral de la Niñez y Adolescencia, corresponde a la PGN la investigación de los casos de niños, niñas y adolescentes amenazados o violados en sus derechos, siempre que no constituyan un delito, en cuyo caso corresponderá al Ministerio público dicha investigación.</w:t>
      </w:r>
    </w:p>
  </w:footnote>
  <w:footnote w:id="14">
    <w:p w14:paraId="746EA8B3" w14:textId="4905AB1F" w:rsidR="00087C98" w:rsidRPr="003053EC" w:rsidRDefault="00087C98"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Procurador General de la Nación</w:t>
      </w:r>
      <w:r w:rsidR="008B7D50">
        <w:rPr>
          <w:rFonts w:ascii="Times New Roman" w:hAnsi="Times New Roman" w:cs="Times New Roman"/>
          <w:sz w:val="16"/>
          <w:szCs w:val="16"/>
        </w:rPr>
        <w:t>.</w:t>
      </w:r>
      <w:r w:rsidRPr="003053EC">
        <w:rPr>
          <w:rFonts w:ascii="Times New Roman" w:hAnsi="Times New Roman" w:cs="Times New Roman"/>
          <w:sz w:val="16"/>
          <w:szCs w:val="16"/>
        </w:rPr>
        <w:t xml:space="preserve"> </w:t>
      </w:r>
      <w:r w:rsidR="008B7D50" w:rsidRPr="008B7D50">
        <w:rPr>
          <w:rFonts w:ascii="Times New Roman" w:hAnsi="Times New Roman" w:cs="Times New Roman"/>
          <w:i/>
          <w:iCs/>
          <w:sz w:val="16"/>
          <w:szCs w:val="16"/>
        </w:rPr>
        <w:t>O</w:t>
      </w:r>
      <w:r w:rsidRPr="008B7D50">
        <w:rPr>
          <w:rFonts w:ascii="Times New Roman" w:hAnsi="Times New Roman" w:cs="Times New Roman"/>
          <w:i/>
          <w:iCs/>
          <w:sz w:val="16"/>
          <w:szCs w:val="16"/>
        </w:rPr>
        <w:t>ficio DS-870-2020 JLDV/lasp</w:t>
      </w:r>
      <w:r w:rsidR="008B7D50">
        <w:rPr>
          <w:rFonts w:ascii="Times New Roman" w:hAnsi="Times New Roman" w:cs="Times New Roman"/>
          <w:sz w:val="16"/>
          <w:szCs w:val="16"/>
        </w:rPr>
        <w:t>,</w:t>
      </w:r>
      <w:r w:rsidRPr="003053EC">
        <w:rPr>
          <w:rFonts w:ascii="Times New Roman" w:hAnsi="Times New Roman" w:cs="Times New Roman"/>
          <w:sz w:val="16"/>
          <w:szCs w:val="16"/>
        </w:rPr>
        <w:t xml:space="preserve">29 de octubre de 2020. </w:t>
      </w:r>
    </w:p>
  </w:footnote>
  <w:footnote w:id="15">
    <w:p w14:paraId="6470786E" w14:textId="155F549A" w:rsidR="00087C98" w:rsidRPr="003053EC" w:rsidRDefault="00087C98"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w:t>
      </w:r>
      <w:r w:rsidRPr="003053EC">
        <w:rPr>
          <w:rFonts w:ascii="Times New Roman" w:hAnsi="Times New Roman" w:cs="Times New Roman"/>
          <w:sz w:val="16"/>
          <w:szCs w:val="16"/>
          <w:lang w:val="es-MX"/>
        </w:rPr>
        <w:t>OJ</w:t>
      </w:r>
      <w:r w:rsidR="008B7D50">
        <w:rPr>
          <w:rFonts w:ascii="Times New Roman" w:hAnsi="Times New Roman" w:cs="Times New Roman"/>
          <w:sz w:val="16"/>
          <w:szCs w:val="16"/>
          <w:lang w:val="es-MX"/>
        </w:rPr>
        <w:t>.</w:t>
      </w:r>
      <w:r w:rsidRPr="003053EC">
        <w:rPr>
          <w:rFonts w:ascii="Times New Roman" w:hAnsi="Times New Roman" w:cs="Times New Roman"/>
          <w:sz w:val="16"/>
          <w:szCs w:val="16"/>
          <w:lang w:val="es-MX"/>
        </w:rPr>
        <w:t xml:space="preserve"> </w:t>
      </w:r>
      <w:r w:rsidR="008B7D50" w:rsidRPr="008B7D50">
        <w:rPr>
          <w:rFonts w:ascii="Times New Roman" w:hAnsi="Times New Roman" w:cs="Times New Roman"/>
          <w:i/>
          <w:iCs/>
          <w:sz w:val="16"/>
          <w:szCs w:val="16"/>
          <w:lang w:val="es-MX"/>
        </w:rPr>
        <w:t>O</w:t>
      </w:r>
      <w:r w:rsidRPr="008B7D50">
        <w:rPr>
          <w:rFonts w:ascii="Times New Roman" w:hAnsi="Times New Roman" w:cs="Times New Roman"/>
          <w:i/>
          <w:iCs/>
          <w:sz w:val="16"/>
          <w:szCs w:val="16"/>
          <w:lang w:val="es-MX"/>
        </w:rPr>
        <w:t>ficio 2292 de la Secretaría General de la Presidencia</w:t>
      </w:r>
      <w:r w:rsidR="008B7D50">
        <w:rPr>
          <w:rFonts w:ascii="Times New Roman" w:hAnsi="Times New Roman" w:cs="Times New Roman"/>
          <w:sz w:val="16"/>
          <w:szCs w:val="16"/>
          <w:lang w:val="es-MX"/>
        </w:rPr>
        <w:t>, 2020</w:t>
      </w:r>
    </w:p>
  </w:footnote>
  <w:footnote w:id="16">
    <w:p w14:paraId="5E639373" w14:textId="77777777" w:rsidR="00087C98" w:rsidRPr="003053EC" w:rsidRDefault="00087C98"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PDH Guatemala [@PDHgt]. El PDH Jordán Rodas recuerda que es necesario que las instituciones de protección que atienden a niñas, niños y adolescentes adopten las medidas necesarias en el marco del COVID-19. Twitter. </w:t>
      </w:r>
      <w:hyperlink r:id="rId4" w:history="1">
        <w:r w:rsidRPr="003053EC">
          <w:rPr>
            <w:rStyle w:val="Hyperlink"/>
            <w:rFonts w:ascii="Times New Roman" w:hAnsi="Times New Roman" w:cs="Times New Roman"/>
            <w:sz w:val="16"/>
            <w:szCs w:val="16"/>
          </w:rPr>
          <w:t>https://twitter.com/PDHgt/status/1253398611045515265</w:t>
        </w:r>
      </w:hyperlink>
      <w:r w:rsidRPr="003053EC">
        <w:rPr>
          <w:rFonts w:ascii="Times New Roman" w:hAnsi="Times New Roman" w:cs="Times New Roman"/>
          <w:sz w:val="16"/>
          <w:szCs w:val="16"/>
        </w:rPr>
        <w:t xml:space="preserve">. </w:t>
      </w:r>
    </w:p>
  </w:footnote>
  <w:footnote w:id="17">
    <w:p w14:paraId="585F3D26" w14:textId="77777777" w:rsidR="003164CB" w:rsidRPr="003053EC" w:rsidRDefault="003164CB"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Consejo Nacional de Adopciones (CNA). Oficio CNA-DG-584-2020/EECL/adg, 27 de octubre de 2020.</w:t>
      </w:r>
    </w:p>
  </w:footnote>
  <w:footnote w:id="18">
    <w:p w14:paraId="58B9CB7F" w14:textId="77777777" w:rsidR="003164CB" w:rsidRPr="003053EC" w:rsidRDefault="003164CB" w:rsidP="008B7D50">
      <w:pPr>
        <w:pStyle w:val="FootnoteText"/>
        <w:jc w:val="both"/>
        <w:rPr>
          <w:rFonts w:ascii="Times New Roman" w:hAnsi="Times New Roman" w:cs="Times New Roman"/>
          <w:sz w:val="16"/>
          <w:szCs w:val="16"/>
          <w:lang w:val="es-MX"/>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SBS. </w:t>
      </w:r>
      <w:r w:rsidRPr="008B7D50">
        <w:rPr>
          <w:rFonts w:ascii="Times New Roman" w:hAnsi="Times New Roman" w:cs="Times New Roman"/>
          <w:i/>
          <w:iCs/>
          <w:sz w:val="16"/>
          <w:szCs w:val="16"/>
          <w:lang w:val="es-MX"/>
        </w:rPr>
        <w:t>Oficios DPEAFR-778-2020/WRLP.il y CT-103/DPER/AESR</w:t>
      </w:r>
      <w:r w:rsidRPr="003053EC">
        <w:rPr>
          <w:rFonts w:ascii="Times New Roman" w:hAnsi="Times New Roman" w:cs="Times New Roman"/>
          <w:sz w:val="16"/>
          <w:szCs w:val="16"/>
          <w:lang w:val="es-MX"/>
        </w:rPr>
        <w:t>, octubre de 2020.</w:t>
      </w:r>
    </w:p>
  </w:footnote>
  <w:footnote w:id="19">
    <w:p w14:paraId="6AC0A82B" w14:textId="77777777" w:rsidR="003164CB" w:rsidRPr="003053EC" w:rsidRDefault="003164CB"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PDH Guatemala [@PDHgt]. El PDH Jordán Rodas recuerda que es necesario que las instituciones de protección que atienden a niñas, niños y adolescentes adopten las medidas necesarias en el marco del COVID-19. Twitter. </w:t>
      </w:r>
      <w:hyperlink r:id="rId5" w:history="1">
        <w:r w:rsidRPr="003053EC">
          <w:rPr>
            <w:rStyle w:val="Hyperlink"/>
            <w:rFonts w:ascii="Times New Roman" w:hAnsi="Times New Roman" w:cs="Times New Roman"/>
            <w:sz w:val="16"/>
            <w:szCs w:val="16"/>
          </w:rPr>
          <w:t>https://twitter.com/PDHgt/status/1253398611045515265</w:t>
        </w:r>
      </w:hyperlink>
    </w:p>
  </w:footnote>
  <w:footnote w:id="20">
    <w:p w14:paraId="7C005C13" w14:textId="77777777" w:rsidR="003164CB" w:rsidRPr="003053EC" w:rsidRDefault="003164CB"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SBS. </w:t>
      </w:r>
      <w:r w:rsidRPr="008B7D50">
        <w:rPr>
          <w:rFonts w:ascii="Times New Roman" w:hAnsi="Times New Roman" w:cs="Times New Roman"/>
          <w:i/>
          <w:iCs/>
          <w:sz w:val="16"/>
          <w:szCs w:val="16"/>
        </w:rPr>
        <w:t>O</w:t>
      </w:r>
      <w:r w:rsidRPr="008B7D50">
        <w:rPr>
          <w:rFonts w:ascii="Times New Roman" w:hAnsi="Times New Roman" w:cs="Times New Roman"/>
          <w:i/>
          <w:iCs/>
          <w:sz w:val="16"/>
          <w:szCs w:val="16"/>
          <w:lang w:val="es-MX"/>
        </w:rPr>
        <w:t>ficios DPEAFR-778-2020/WRLP.il y CT-103/DPER/AES</w:t>
      </w:r>
      <w:r w:rsidRPr="003053EC">
        <w:rPr>
          <w:rFonts w:ascii="Times New Roman" w:hAnsi="Times New Roman" w:cs="Times New Roman"/>
          <w:sz w:val="16"/>
          <w:szCs w:val="16"/>
          <w:lang w:val="es-MX"/>
        </w:rPr>
        <w:t>, octubre de 2020.</w:t>
      </w:r>
    </w:p>
  </w:footnote>
  <w:footnote w:id="21">
    <w:p w14:paraId="34D938AB" w14:textId="77777777" w:rsidR="003164CB" w:rsidRPr="003053EC" w:rsidRDefault="003164CB"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Van IJzendoorn MH, Bakermans-Kranenburg MJ, Duschinsky R, et al. </w:t>
      </w:r>
      <w:r w:rsidRPr="008B7D50">
        <w:rPr>
          <w:rFonts w:ascii="Times New Roman" w:hAnsi="Times New Roman" w:cs="Times New Roman"/>
          <w:i/>
          <w:iCs/>
          <w:sz w:val="16"/>
          <w:szCs w:val="16"/>
          <w:lang w:val="en-US"/>
        </w:rPr>
        <w:t>Institutionalization and deinstitutionalization of children 1: a systematic and integrative review of evidence regarding effects on development</w:t>
      </w:r>
      <w:r w:rsidRPr="003053EC">
        <w:rPr>
          <w:rFonts w:ascii="Times New Roman" w:hAnsi="Times New Roman" w:cs="Times New Roman"/>
          <w:sz w:val="16"/>
          <w:szCs w:val="16"/>
          <w:lang w:val="en-US"/>
        </w:rPr>
        <w:t xml:space="preserve">. </w:t>
      </w:r>
      <w:r w:rsidRPr="003053EC">
        <w:rPr>
          <w:rFonts w:ascii="Times New Roman" w:hAnsi="Times New Roman" w:cs="Times New Roman"/>
          <w:sz w:val="16"/>
          <w:szCs w:val="16"/>
        </w:rPr>
        <w:t>Lancet Psychiatry. 2020.</w:t>
      </w:r>
    </w:p>
  </w:footnote>
  <w:footnote w:id="22">
    <w:p w14:paraId="50EFF418" w14:textId="77777777" w:rsidR="003164CB" w:rsidRPr="003053EC" w:rsidRDefault="003164CB"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SBS. </w:t>
      </w:r>
      <w:r w:rsidRPr="008B7D50">
        <w:rPr>
          <w:rFonts w:ascii="Times New Roman" w:hAnsi="Times New Roman" w:cs="Times New Roman"/>
          <w:i/>
          <w:iCs/>
          <w:sz w:val="16"/>
          <w:szCs w:val="16"/>
        </w:rPr>
        <w:t>Oficio No. 879-2020/FMDH/gjvm</w:t>
      </w:r>
      <w:r w:rsidRPr="003053EC">
        <w:rPr>
          <w:rFonts w:ascii="Times New Roman" w:hAnsi="Times New Roman" w:cs="Times New Roman"/>
          <w:sz w:val="16"/>
          <w:szCs w:val="16"/>
        </w:rPr>
        <w:t xml:space="preserve">, 22 de octubre de 2020. </w:t>
      </w:r>
      <w:r w:rsidRPr="003053EC">
        <w:rPr>
          <w:rFonts w:ascii="Times New Roman" w:hAnsi="Times New Roman" w:cs="Times New Roman"/>
          <w:sz w:val="16"/>
          <w:szCs w:val="16"/>
        </w:rPr>
        <w:tab/>
      </w:r>
    </w:p>
  </w:footnote>
  <w:footnote w:id="23">
    <w:p w14:paraId="2074155C" w14:textId="77777777" w:rsidR="003164CB" w:rsidRPr="003053EC" w:rsidRDefault="003164CB"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PDH Guatemala. El PDH Jordán Rodas recuerda que es necesario que las instituciones de protección que atienden a niñas, niños y adolescentes adopten las medidas necesarias en el marco del COVID-19. Twitter. </w:t>
      </w:r>
      <w:hyperlink r:id="rId6" w:history="1">
        <w:r w:rsidRPr="003053EC">
          <w:rPr>
            <w:rStyle w:val="Hyperlink"/>
            <w:rFonts w:ascii="Times New Roman" w:hAnsi="Times New Roman" w:cs="Times New Roman"/>
            <w:sz w:val="16"/>
            <w:szCs w:val="16"/>
          </w:rPr>
          <w:t>https://twitter.com/PDHgt/status/1253398611045515265</w:t>
        </w:r>
      </w:hyperlink>
      <w:r w:rsidRPr="003053EC">
        <w:rPr>
          <w:rFonts w:ascii="Times New Roman" w:hAnsi="Times New Roman" w:cs="Times New Roman"/>
          <w:sz w:val="16"/>
          <w:szCs w:val="16"/>
        </w:rPr>
        <w:t xml:space="preserve">. </w:t>
      </w:r>
    </w:p>
  </w:footnote>
  <w:footnote w:id="24">
    <w:p w14:paraId="20643FB1" w14:textId="77777777" w:rsidR="003164CB" w:rsidRPr="003053EC" w:rsidRDefault="003164CB" w:rsidP="008B7D50">
      <w:pPr>
        <w:pStyle w:val="FootnoteText"/>
        <w:jc w:val="both"/>
        <w:rPr>
          <w:rFonts w:ascii="Times New Roman" w:hAnsi="Times New Roman" w:cs="Times New Roman"/>
          <w:sz w:val="16"/>
          <w:szCs w:val="16"/>
        </w:rPr>
      </w:pPr>
      <w:r w:rsidRPr="003053EC">
        <w:rPr>
          <w:rStyle w:val="FootnoteReference"/>
          <w:rFonts w:ascii="Times New Roman" w:hAnsi="Times New Roman" w:cs="Times New Roman"/>
          <w:sz w:val="16"/>
          <w:szCs w:val="16"/>
        </w:rPr>
        <w:footnoteRef/>
      </w:r>
      <w:r w:rsidRPr="003053EC">
        <w:rPr>
          <w:rFonts w:ascii="Times New Roman" w:hAnsi="Times New Roman" w:cs="Times New Roman"/>
          <w:sz w:val="16"/>
          <w:szCs w:val="16"/>
        </w:rPr>
        <w:t xml:space="preserve"> SBS. </w:t>
      </w:r>
      <w:r w:rsidRPr="008B7D50">
        <w:rPr>
          <w:rFonts w:ascii="Times New Roman" w:hAnsi="Times New Roman" w:cs="Times New Roman"/>
          <w:i/>
          <w:iCs/>
          <w:sz w:val="16"/>
          <w:szCs w:val="16"/>
        </w:rPr>
        <w:t>Oficio No. 879-2020/FMDH/gjvm</w:t>
      </w:r>
      <w:r w:rsidRPr="003053EC">
        <w:rPr>
          <w:rFonts w:ascii="Times New Roman" w:hAnsi="Times New Roman" w:cs="Times New Roman"/>
          <w:sz w:val="16"/>
          <w:szCs w:val="16"/>
        </w:rPr>
        <w:t>, 22 de octubre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8AB4" w14:textId="3AA24735" w:rsidR="00275979" w:rsidRDefault="00693F7B">
    <w:pPr>
      <w:pStyle w:val="Header"/>
    </w:pPr>
    <w:r>
      <w:rPr>
        <w:noProof/>
        <w:lang w:val="en-GB" w:eastAsia="en-GB"/>
      </w:rPr>
      <w:drawing>
        <wp:anchor distT="0" distB="0" distL="114300" distR="114300" simplePos="0" relativeHeight="251658240" behindDoc="0" locked="0" layoutInCell="1" allowOverlap="1" wp14:anchorId="589647AA" wp14:editId="64F68AFE">
          <wp:simplePos x="0" y="0"/>
          <wp:positionH relativeFrom="column">
            <wp:posOffset>-191608</wp:posOffset>
          </wp:positionH>
          <wp:positionV relativeFrom="paragraph">
            <wp:posOffset>-280390</wp:posOffset>
          </wp:positionV>
          <wp:extent cx="6793865" cy="869315"/>
          <wp:effectExtent l="0" t="0" r="6985" b="6985"/>
          <wp:wrapThrough wrapText="bothSides">
            <wp:wrapPolygon edited="0">
              <wp:start x="0" y="0"/>
              <wp:lineTo x="0" y="21300"/>
              <wp:lineTo x="21562" y="21300"/>
              <wp:lineTo x="21562"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png"/>
                  <pic:cNvPicPr/>
                </pic:nvPicPr>
                <pic:blipFill>
                  <a:blip r:embed="rId1">
                    <a:extLst>
                      <a:ext uri="{28A0092B-C50C-407E-A947-70E740481C1C}">
                        <a14:useLocalDpi xmlns:a14="http://schemas.microsoft.com/office/drawing/2010/main" val="0"/>
                      </a:ext>
                    </a:extLst>
                  </a:blip>
                  <a:stretch>
                    <a:fillRect/>
                  </a:stretch>
                </pic:blipFill>
                <pic:spPr>
                  <a:xfrm>
                    <a:off x="0" y="0"/>
                    <a:ext cx="6793865" cy="869315"/>
                  </a:xfrm>
                  <a:prstGeom prst="rect">
                    <a:avLst/>
                  </a:prstGeom>
                </pic:spPr>
              </pic:pic>
            </a:graphicData>
          </a:graphic>
          <wp14:sizeRelH relativeFrom="page">
            <wp14:pctWidth>0</wp14:pctWidth>
          </wp14:sizeRelH>
          <wp14:sizeRelV relativeFrom="page">
            <wp14:pctHeight>0</wp14:pctHeight>
          </wp14:sizeRelV>
        </wp:anchor>
      </w:drawing>
    </w:r>
    <w:r w:rsidR="00275979">
      <w:rPr>
        <w:noProof/>
        <w:lang w:val="en-GB" w:eastAsia="en-GB"/>
      </w:rPr>
      <w:drawing>
        <wp:anchor distT="0" distB="0" distL="114300" distR="114300" simplePos="0" relativeHeight="251660288" behindDoc="1" locked="0" layoutInCell="1" allowOverlap="1" wp14:anchorId="61E2902A" wp14:editId="56A1757D">
          <wp:simplePos x="0" y="0"/>
          <wp:positionH relativeFrom="margin">
            <wp:posOffset>-975360</wp:posOffset>
          </wp:positionH>
          <wp:positionV relativeFrom="paragraph">
            <wp:posOffset>3795395</wp:posOffset>
          </wp:positionV>
          <wp:extent cx="7556500" cy="1388110"/>
          <wp:effectExtent l="0" t="0" r="635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o.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3881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098F" w14:textId="381DF254" w:rsidR="00693F7B" w:rsidRDefault="00693F7B">
    <w:pPr>
      <w:pStyle w:val="Header"/>
    </w:pPr>
    <w:r w:rsidRPr="003164CB">
      <w:rPr>
        <w:rFonts w:ascii="Times New Roman" w:hAnsi="Times New Roman" w:cs="Times New Roman"/>
        <w:b/>
        <w:noProof/>
        <w:lang w:val="en-GB" w:eastAsia="en-GB"/>
      </w:rPr>
      <w:drawing>
        <wp:anchor distT="0" distB="0" distL="114300" distR="114300" simplePos="0" relativeHeight="251663360" behindDoc="1" locked="0" layoutInCell="1" allowOverlap="1" wp14:anchorId="6FE66332" wp14:editId="5B17DBB3">
          <wp:simplePos x="0" y="0"/>
          <wp:positionH relativeFrom="margin">
            <wp:align>left</wp:align>
          </wp:positionH>
          <wp:positionV relativeFrom="paragraph">
            <wp:posOffset>-448310</wp:posOffset>
          </wp:positionV>
          <wp:extent cx="1796902" cy="95351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6902" cy="9535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0AB"/>
    <w:multiLevelType w:val="hybridMultilevel"/>
    <w:tmpl w:val="2E8E5306"/>
    <w:lvl w:ilvl="0" w:tplc="98C89AC0">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AA33E2C"/>
    <w:multiLevelType w:val="hybridMultilevel"/>
    <w:tmpl w:val="C30423AC"/>
    <w:lvl w:ilvl="0" w:tplc="100A0003">
      <w:start w:val="1"/>
      <w:numFmt w:val="bullet"/>
      <w:lvlText w:val="o"/>
      <w:lvlJc w:val="left"/>
      <w:pPr>
        <w:ind w:left="1068" w:hanging="360"/>
      </w:pPr>
      <w:rPr>
        <w:rFonts w:ascii="Courier New" w:hAnsi="Courier New" w:cs="Courier New"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0B597842"/>
    <w:multiLevelType w:val="hybridMultilevel"/>
    <w:tmpl w:val="6B528D7E"/>
    <w:lvl w:ilvl="0" w:tplc="5B94A2CE">
      <w:numFmt w:val="bullet"/>
      <w:lvlText w:val=""/>
      <w:lvlJc w:val="left"/>
      <w:pPr>
        <w:ind w:left="720" w:hanging="360"/>
      </w:pPr>
      <w:rPr>
        <w:rFonts w:ascii="Symbol" w:eastAsiaTheme="minorHAnsi" w:hAnsi="Symbo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DC5020B"/>
    <w:multiLevelType w:val="hybridMultilevel"/>
    <w:tmpl w:val="40626B32"/>
    <w:lvl w:ilvl="0" w:tplc="58681522">
      <w:start w:val="28"/>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0EC25FD6"/>
    <w:multiLevelType w:val="hybridMultilevel"/>
    <w:tmpl w:val="597AF78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67D5FA8"/>
    <w:multiLevelType w:val="hybridMultilevel"/>
    <w:tmpl w:val="D0D6351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1A112993"/>
    <w:multiLevelType w:val="hybridMultilevel"/>
    <w:tmpl w:val="34308DB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22F54D3B"/>
    <w:multiLevelType w:val="hybridMultilevel"/>
    <w:tmpl w:val="4F5E49B8"/>
    <w:lvl w:ilvl="0" w:tplc="5CF48568">
      <w:start w:val="28"/>
      <w:numFmt w:val="bullet"/>
      <w:lvlText w:val="-"/>
      <w:lvlJc w:val="left"/>
      <w:pPr>
        <w:ind w:left="720" w:hanging="360"/>
      </w:pPr>
      <w:rPr>
        <w:rFonts w:ascii="Arial" w:eastAsiaTheme="minorHAnsi" w:hAnsi="Arial" w:cs="Aria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23037146"/>
    <w:multiLevelType w:val="hybridMultilevel"/>
    <w:tmpl w:val="D8EEB7D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24243C2B"/>
    <w:multiLevelType w:val="hybridMultilevel"/>
    <w:tmpl w:val="FF4E2288"/>
    <w:lvl w:ilvl="0" w:tplc="28C6AE60">
      <w:start w:val="1"/>
      <w:numFmt w:val="upperRoman"/>
      <w:lvlText w:val="%1."/>
      <w:lvlJc w:val="left"/>
      <w:pPr>
        <w:ind w:left="720" w:hanging="360"/>
      </w:pPr>
      <w:rPr>
        <w:rFonts w:ascii="Arial Narrow" w:eastAsiaTheme="minorHAnsi" w:hAnsi="Arial Narrow" w:cs="Arial"/>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26E2573E"/>
    <w:multiLevelType w:val="hybridMultilevel"/>
    <w:tmpl w:val="7CBEF16C"/>
    <w:lvl w:ilvl="0" w:tplc="4BBE0EAA">
      <w:start w:val="16"/>
      <w:numFmt w:val="bullet"/>
      <w:lvlText w:val="-"/>
      <w:lvlJc w:val="left"/>
      <w:pPr>
        <w:ind w:left="720" w:hanging="360"/>
      </w:pPr>
      <w:rPr>
        <w:rFonts w:ascii="Calibri" w:eastAsiaTheme="minorHAnsi" w:hAnsi="Calibri"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276B717D"/>
    <w:multiLevelType w:val="multilevel"/>
    <w:tmpl w:val="C5E6C3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5843BF"/>
    <w:multiLevelType w:val="hybridMultilevel"/>
    <w:tmpl w:val="F3C6BD6E"/>
    <w:lvl w:ilvl="0" w:tplc="4BBE0EAA">
      <w:start w:val="16"/>
      <w:numFmt w:val="bullet"/>
      <w:lvlText w:val="-"/>
      <w:lvlJc w:val="left"/>
      <w:pPr>
        <w:ind w:left="720" w:hanging="360"/>
      </w:pPr>
      <w:rPr>
        <w:rFonts w:ascii="Calibri" w:eastAsiaTheme="minorHAnsi" w:hAnsi="Calibri"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34ED14A9"/>
    <w:multiLevelType w:val="multilevel"/>
    <w:tmpl w:val="E3223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BE4A31"/>
    <w:multiLevelType w:val="hybridMultilevel"/>
    <w:tmpl w:val="D28CEF4E"/>
    <w:lvl w:ilvl="0" w:tplc="671652FA">
      <w:start w:val="10"/>
      <w:numFmt w:val="bullet"/>
      <w:lvlText w:val="-"/>
      <w:lvlJc w:val="left"/>
      <w:pPr>
        <w:ind w:left="1068" w:hanging="360"/>
      </w:pPr>
      <w:rPr>
        <w:rFonts w:ascii="Calibri" w:eastAsia="Times New Roman" w:hAnsi="Calibri" w:cs="Times New Roman"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5" w15:restartNumberingAfterBreak="0">
    <w:nsid w:val="39483FCA"/>
    <w:multiLevelType w:val="multilevel"/>
    <w:tmpl w:val="FFE49D3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93612F"/>
    <w:multiLevelType w:val="hybridMultilevel"/>
    <w:tmpl w:val="7172AC42"/>
    <w:lvl w:ilvl="0" w:tplc="100A000F">
      <w:start w:val="1"/>
      <w:numFmt w:val="decimal"/>
      <w:lvlText w:val="%1."/>
      <w:lvlJc w:val="left"/>
      <w:pPr>
        <w:ind w:left="1425" w:hanging="360"/>
      </w:pPr>
    </w:lvl>
    <w:lvl w:ilvl="1" w:tplc="100A0019" w:tentative="1">
      <w:start w:val="1"/>
      <w:numFmt w:val="lowerLetter"/>
      <w:lvlText w:val="%2."/>
      <w:lvlJc w:val="left"/>
      <w:pPr>
        <w:ind w:left="2145" w:hanging="360"/>
      </w:pPr>
    </w:lvl>
    <w:lvl w:ilvl="2" w:tplc="100A001B" w:tentative="1">
      <w:start w:val="1"/>
      <w:numFmt w:val="lowerRoman"/>
      <w:lvlText w:val="%3."/>
      <w:lvlJc w:val="right"/>
      <w:pPr>
        <w:ind w:left="2865" w:hanging="180"/>
      </w:pPr>
    </w:lvl>
    <w:lvl w:ilvl="3" w:tplc="100A000F" w:tentative="1">
      <w:start w:val="1"/>
      <w:numFmt w:val="decimal"/>
      <w:lvlText w:val="%4."/>
      <w:lvlJc w:val="left"/>
      <w:pPr>
        <w:ind w:left="3585" w:hanging="360"/>
      </w:pPr>
    </w:lvl>
    <w:lvl w:ilvl="4" w:tplc="100A0019" w:tentative="1">
      <w:start w:val="1"/>
      <w:numFmt w:val="lowerLetter"/>
      <w:lvlText w:val="%5."/>
      <w:lvlJc w:val="left"/>
      <w:pPr>
        <w:ind w:left="4305" w:hanging="360"/>
      </w:pPr>
    </w:lvl>
    <w:lvl w:ilvl="5" w:tplc="100A001B" w:tentative="1">
      <w:start w:val="1"/>
      <w:numFmt w:val="lowerRoman"/>
      <w:lvlText w:val="%6."/>
      <w:lvlJc w:val="right"/>
      <w:pPr>
        <w:ind w:left="5025" w:hanging="180"/>
      </w:pPr>
    </w:lvl>
    <w:lvl w:ilvl="6" w:tplc="100A000F" w:tentative="1">
      <w:start w:val="1"/>
      <w:numFmt w:val="decimal"/>
      <w:lvlText w:val="%7."/>
      <w:lvlJc w:val="left"/>
      <w:pPr>
        <w:ind w:left="5745" w:hanging="360"/>
      </w:pPr>
    </w:lvl>
    <w:lvl w:ilvl="7" w:tplc="100A0019" w:tentative="1">
      <w:start w:val="1"/>
      <w:numFmt w:val="lowerLetter"/>
      <w:lvlText w:val="%8."/>
      <w:lvlJc w:val="left"/>
      <w:pPr>
        <w:ind w:left="6465" w:hanging="360"/>
      </w:pPr>
    </w:lvl>
    <w:lvl w:ilvl="8" w:tplc="100A001B" w:tentative="1">
      <w:start w:val="1"/>
      <w:numFmt w:val="lowerRoman"/>
      <w:lvlText w:val="%9."/>
      <w:lvlJc w:val="right"/>
      <w:pPr>
        <w:ind w:left="7185" w:hanging="180"/>
      </w:pPr>
    </w:lvl>
  </w:abstractNum>
  <w:abstractNum w:abstractNumId="17" w15:restartNumberingAfterBreak="0">
    <w:nsid w:val="4A0B5585"/>
    <w:multiLevelType w:val="multilevel"/>
    <w:tmpl w:val="D2F45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EF07D8"/>
    <w:multiLevelType w:val="hybridMultilevel"/>
    <w:tmpl w:val="781EBD66"/>
    <w:lvl w:ilvl="0" w:tplc="A79A465A">
      <w:numFmt w:val="bullet"/>
      <w:lvlText w:val=""/>
      <w:lvlJc w:val="left"/>
      <w:pPr>
        <w:ind w:left="720" w:hanging="360"/>
      </w:pPr>
      <w:rPr>
        <w:rFonts w:ascii="Symbol" w:eastAsia="Times New Roman" w:hAnsi="Symbo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55387E77"/>
    <w:multiLevelType w:val="hybridMultilevel"/>
    <w:tmpl w:val="C122AE7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56221C32"/>
    <w:multiLevelType w:val="hybridMultilevel"/>
    <w:tmpl w:val="25EE9F6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57E361E7"/>
    <w:multiLevelType w:val="hybridMultilevel"/>
    <w:tmpl w:val="30E65896"/>
    <w:lvl w:ilvl="0" w:tplc="5520FC64">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2" w15:restartNumberingAfterBreak="0">
    <w:nsid w:val="5BEC2843"/>
    <w:multiLevelType w:val="hybridMultilevel"/>
    <w:tmpl w:val="0DCC98B2"/>
    <w:lvl w:ilvl="0" w:tplc="C8ECA442">
      <w:start w:val="2"/>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657466DB"/>
    <w:multiLevelType w:val="hybridMultilevel"/>
    <w:tmpl w:val="041CF7BC"/>
    <w:lvl w:ilvl="0" w:tplc="90E05BE0">
      <w:start w:val="1"/>
      <w:numFmt w:val="lowerLetter"/>
      <w:lvlText w:val="%1)"/>
      <w:lvlJc w:val="left"/>
      <w:pPr>
        <w:ind w:left="720" w:hanging="360"/>
      </w:pPr>
      <w:rPr>
        <w:rFonts w:ascii="Arial" w:eastAsiaTheme="minorHAnsi" w:hAnsi="Arial" w:cs="Arial"/>
        <w:b w:val="0"/>
        <w:color w:val="auto"/>
        <w:sz w:val="24"/>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15:restartNumberingAfterBreak="0">
    <w:nsid w:val="676F6232"/>
    <w:multiLevelType w:val="hybridMultilevel"/>
    <w:tmpl w:val="49360DCC"/>
    <w:lvl w:ilvl="0" w:tplc="EF38C99E">
      <w:start w:val="2016"/>
      <w:numFmt w:val="bullet"/>
      <w:lvlText w:val="-"/>
      <w:lvlJc w:val="left"/>
      <w:pPr>
        <w:ind w:left="720" w:hanging="360"/>
      </w:pPr>
      <w:rPr>
        <w:rFonts w:ascii="Calibri" w:eastAsia="Times New Roman" w:hAnsi="Calibri"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15:restartNumberingAfterBreak="0">
    <w:nsid w:val="6ED40FBF"/>
    <w:multiLevelType w:val="hybridMultilevel"/>
    <w:tmpl w:val="5BBCBB00"/>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77A95AE2"/>
    <w:multiLevelType w:val="hybridMultilevel"/>
    <w:tmpl w:val="2398CC9C"/>
    <w:lvl w:ilvl="0" w:tplc="73DE9C00">
      <w:numFmt w:val="bullet"/>
      <w:lvlText w:val=""/>
      <w:lvlJc w:val="left"/>
      <w:pPr>
        <w:ind w:left="720" w:hanging="360"/>
      </w:pPr>
      <w:rPr>
        <w:rFonts w:ascii="Symbol" w:eastAsia="Calibri" w:hAnsi="Symbo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79FA505B"/>
    <w:multiLevelType w:val="hybridMultilevel"/>
    <w:tmpl w:val="7E36786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7C081DFF"/>
    <w:multiLevelType w:val="hybridMultilevel"/>
    <w:tmpl w:val="08003660"/>
    <w:lvl w:ilvl="0" w:tplc="83CCB44A">
      <w:numFmt w:val="bullet"/>
      <w:lvlText w:val="-"/>
      <w:lvlJc w:val="left"/>
      <w:pPr>
        <w:ind w:left="720" w:hanging="360"/>
      </w:pPr>
      <w:rPr>
        <w:rFonts w:ascii="Times New Roman" w:eastAsiaTheme="minorHAnsi" w:hAnsi="Times New Roman" w:cs="Times New Roman"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9" w15:restartNumberingAfterBreak="0">
    <w:nsid w:val="7E8207AC"/>
    <w:multiLevelType w:val="hybridMultilevel"/>
    <w:tmpl w:val="0DA2553E"/>
    <w:lvl w:ilvl="0" w:tplc="9258BB9E">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6"/>
  </w:num>
  <w:num w:numId="5">
    <w:abstractNumId w:val="26"/>
  </w:num>
  <w:num w:numId="6">
    <w:abstractNumId w:val="27"/>
  </w:num>
  <w:num w:numId="7">
    <w:abstractNumId w:val="9"/>
  </w:num>
  <w:num w:numId="8">
    <w:abstractNumId w:val="21"/>
  </w:num>
  <w:num w:numId="9">
    <w:abstractNumId w:val="15"/>
  </w:num>
  <w:num w:numId="10">
    <w:abstractNumId w:val="22"/>
  </w:num>
  <w:num w:numId="11">
    <w:abstractNumId w:val="5"/>
  </w:num>
  <w:num w:numId="12">
    <w:abstractNumId w:val="13"/>
  </w:num>
  <w:num w:numId="13">
    <w:abstractNumId w:val="7"/>
  </w:num>
  <w:num w:numId="14">
    <w:abstractNumId w:val="3"/>
  </w:num>
  <w:num w:numId="15">
    <w:abstractNumId w:val="23"/>
  </w:num>
  <w:num w:numId="16">
    <w:abstractNumId w:val="1"/>
  </w:num>
  <w:num w:numId="17">
    <w:abstractNumId w:val="2"/>
  </w:num>
  <w:num w:numId="18">
    <w:abstractNumId w:val="18"/>
  </w:num>
  <w:num w:numId="19">
    <w:abstractNumId w:val="19"/>
  </w:num>
  <w:num w:numId="20">
    <w:abstractNumId w:val="16"/>
  </w:num>
  <w:num w:numId="21">
    <w:abstractNumId w:val="25"/>
  </w:num>
  <w:num w:numId="22">
    <w:abstractNumId w:val="17"/>
  </w:num>
  <w:num w:numId="23">
    <w:abstractNumId w:val="11"/>
  </w:num>
  <w:num w:numId="24">
    <w:abstractNumId w:val="24"/>
  </w:num>
  <w:num w:numId="25">
    <w:abstractNumId w:val="14"/>
  </w:num>
  <w:num w:numId="26">
    <w:abstractNumId w:val="28"/>
  </w:num>
  <w:num w:numId="27">
    <w:abstractNumId w:val="0"/>
  </w:num>
  <w:num w:numId="28">
    <w:abstractNumId w:val="8"/>
  </w:num>
  <w:num w:numId="29">
    <w:abstractNumId w:val="2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A3"/>
    <w:rsid w:val="00002FD6"/>
    <w:rsid w:val="00013FF0"/>
    <w:rsid w:val="000160A4"/>
    <w:rsid w:val="00027139"/>
    <w:rsid w:val="00027C6E"/>
    <w:rsid w:val="0003306D"/>
    <w:rsid w:val="000464D1"/>
    <w:rsid w:val="00052DFB"/>
    <w:rsid w:val="000544B8"/>
    <w:rsid w:val="000577E8"/>
    <w:rsid w:val="00061CE5"/>
    <w:rsid w:val="00067690"/>
    <w:rsid w:val="0007031D"/>
    <w:rsid w:val="00072CBA"/>
    <w:rsid w:val="00087C98"/>
    <w:rsid w:val="00097E81"/>
    <w:rsid w:val="000B0AF1"/>
    <w:rsid w:val="000B1BAA"/>
    <w:rsid w:val="000B488F"/>
    <w:rsid w:val="000C27EE"/>
    <w:rsid w:val="000F4852"/>
    <w:rsid w:val="00123843"/>
    <w:rsid w:val="00126F85"/>
    <w:rsid w:val="00136A89"/>
    <w:rsid w:val="001405AD"/>
    <w:rsid w:val="001421DE"/>
    <w:rsid w:val="00143AF2"/>
    <w:rsid w:val="00151B33"/>
    <w:rsid w:val="001527F4"/>
    <w:rsid w:val="00154B57"/>
    <w:rsid w:val="00162A01"/>
    <w:rsid w:val="00171F8F"/>
    <w:rsid w:val="00185A87"/>
    <w:rsid w:val="001877E5"/>
    <w:rsid w:val="00195A10"/>
    <w:rsid w:val="001A4A28"/>
    <w:rsid w:val="001B1ABE"/>
    <w:rsid w:val="001C2871"/>
    <w:rsid w:val="001C2B04"/>
    <w:rsid w:val="001C333B"/>
    <w:rsid w:val="001C4944"/>
    <w:rsid w:val="001D2D0B"/>
    <w:rsid w:val="001E6F36"/>
    <w:rsid w:val="001E6F9A"/>
    <w:rsid w:val="001F2DF7"/>
    <w:rsid w:val="001F5EB7"/>
    <w:rsid w:val="001F6D43"/>
    <w:rsid w:val="001F7B0C"/>
    <w:rsid w:val="00203745"/>
    <w:rsid w:val="00213DF8"/>
    <w:rsid w:val="002174A1"/>
    <w:rsid w:val="0022625E"/>
    <w:rsid w:val="00226317"/>
    <w:rsid w:val="0022778A"/>
    <w:rsid w:val="00247D14"/>
    <w:rsid w:val="00257ADF"/>
    <w:rsid w:val="002702CE"/>
    <w:rsid w:val="00274097"/>
    <w:rsid w:val="00275111"/>
    <w:rsid w:val="00275979"/>
    <w:rsid w:val="00293BDA"/>
    <w:rsid w:val="002D7D1A"/>
    <w:rsid w:val="002E12A1"/>
    <w:rsid w:val="002E1B61"/>
    <w:rsid w:val="003053EC"/>
    <w:rsid w:val="00305855"/>
    <w:rsid w:val="00306ABF"/>
    <w:rsid w:val="003126B9"/>
    <w:rsid w:val="003164CB"/>
    <w:rsid w:val="00316DEE"/>
    <w:rsid w:val="0032019D"/>
    <w:rsid w:val="00320639"/>
    <w:rsid w:val="00331684"/>
    <w:rsid w:val="003368BB"/>
    <w:rsid w:val="00346F96"/>
    <w:rsid w:val="003508CC"/>
    <w:rsid w:val="003568FD"/>
    <w:rsid w:val="00362345"/>
    <w:rsid w:val="00363BDC"/>
    <w:rsid w:val="0036574E"/>
    <w:rsid w:val="00365A8D"/>
    <w:rsid w:val="00366AFF"/>
    <w:rsid w:val="0036733B"/>
    <w:rsid w:val="003679FD"/>
    <w:rsid w:val="00371DA5"/>
    <w:rsid w:val="00373D92"/>
    <w:rsid w:val="00376C27"/>
    <w:rsid w:val="003863DA"/>
    <w:rsid w:val="00394D71"/>
    <w:rsid w:val="003B09E1"/>
    <w:rsid w:val="003B28F2"/>
    <w:rsid w:val="003E7444"/>
    <w:rsid w:val="003F2327"/>
    <w:rsid w:val="004025DF"/>
    <w:rsid w:val="00411527"/>
    <w:rsid w:val="004178E3"/>
    <w:rsid w:val="004228A6"/>
    <w:rsid w:val="004266DF"/>
    <w:rsid w:val="00434A35"/>
    <w:rsid w:val="00434B5E"/>
    <w:rsid w:val="00445573"/>
    <w:rsid w:val="00452353"/>
    <w:rsid w:val="00455F03"/>
    <w:rsid w:val="00462F87"/>
    <w:rsid w:val="00467AC5"/>
    <w:rsid w:val="0047010A"/>
    <w:rsid w:val="004701EC"/>
    <w:rsid w:val="00470614"/>
    <w:rsid w:val="0047322F"/>
    <w:rsid w:val="004777AB"/>
    <w:rsid w:val="004E70CD"/>
    <w:rsid w:val="004F6FAA"/>
    <w:rsid w:val="00504BB4"/>
    <w:rsid w:val="0051258C"/>
    <w:rsid w:val="0052233A"/>
    <w:rsid w:val="0052506A"/>
    <w:rsid w:val="0055228A"/>
    <w:rsid w:val="00570E55"/>
    <w:rsid w:val="00586167"/>
    <w:rsid w:val="0059670E"/>
    <w:rsid w:val="0059676C"/>
    <w:rsid w:val="005A19BC"/>
    <w:rsid w:val="005B10AC"/>
    <w:rsid w:val="005B5514"/>
    <w:rsid w:val="005B68FC"/>
    <w:rsid w:val="005F1977"/>
    <w:rsid w:val="005F53CA"/>
    <w:rsid w:val="00606A0D"/>
    <w:rsid w:val="00614EB6"/>
    <w:rsid w:val="00624250"/>
    <w:rsid w:val="00624A2D"/>
    <w:rsid w:val="00627BC4"/>
    <w:rsid w:val="00661FC2"/>
    <w:rsid w:val="00663410"/>
    <w:rsid w:val="00663DF5"/>
    <w:rsid w:val="00692AAC"/>
    <w:rsid w:val="00693F7B"/>
    <w:rsid w:val="006A0648"/>
    <w:rsid w:val="006A0804"/>
    <w:rsid w:val="006A55A9"/>
    <w:rsid w:val="006A63EF"/>
    <w:rsid w:val="006A6BA4"/>
    <w:rsid w:val="006B1CB2"/>
    <w:rsid w:val="006B3966"/>
    <w:rsid w:val="006B7EC6"/>
    <w:rsid w:val="006E5BD8"/>
    <w:rsid w:val="007160C0"/>
    <w:rsid w:val="00716BD3"/>
    <w:rsid w:val="00725813"/>
    <w:rsid w:val="00732584"/>
    <w:rsid w:val="0073291E"/>
    <w:rsid w:val="007612BA"/>
    <w:rsid w:val="00766405"/>
    <w:rsid w:val="00775CBE"/>
    <w:rsid w:val="0077672A"/>
    <w:rsid w:val="007820F5"/>
    <w:rsid w:val="00782893"/>
    <w:rsid w:val="007A4A66"/>
    <w:rsid w:val="007C7002"/>
    <w:rsid w:val="007D7AAB"/>
    <w:rsid w:val="007E3602"/>
    <w:rsid w:val="00803113"/>
    <w:rsid w:val="00830517"/>
    <w:rsid w:val="0083238C"/>
    <w:rsid w:val="00837949"/>
    <w:rsid w:val="0085184C"/>
    <w:rsid w:val="008563B7"/>
    <w:rsid w:val="00860923"/>
    <w:rsid w:val="008721E0"/>
    <w:rsid w:val="00883448"/>
    <w:rsid w:val="00897E74"/>
    <w:rsid w:val="008A5AFD"/>
    <w:rsid w:val="008B0EE0"/>
    <w:rsid w:val="008B4118"/>
    <w:rsid w:val="008B7D50"/>
    <w:rsid w:val="008C6B0D"/>
    <w:rsid w:val="008D11D6"/>
    <w:rsid w:val="008D6F27"/>
    <w:rsid w:val="008E72E7"/>
    <w:rsid w:val="008F5515"/>
    <w:rsid w:val="00900633"/>
    <w:rsid w:val="00900C68"/>
    <w:rsid w:val="00913F91"/>
    <w:rsid w:val="009160C6"/>
    <w:rsid w:val="009302A9"/>
    <w:rsid w:val="00943F04"/>
    <w:rsid w:val="009449C7"/>
    <w:rsid w:val="00945362"/>
    <w:rsid w:val="00946127"/>
    <w:rsid w:val="00946F17"/>
    <w:rsid w:val="00954C91"/>
    <w:rsid w:val="00957360"/>
    <w:rsid w:val="0097068A"/>
    <w:rsid w:val="0097484F"/>
    <w:rsid w:val="00976C83"/>
    <w:rsid w:val="00991508"/>
    <w:rsid w:val="00996D14"/>
    <w:rsid w:val="009A65AE"/>
    <w:rsid w:val="009B1AFD"/>
    <w:rsid w:val="009C44B0"/>
    <w:rsid w:val="009C60FD"/>
    <w:rsid w:val="009D290E"/>
    <w:rsid w:val="009D3590"/>
    <w:rsid w:val="009D53BB"/>
    <w:rsid w:val="009D7695"/>
    <w:rsid w:val="009E6301"/>
    <w:rsid w:val="00A033C7"/>
    <w:rsid w:val="00A05DC1"/>
    <w:rsid w:val="00A146E5"/>
    <w:rsid w:val="00A1547C"/>
    <w:rsid w:val="00A22BD9"/>
    <w:rsid w:val="00A25C2C"/>
    <w:rsid w:val="00A368C2"/>
    <w:rsid w:val="00A40817"/>
    <w:rsid w:val="00A57059"/>
    <w:rsid w:val="00A61813"/>
    <w:rsid w:val="00A7510A"/>
    <w:rsid w:val="00A80BD1"/>
    <w:rsid w:val="00A844A3"/>
    <w:rsid w:val="00A8596E"/>
    <w:rsid w:val="00A870B0"/>
    <w:rsid w:val="00A92081"/>
    <w:rsid w:val="00AA0356"/>
    <w:rsid w:val="00AA0F94"/>
    <w:rsid w:val="00AB4E11"/>
    <w:rsid w:val="00AB7E30"/>
    <w:rsid w:val="00AD735F"/>
    <w:rsid w:val="00AD7362"/>
    <w:rsid w:val="00AE39E1"/>
    <w:rsid w:val="00AF366C"/>
    <w:rsid w:val="00B04720"/>
    <w:rsid w:val="00B061CB"/>
    <w:rsid w:val="00B30E6C"/>
    <w:rsid w:val="00B32744"/>
    <w:rsid w:val="00B32FC9"/>
    <w:rsid w:val="00B76136"/>
    <w:rsid w:val="00B7680F"/>
    <w:rsid w:val="00B91D34"/>
    <w:rsid w:val="00B92F55"/>
    <w:rsid w:val="00BA00FE"/>
    <w:rsid w:val="00BA2986"/>
    <w:rsid w:val="00BA5F33"/>
    <w:rsid w:val="00BB4AC9"/>
    <w:rsid w:val="00BB7DD4"/>
    <w:rsid w:val="00BC2757"/>
    <w:rsid w:val="00BC5ACC"/>
    <w:rsid w:val="00BD3ADC"/>
    <w:rsid w:val="00BE2DF7"/>
    <w:rsid w:val="00BE6CEF"/>
    <w:rsid w:val="00BE7261"/>
    <w:rsid w:val="00BF5911"/>
    <w:rsid w:val="00C11973"/>
    <w:rsid w:val="00C20D98"/>
    <w:rsid w:val="00C45363"/>
    <w:rsid w:val="00C47BA2"/>
    <w:rsid w:val="00C51796"/>
    <w:rsid w:val="00C52B44"/>
    <w:rsid w:val="00C565D6"/>
    <w:rsid w:val="00C56A66"/>
    <w:rsid w:val="00C72C1F"/>
    <w:rsid w:val="00C733B2"/>
    <w:rsid w:val="00C81A1A"/>
    <w:rsid w:val="00C85341"/>
    <w:rsid w:val="00C9076C"/>
    <w:rsid w:val="00C914D0"/>
    <w:rsid w:val="00C94DCC"/>
    <w:rsid w:val="00CA508A"/>
    <w:rsid w:val="00CA775A"/>
    <w:rsid w:val="00CC504B"/>
    <w:rsid w:val="00CE0044"/>
    <w:rsid w:val="00CF44F0"/>
    <w:rsid w:val="00D074F8"/>
    <w:rsid w:val="00D12A68"/>
    <w:rsid w:val="00D14EB3"/>
    <w:rsid w:val="00D26145"/>
    <w:rsid w:val="00D2778E"/>
    <w:rsid w:val="00D31DE4"/>
    <w:rsid w:val="00D35744"/>
    <w:rsid w:val="00D41C91"/>
    <w:rsid w:val="00D502F9"/>
    <w:rsid w:val="00D518E0"/>
    <w:rsid w:val="00D53F7B"/>
    <w:rsid w:val="00D5697C"/>
    <w:rsid w:val="00D6796F"/>
    <w:rsid w:val="00D72809"/>
    <w:rsid w:val="00D74DDF"/>
    <w:rsid w:val="00D8089F"/>
    <w:rsid w:val="00D8193D"/>
    <w:rsid w:val="00D82FC1"/>
    <w:rsid w:val="00D8583D"/>
    <w:rsid w:val="00D9220E"/>
    <w:rsid w:val="00DB12FB"/>
    <w:rsid w:val="00DB7489"/>
    <w:rsid w:val="00DC14F9"/>
    <w:rsid w:val="00DC6ED5"/>
    <w:rsid w:val="00DC6FDC"/>
    <w:rsid w:val="00DC7B34"/>
    <w:rsid w:val="00DD1E8B"/>
    <w:rsid w:val="00DD5296"/>
    <w:rsid w:val="00DD5FE3"/>
    <w:rsid w:val="00DD65CC"/>
    <w:rsid w:val="00DE0B6F"/>
    <w:rsid w:val="00DE108F"/>
    <w:rsid w:val="00DE4BFC"/>
    <w:rsid w:val="00DF49B8"/>
    <w:rsid w:val="00DF68EB"/>
    <w:rsid w:val="00DF69CE"/>
    <w:rsid w:val="00E01C85"/>
    <w:rsid w:val="00E05422"/>
    <w:rsid w:val="00E174D3"/>
    <w:rsid w:val="00E23858"/>
    <w:rsid w:val="00E26ACD"/>
    <w:rsid w:val="00E26BCF"/>
    <w:rsid w:val="00E26EDA"/>
    <w:rsid w:val="00E342EF"/>
    <w:rsid w:val="00E3600B"/>
    <w:rsid w:val="00E42EA4"/>
    <w:rsid w:val="00E43BD7"/>
    <w:rsid w:val="00E476DE"/>
    <w:rsid w:val="00E51B18"/>
    <w:rsid w:val="00E51B2E"/>
    <w:rsid w:val="00E56C11"/>
    <w:rsid w:val="00E649C0"/>
    <w:rsid w:val="00E81FB9"/>
    <w:rsid w:val="00E8714C"/>
    <w:rsid w:val="00EA5A59"/>
    <w:rsid w:val="00EB577C"/>
    <w:rsid w:val="00ED5AC0"/>
    <w:rsid w:val="00EE49AE"/>
    <w:rsid w:val="00EE4A3D"/>
    <w:rsid w:val="00F018C5"/>
    <w:rsid w:val="00F01FC5"/>
    <w:rsid w:val="00F33DA7"/>
    <w:rsid w:val="00F455AD"/>
    <w:rsid w:val="00F624D6"/>
    <w:rsid w:val="00F637EE"/>
    <w:rsid w:val="00F816AB"/>
    <w:rsid w:val="00F82425"/>
    <w:rsid w:val="00F847C3"/>
    <w:rsid w:val="00F86EEE"/>
    <w:rsid w:val="00F8716B"/>
    <w:rsid w:val="00F87D9E"/>
    <w:rsid w:val="00F93578"/>
    <w:rsid w:val="00FA3DCB"/>
    <w:rsid w:val="00FA46B5"/>
    <w:rsid w:val="00FB336E"/>
    <w:rsid w:val="00FC17FB"/>
    <w:rsid w:val="00FC7052"/>
    <w:rsid w:val="00FD0B32"/>
    <w:rsid w:val="00FD47D1"/>
    <w:rsid w:val="00FD70C4"/>
    <w:rsid w:val="00FE0D49"/>
    <w:rsid w:val="00FE6807"/>
    <w:rsid w:val="00FE7C1A"/>
    <w:rsid w:val="00FF0395"/>
    <w:rsid w:val="00FF03CD"/>
    <w:rsid w:val="48B7AEE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818560"/>
  <w15:chartTrackingRefBased/>
  <w15:docId w15:val="{3A75A34F-6673-4171-849E-1D6D2AD5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DC"/>
    <w:pPr>
      <w:spacing w:after="200" w:line="240" w:lineRule="auto"/>
    </w:pPr>
    <w:rPr>
      <w:sz w:val="24"/>
      <w:szCs w:val="24"/>
      <w:lang w:val="es-ES_tradnl"/>
    </w:rPr>
  </w:style>
  <w:style w:type="paragraph" w:styleId="Heading1">
    <w:name w:val="heading 1"/>
    <w:basedOn w:val="Normal"/>
    <w:next w:val="Normal"/>
    <w:link w:val="Heading1Char"/>
    <w:uiPriority w:val="9"/>
    <w:qFormat/>
    <w:rsid w:val="00087C9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A3"/>
    <w:pPr>
      <w:tabs>
        <w:tab w:val="center" w:pos="4419"/>
        <w:tab w:val="right" w:pos="8838"/>
      </w:tabs>
      <w:spacing w:after="0"/>
    </w:pPr>
    <w:rPr>
      <w:sz w:val="22"/>
      <w:szCs w:val="22"/>
      <w:lang w:val="es-GT"/>
    </w:rPr>
  </w:style>
  <w:style w:type="character" w:customStyle="1" w:styleId="HeaderChar">
    <w:name w:val="Header Char"/>
    <w:basedOn w:val="DefaultParagraphFont"/>
    <w:link w:val="Header"/>
    <w:uiPriority w:val="99"/>
    <w:rsid w:val="00A844A3"/>
  </w:style>
  <w:style w:type="paragraph" w:styleId="Footer">
    <w:name w:val="footer"/>
    <w:basedOn w:val="Normal"/>
    <w:link w:val="FooterChar"/>
    <w:uiPriority w:val="99"/>
    <w:unhideWhenUsed/>
    <w:rsid w:val="00A844A3"/>
    <w:pPr>
      <w:tabs>
        <w:tab w:val="center" w:pos="4419"/>
        <w:tab w:val="right" w:pos="8838"/>
      </w:tabs>
      <w:spacing w:after="0"/>
    </w:pPr>
    <w:rPr>
      <w:sz w:val="22"/>
      <w:szCs w:val="22"/>
      <w:lang w:val="es-GT"/>
    </w:rPr>
  </w:style>
  <w:style w:type="character" w:customStyle="1" w:styleId="FooterChar">
    <w:name w:val="Footer Char"/>
    <w:basedOn w:val="DefaultParagraphFont"/>
    <w:link w:val="Footer"/>
    <w:uiPriority w:val="99"/>
    <w:rsid w:val="00A844A3"/>
  </w:style>
  <w:style w:type="paragraph" w:styleId="FootnoteText">
    <w:name w:val="footnote text"/>
    <w:aliases w:val="Texto nota pie Car Car Car,Texto nota pie Car Car,Footnote Text Char,Footnote Text Char1 Char,Footnote Text Char2 Char Char,Footnote Text Char Char1 Char Char,Footnote Text Char1 Char Char Char Char,Footnote Text Char1 Char1 Char Char,5_G"/>
    <w:basedOn w:val="Normal"/>
    <w:link w:val="FootnoteTextChar1"/>
    <w:uiPriority w:val="99"/>
    <w:unhideWhenUsed/>
    <w:qFormat/>
    <w:rsid w:val="00F018C5"/>
    <w:pPr>
      <w:spacing w:after="0"/>
    </w:pPr>
    <w:rPr>
      <w:sz w:val="20"/>
      <w:szCs w:val="20"/>
      <w:lang w:val="es-GT"/>
    </w:rPr>
  </w:style>
  <w:style w:type="character" w:customStyle="1" w:styleId="FootnoteTextChar1">
    <w:name w:val="Footnote Text Char1"/>
    <w:aliases w:val="Texto nota pie Car Car Car Char,Texto nota pie Car Car Char,Footnote Text Char Char,Footnote Text Char1 Char Char,Footnote Text Char2 Char Char Char,Footnote Text Char Char1 Char Char Char,Footnote Text Char1 Char Char Char Char Char"/>
    <w:basedOn w:val="DefaultParagraphFont"/>
    <w:link w:val="FootnoteText"/>
    <w:uiPriority w:val="99"/>
    <w:qFormat/>
    <w:rsid w:val="00F018C5"/>
    <w:rPr>
      <w:sz w:val="20"/>
      <w:szCs w:val="20"/>
    </w:rPr>
  </w:style>
  <w:style w:type="character" w:styleId="FootnoteReference">
    <w:name w:val="footnote reference"/>
    <w:aliases w:val="4_G,callout,Fago Fußnotenzeichen,Texto de nota al pie,Appel note de bas de page,Footnotes refss,f,Footnote number,referencia nota al pie,BVI fnr,Footnotes refss Char,Texto de nota al pie Char,Appel note de bas de page Char,4_G Car,R"/>
    <w:basedOn w:val="DefaultParagraphFont"/>
    <w:link w:val="f1"/>
    <w:uiPriority w:val="99"/>
    <w:unhideWhenUsed/>
    <w:qFormat/>
    <w:rsid w:val="00F018C5"/>
    <w:rPr>
      <w:vertAlign w:val="superscript"/>
    </w:rPr>
  </w:style>
  <w:style w:type="paragraph" w:styleId="ListParagraph">
    <w:name w:val="List Paragraph"/>
    <w:aliases w:val="List,Párrafo numerado,Superíndice,Dot pt,No Spacing1,List Paragraph Char Char Char,Indicator Text,List Paragraph1,Numbered Para 1,4 Párrafo de lista,Figuras,DH1,4 Párrafo de l,Bullet 1,F5 List Paragraph,Bullet Points,Ha,Parragrap"/>
    <w:basedOn w:val="Normal"/>
    <w:link w:val="ListParagraphChar"/>
    <w:uiPriority w:val="34"/>
    <w:qFormat/>
    <w:rsid w:val="00F018C5"/>
    <w:pPr>
      <w:spacing w:after="160" w:line="259" w:lineRule="auto"/>
      <w:ind w:left="720"/>
      <w:contextualSpacing/>
    </w:pPr>
    <w:rPr>
      <w:sz w:val="22"/>
      <w:szCs w:val="22"/>
      <w:lang w:val="es-GT"/>
    </w:rPr>
  </w:style>
  <w:style w:type="character" w:styleId="CommentReference">
    <w:name w:val="annotation reference"/>
    <w:basedOn w:val="DefaultParagraphFont"/>
    <w:uiPriority w:val="99"/>
    <w:semiHidden/>
    <w:unhideWhenUsed/>
    <w:rsid w:val="003F2327"/>
    <w:rPr>
      <w:sz w:val="16"/>
      <w:szCs w:val="16"/>
    </w:rPr>
  </w:style>
  <w:style w:type="paragraph" w:styleId="CommentText">
    <w:name w:val="annotation text"/>
    <w:basedOn w:val="Normal"/>
    <w:link w:val="CommentTextChar"/>
    <w:uiPriority w:val="99"/>
    <w:unhideWhenUsed/>
    <w:rsid w:val="003F2327"/>
    <w:rPr>
      <w:sz w:val="20"/>
      <w:szCs w:val="20"/>
    </w:rPr>
  </w:style>
  <w:style w:type="character" w:customStyle="1" w:styleId="CommentTextChar">
    <w:name w:val="Comment Text Char"/>
    <w:basedOn w:val="DefaultParagraphFont"/>
    <w:link w:val="CommentText"/>
    <w:uiPriority w:val="99"/>
    <w:rsid w:val="003F2327"/>
    <w:rPr>
      <w:sz w:val="20"/>
      <w:szCs w:val="20"/>
      <w:lang w:val="es-ES_tradnl"/>
    </w:rPr>
  </w:style>
  <w:style w:type="paragraph" w:styleId="CommentSubject">
    <w:name w:val="annotation subject"/>
    <w:basedOn w:val="CommentText"/>
    <w:next w:val="CommentText"/>
    <w:link w:val="CommentSubjectChar"/>
    <w:uiPriority w:val="99"/>
    <w:semiHidden/>
    <w:unhideWhenUsed/>
    <w:rsid w:val="003F2327"/>
    <w:rPr>
      <w:b/>
      <w:bCs/>
    </w:rPr>
  </w:style>
  <w:style w:type="character" w:customStyle="1" w:styleId="CommentSubjectChar">
    <w:name w:val="Comment Subject Char"/>
    <w:basedOn w:val="CommentTextChar"/>
    <w:link w:val="CommentSubject"/>
    <w:uiPriority w:val="99"/>
    <w:semiHidden/>
    <w:rsid w:val="003F2327"/>
    <w:rPr>
      <w:b/>
      <w:bCs/>
      <w:sz w:val="20"/>
      <w:szCs w:val="20"/>
      <w:lang w:val="es-ES_tradnl"/>
    </w:rPr>
  </w:style>
  <w:style w:type="paragraph" w:styleId="BalloonText">
    <w:name w:val="Balloon Text"/>
    <w:basedOn w:val="Normal"/>
    <w:link w:val="BalloonTextChar"/>
    <w:uiPriority w:val="99"/>
    <w:semiHidden/>
    <w:unhideWhenUsed/>
    <w:rsid w:val="003F23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327"/>
    <w:rPr>
      <w:rFonts w:ascii="Segoe UI" w:hAnsi="Segoe UI" w:cs="Segoe UI"/>
      <w:sz w:val="18"/>
      <w:szCs w:val="18"/>
      <w:lang w:val="es-ES_tradnl"/>
    </w:rPr>
  </w:style>
  <w:style w:type="character" w:styleId="Hyperlink">
    <w:name w:val="Hyperlink"/>
    <w:basedOn w:val="DefaultParagraphFont"/>
    <w:uiPriority w:val="99"/>
    <w:unhideWhenUsed/>
    <w:rsid w:val="003F2327"/>
    <w:rPr>
      <w:color w:val="0563C1" w:themeColor="hyperlink"/>
      <w:u w:val="single"/>
    </w:rPr>
  </w:style>
  <w:style w:type="character" w:styleId="FollowedHyperlink">
    <w:name w:val="FollowedHyperlink"/>
    <w:basedOn w:val="DefaultParagraphFont"/>
    <w:uiPriority w:val="99"/>
    <w:semiHidden/>
    <w:unhideWhenUsed/>
    <w:rsid w:val="00A7510A"/>
    <w:rPr>
      <w:color w:val="954F72" w:themeColor="followedHyperlink"/>
      <w:u w:val="single"/>
    </w:rPr>
  </w:style>
  <w:style w:type="table" w:styleId="TableGrid">
    <w:name w:val="Table Grid"/>
    <w:basedOn w:val="TableNormal"/>
    <w:uiPriority w:val="39"/>
    <w:rsid w:val="0083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52B44"/>
  </w:style>
  <w:style w:type="character" w:styleId="Emphasis">
    <w:name w:val="Emphasis"/>
    <w:basedOn w:val="DefaultParagraphFont"/>
    <w:uiPriority w:val="20"/>
    <w:qFormat/>
    <w:rsid w:val="00C52B44"/>
    <w:rPr>
      <w:i/>
      <w:iCs/>
    </w:rPr>
  </w:style>
  <w:style w:type="character" w:customStyle="1" w:styleId="FontStyle82">
    <w:name w:val="Font Style82"/>
    <w:basedOn w:val="DefaultParagraphFont"/>
    <w:uiPriority w:val="99"/>
    <w:rsid w:val="00945362"/>
    <w:rPr>
      <w:rFonts w:ascii="Arial" w:hAnsi="Arial" w:cs="Arial"/>
      <w:color w:val="000000"/>
      <w:sz w:val="20"/>
      <w:szCs w:val="20"/>
    </w:rPr>
  </w:style>
  <w:style w:type="paragraph" w:customStyle="1" w:styleId="Style28">
    <w:name w:val="Style28"/>
    <w:basedOn w:val="Normal"/>
    <w:uiPriority w:val="99"/>
    <w:rsid w:val="00945362"/>
    <w:pPr>
      <w:widowControl w:val="0"/>
      <w:autoSpaceDE w:val="0"/>
      <w:autoSpaceDN w:val="0"/>
      <w:adjustRightInd w:val="0"/>
      <w:spacing w:after="0" w:line="250" w:lineRule="exact"/>
      <w:ind w:hanging="336"/>
      <w:jc w:val="both"/>
    </w:pPr>
    <w:rPr>
      <w:rFonts w:ascii="Impact" w:eastAsiaTheme="minorEastAsia" w:hAnsi="Impact"/>
      <w:lang w:val="es-GT" w:eastAsia="es-GT"/>
    </w:rPr>
  </w:style>
  <w:style w:type="paragraph" w:customStyle="1" w:styleId="Style22">
    <w:name w:val="Style22"/>
    <w:basedOn w:val="Normal"/>
    <w:uiPriority w:val="99"/>
    <w:rsid w:val="00945362"/>
    <w:pPr>
      <w:widowControl w:val="0"/>
      <w:autoSpaceDE w:val="0"/>
      <w:autoSpaceDN w:val="0"/>
      <w:adjustRightInd w:val="0"/>
      <w:spacing w:after="0"/>
      <w:jc w:val="both"/>
    </w:pPr>
    <w:rPr>
      <w:rFonts w:ascii="Impact" w:eastAsiaTheme="minorEastAsia" w:hAnsi="Impact"/>
      <w:lang w:val="es-GT" w:eastAsia="es-GT"/>
    </w:rPr>
  </w:style>
  <w:style w:type="paragraph" w:styleId="BodyText">
    <w:name w:val="Body Text"/>
    <w:basedOn w:val="Normal"/>
    <w:link w:val="BodyTextChar"/>
    <w:uiPriority w:val="99"/>
    <w:unhideWhenUsed/>
    <w:rsid w:val="00097E81"/>
    <w:pPr>
      <w:spacing w:after="160" w:line="259" w:lineRule="auto"/>
      <w:jc w:val="both"/>
    </w:pPr>
    <w:rPr>
      <w:sz w:val="22"/>
      <w:szCs w:val="22"/>
      <w:lang w:val="es-GT"/>
    </w:rPr>
  </w:style>
  <w:style w:type="character" w:customStyle="1" w:styleId="BodyTextChar">
    <w:name w:val="Body Text Char"/>
    <w:basedOn w:val="DefaultParagraphFont"/>
    <w:link w:val="BodyText"/>
    <w:uiPriority w:val="99"/>
    <w:rsid w:val="00097E81"/>
  </w:style>
  <w:style w:type="character" w:customStyle="1" w:styleId="ListParagraphChar">
    <w:name w:val="List Paragraph Char"/>
    <w:aliases w:val="Párrafo numerado Char,List Char,Superíndice Char,Dot pt Char,No Spacing1 Char,List Paragraph Char Char Char Char,Indicator Text Char,List Paragraph1 Char,Numbered Para 1 Char,4 Párrafo de lista Char,Figuras Char,DH1 Char,Ha Char"/>
    <w:link w:val="ListParagraph"/>
    <w:uiPriority w:val="34"/>
    <w:qFormat/>
    <w:locked/>
    <w:rsid w:val="00943F04"/>
  </w:style>
  <w:style w:type="paragraph" w:customStyle="1" w:styleId="f1">
    <w:name w:val="f1"/>
    <w:aliases w:val="Ref. de nota al pie.,Footnote symbol,Footnote,16 Point,Superscript 6 Point,Texto nota al pie,Ref. de nota al pi,Re"/>
    <w:basedOn w:val="Normal"/>
    <w:link w:val="FootnoteReference"/>
    <w:uiPriority w:val="99"/>
    <w:rsid w:val="00943F04"/>
    <w:pPr>
      <w:spacing w:after="160" w:line="240" w:lineRule="exact"/>
    </w:pPr>
    <w:rPr>
      <w:sz w:val="22"/>
      <w:szCs w:val="22"/>
      <w:vertAlign w:val="superscript"/>
      <w:lang w:val="es-GT"/>
    </w:rPr>
  </w:style>
  <w:style w:type="character" w:customStyle="1" w:styleId="Heading1Char">
    <w:name w:val="Heading 1 Char"/>
    <w:basedOn w:val="DefaultParagraphFont"/>
    <w:link w:val="Heading1"/>
    <w:uiPriority w:val="9"/>
    <w:rsid w:val="00087C98"/>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97484F"/>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67811">
      <w:bodyDiv w:val="1"/>
      <w:marLeft w:val="0"/>
      <w:marRight w:val="0"/>
      <w:marTop w:val="0"/>
      <w:marBottom w:val="0"/>
      <w:divBdr>
        <w:top w:val="none" w:sz="0" w:space="0" w:color="auto"/>
        <w:left w:val="none" w:sz="0" w:space="0" w:color="auto"/>
        <w:bottom w:val="none" w:sz="0" w:space="0" w:color="auto"/>
        <w:right w:val="none" w:sz="0" w:space="0" w:color="auto"/>
      </w:divBdr>
    </w:div>
    <w:div w:id="855457366">
      <w:bodyDiv w:val="1"/>
      <w:marLeft w:val="0"/>
      <w:marRight w:val="0"/>
      <w:marTop w:val="0"/>
      <w:marBottom w:val="0"/>
      <w:divBdr>
        <w:top w:val="none" w:sz="0" w:space="0" w:color="auto"/>
        <w:left w:val="none" w:sz="0" w:space="0" w:color="auto"/>
        <w:bottom w:val="none" w:sz="0" w:space="0" w:color="auto"/>
        <w:right w:val="none" w:sz="0" w:space="0" w:color="auto"/>
      </w:divBdr>
    </w:div>
    <w:div w:id="17615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twitter.com/PDHgt/status/1247903203498135553" TargetMode="External"/><Relationship Id="rId2" Type="http://schemas.openxmlformats.org/officeDocument/2006/relationships/hyperlink" Target="https://twitter.com/PDHgt/status/1308208500527509505" TargetMode="External"/><Relationship Id="rId1" Type="http://schemas.openxmlformats.org/officeDocument/2006/relationships/hyperlink" Target="https://agn.gt/tercer-pago-bono-familia/" TargetMode="External"/><Relationship Id="rId6" Type="http://schemas.openxmlformats.org/officeDocument/2006/relationships/hyperlink" Target="https://twitter.com/PDHgt/status/1253398611045515265" TargetMode="External"/><Relationship Id="rId5" Type="http://schemas.openxmlformats.org/officeDocument/2006/relationships/hyperlink" Target="https://twitter.com/PDHgt/status/1253398611045515265" TargetMode="External"/><Relationship Id="rId4" Type="http://schemas.openxmlformats.org/officeDocument/2006/relationships/hyperlink" Target="https://twitter.com/PDHgt/status/125339861104551526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D430FE-E744-4A9A-9DC1-841E6F357814}">
  <ds:schemaRefs>
    <ds:schemaRef ds:uri="http://schemas.openxmlformats.org/officeDocument/2006/bibliography"/>
  </ds:schemaRefs>
</ds:datastoreItem>
</file>

<file path=customXml/itemProps2.xml><?xml version="1.0" encoding="utf-8"?>
<ds:datastoreItem xmlns:ds="http://schemas.openxmlformats.org/officeDocument/2006/customXml" ds:itemID="{1FB9E96B-F9BA-4694-A994-9B3313E8B8C3}"/>
</file>

<file path=customXml/itemProps3.xml><?xml version="1.0" encoding="utf-8"?>
<ds:datastoreItem xmlns:ds="http://schemas.openxmlformats.org/officeDocument/2006/customXml" ds:itemID="{97BA1906-E614-4A33-B316-9D2FD4F88654}"/>
</file>

<file path=customXml/itemProps4.xml><?xml version="1.0" encoding="utf-8"?>
<ds:datastoreItem xmlns:ds="http://schemas.openxmlformats.org/officeDocument/2006/customXml" ds:itemID="{F0B4F165-F2DA-471B-958C-7848D0C18DB7}"/>
</file>

<file path=docProps/app.xml><?xml version="1.0" encoding="utf-8"?>
<Properties xmlns="http://schemas.openxmlformats.org/officeDocument/2006/extended-properties" xmlns:vt="http://schemas.openxmlformats.org/officeDocument/2006/docPropsVTypes">
  <Template>Normal.dotm</Template>
  <TotalTime>0</TotalTime>
  <Pages>9</Pages>
  <Words>1936</Words>
  <Characters>11037</Characters>
  <Application>Microsoft Office Word</Application>
  <DocSecurity>4</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Procuraduría de los Derechos Humanos</dc:creator>
  <cp:keywords/>
  <dc:description/>
  <cp:lastModifiedBy>OHCHR\gina.bergh</cp:lastModifiedBy>
  <cp:revision>2</cp:revision>
  <cp:lastPrinted>2018-08-02T15:13:00Z</cp:lastPrinted>
  <dcterms:created xsi:type="dcterms:W3CDTF">2020-12-02T08:39:00Z</dcterms:created>
  <dcterms:modified xsi:type="dcterms:W3CDTF">2020-12-02T08:39:00Z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